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color w:val="auto"/>
          <w:highlight w:val="none"/>
        </w:rPr>
      </w:pPr>
    </w:p>
    <w:p>
      <w:pPr>
        <w:jc w:val="center"/>
        <w:rPr>
          <w:rFonts w:ascii="仿宋" w:hAnsi="仿宋" w:eastAsia="仿宋" w:cs="仿宋"/>
          <w:color w:val="auto"/>
          <w:highlight w:val="none"/>
        </w:rPr>
      </w:pPr>
    </w:p>
    <w:p>
      <w:pPr>
        <w:spacing w:line="1600" w:lineRule="exact"/>
        <w:jc w:val="center"/>
        <w:outlineLvl w:val="0"/>
        <w:rPr>
          <w:rFonts w:ascii="仿宋" w:hAnsi="仿宋" w:eastAsia="仿宋" w:cs="仿宋"/>
          <w:color w:val="auto"/>
          <w:sz w:val="100"/>
          <w:highlight w:val="none"/>
        </w:rPr>
      </w:pPr>
    </w:p>
    <w:p>
      <w:pPr>
        <w:spacing w:line="1600" w:lineRule="exact"/>
        <w:jc w:val="center"/>
        <w:outlineLvl w:val="0"/>
        <w:rPr>
          <w:rFonts w:ascii="仿宋" w:hAnsi="仿宋" w:eastAsia="仿宋" w:cs="仿宋"/>
          <w:color w:val="auto"/>
          <w:sz w:val="120"/>
          <w:szCs w:val="120"/>
          <w:highlight w:val="none"/>
        </w:rPr>
      </w:pPr>
      <w:r>
        <w:rPr>
          <w:rFonts w:hint="eastAsia" w:ascii="仿宋" w:hAnsi="仿宋" w:eastAsia="仿宋" w:cs="仿宋"/>
          <w:color w:val="auto"/>
          <w:sz w:val="120"/>
          <w:szCs w:val="120"/>
          <w:highlight w:val="none"/>
        </w:rPr>
        <w:t>竞争性磋商文件</w:t>
      </w:r>
    </w:p>
    <w:p>
      <w:pPr>
        <w:spacing w:line="360" w:lineRule="auto"/>
        <w:jc w:val="center"/>
        <w:rPr>
          <w:rFonts w:ascii="仿宋" w:hAnsi="仿宋" w:eastAsia="仿宋" w:cs="仿宋"/>
          <w:color w:val="auto"/>
          <w:sz w:val="56"/>
          <w:szCs w:val="56"/>
          <w:highlight w:val="none"/>
        </w:rPr>
      </w:pPr>
      <w:r>
        <w:rPr>
          <w:rFonts w:hint="eastAsia" w:ascii="仿宋" w:hAnsi="仿宋" w:eastAsia="仿宋" w:cs="仿宋"/>
          <w:color w:val="auto"/>
          <w:sz w:val="56"/>
          <w:szCs w:val="56"/>
          <w:highlight w:val="none"/>
        </w:rPr>
        <w:t xml:space="preserve"> </w:t>
      </w:r>
    </w:p>
    <w:p>
      <w:pPr>
        <w:spacing w:line="360" w:lineRule="auto"/>
        <w:jc w:val="center"/>
        <w:rPr>
          <w:rFonts w:ascii="仿宋" w:hAnsi="仿宋" w:eastAsia="仿宋" w:cs="仿宋"/>
          <w:color w:val="auto"/>
          <w:sz w:val="32"/>
          <w:highlight w:val="none"/>
        </w:rPr>
      </w:pPr>
    </w:p>
    <w:p>
      <w:pPr>
        <w:spacing w:line="360" w:lineRule="auto"/>
        <w:jc w:val="center"/>
        <w:outlineLvl w:val="0"/>
        <w:rPr>
          <w:rFonts w:ascii="仿宋" w:hAnsi="仿宋" w:eastAsia="仿宋" w:cs="仿宋"/>
          <w:color w:val="auto"/>
          <w:sz w:val="32"/>
          <w:highlight w:val="none"/>
        </w:rPr>
      </w:pPr>
      <w:r>
        <w:rPr>
          <w:rFonts w:hint="eastAsia" w:ascii="仿宋" w:hAnsi="仿宋" w:eastAsia="仿宋" w:cs="仿宋"/>
          <w:color w:val="auto"/>
          <w:sz w:val="32"/>
          <w:highlight w:val="none"/>
        </w:rPr>
        <w:t xml:space="preserve"> </w:t>
      </w:r>
    </w:p>
    <w:p>
      <w:pPr>
        <w:spacing w:line="700" w:lineRule="exact"/>
        <w:jc w:val="center"/>
        <w:rPr>
          <w:rFonts w:ascii="仿宋" w:hAnsi="仿宋" w:eastAsia="仿宋" w:cs="仿宋"/>
          <w:color w:val="auto"/>
          <w:sz w:val="32"/>
          <w:highlight w:val="none"/>
        </w:rPr>
      </w:pPr>
    </w:p>
    <w:p>
      <w:pPr>
        <w:spacing w:line="500" w:lineRule="exact"/>
        <w:ind w:firstLine="1519" w:firstLineChars="422"/>
        <w:outlineLvl w:val="0"/>
        <w:rPr>
          <w:rFonts w:ascii="仿宋" w:hAnsi="仿宋" w:eastAsia="仿宋" w:cs="仿宋"/>
          <w:color w:val="auto"/>
          <w:sz w:val="36"/>
          <w:szCs w:val="36"/>
          <w:highlight w:val="none"/>
        </w:rPr>
      </w:pPr>
      <w:r>
        <w:rPr>
          <w:rFonts w:hint="eastAsia" w:ascii="仿宋" w:hAnsi="仿宋" w:eastAsia="仿宋" w:cs="仿宋"/>
          <w:color w:val="auto"/>
          <w:sz w:val="36"/>
          <w:szCs w:val="36"/>
          <w:highlight w:val="none"/>
        </w:rPr>
        <w:t xml:space="preserve">采购执行编号：gqhcg-2301-1001 </w:t>
      </w:r>
    </w:p>
    <w:p>
      <w:pPr>
        <w:spacing w:line="500" w:lineRule="exact"/>
        <w:ind w:left="0" w:leftChars="0" w:firstLine="1519" w:firstLineChars="422"/>
        <w:jc w:val="left"/>
        <w:outlineLvl w:val="0"/>
        <w:rPr>
          <w:rFonts w:hint="eastAsia" w:ascii="仿宋" w:hAnsi="仿宋" w:eastAsia="仿宋" w:cs="仿宋"/>
          <w:color w:val="auto"/>
          <w:sz w:val="36"/>
          <w:szCs w:val="36"/>
          <w:highlight w:val="none"/>
        </w:rPr>
      </w:pPr>
      <w:r>
        <w:rPr>
          <w:rFonts w:hint="eastAsia" w:ascii="仿宋" w:hAnsi="仿宋" w:eastAsia="仿宋" w:cs="仿宋"/>
          <w:color w:val="auto"/>
          <w:sz w:val="36"/>
          <w:szCs w:val="36"/>
          <w:highlight w:val="none"/>
        </w:rPr>
        <w:t>磋商项目名称：H13地块新建学校及H13地块</w:t>
      </w:r>
    </w:p>
    <w:p>
      <w:pPr>
        <w:spacing w:line="500" w:lineRule="exact"/>
        <w:ind w:left="0" w:leftChars="0" w:firstLine="4035" w:firstLineChars="1121"/>
        <w:jc w:val="left"/>
        <w:outlineLvl w:val="0"/>
        <w:rPr>
          <w:rFonts w:ascii="仿宋" w:hAnsi="仿宋" w:eastAsia="仿宋" w:cs="仿宋"/>
          <w:color w:val="auto"/>
          <w:sz w:val="36"/>
          <w:szCs w:val="36"/>
          <w:highlight w:val="none"/>
        </w:rPr>
      </w:pPr>
      <w:r>
        <w:rPr>
          <w:rFonts w:hint="eastAsia" w:ascii="仿宋" w:hAnsi="仿宋" w:eastAsia="仿宋" w:cs="仿宋"/>
          <w:color w:val="auto"/>
          <w:sz w:val="36"/>
          <w:szCs w:val="36"/>
          <w:highlight w:val="none"/>
        </w:rPr>
        <w:t>西侧道路工程预算编制</w:t>
      </w:r>
    </w:p>
    <w:p>
      <w:pPr>
        <w:spacing w:line="700" w:lineRule="exact"/>
        <w:ind w:firstLine="1749" w:firstLineChars="486"/>
        <w:rPr>
          <w:rFonts w:ascii="仿宋" w:hAnsi="仿宋" w:eastAsia="仿宋" w:cs="仿宋"/>
          <w:color w:val="auto"/>
          <w:sz w:val="36"/>
          <w:szCs w:val="36"/>
          <w:highlight w:val="none"/>
        </w:rPr>
      </w:pPr>
    </w:p>
    <w:p>
      <w:pPr>
        <w:spacing w:line="700" w:lineRule="exact"/>
        <w:ind w:firstLine="1749" w:firstLineChars="486"/>
        <w:rPr>
          <w:rFonts w:ascii="仿宋" w:hAnsi="仿宋" w:eastAsia="仿宋" w:cs="仿宋"/>
          <w:color w:val="auto"/>
          <w:sz w:val="36"/>
          <w:szCs w:val="36"/>
          <w:highlight w:val="none"/>
        </w:rPr>
      </w:pPr>
    </w:p>
    <w:p>
      <w:pPr>
        <w:spacing w:line="700" w:lineRule="exact"/>
        <w:ind w:firstLine="1749" w:firstLineChars="486"/>
        <w:rPr>
          <w:rFonts w:ascii="仿宋" w:hAnsi="仿宋" w:eastAsia="仿宋" w:cs="仿宋"/>
          <w:color w:val="auto"/>
          <w:sz w:val="36"/>
          <w:szCs w:val="36"/>
          <w:highlight w:val="none"/>
        </w:rPr>
      </w:pPr>
    </w:p>
    <w:p>
      <w:pPr>
        <w:spacing w:line="700" w:lineRule="exact"/>
        <w:jc w:val="center"/>
        <w:rPr>
          <w:rFonts w:ascii="仿宋" w:hAnsi="仿宋" w:eastAsia="仿宋" w:cs="仿宋"/>
          <w:b/>
          <w:color w:val="auto"/>
          <w:sz w:val="36"/>
          <w:szCs w:val="36"/>
          <w:highlight w:val="none"/>
        </w:rPr>
      </w:pPr>
    </w:p>
    <w:p>
      <w:pPr>
        <w:spacing w:line="500" w:lineRule="exact"/>
        <w:ind w:left="1518" w:leftChars="542" w:firstLine="0" w:firstLineChars="0"/>
        <w:jc w:val="left"/>
        <w:outlineLvl w:val="0"/>
        <w:rPr>
          <w:rFonts w:hint="eastAsia" w:ascii="仿宋" w:hAnsi="仿宋" w:eastAsia="仿宋" w:cs="仿宋"/>
          <w:color w:val="auto"/>
          <w:sz w:val="36"/>
          <w:szCs w:val="36"/>
          <w:highlight w:val="none"/>
        </w:rPr>
      </w:pPr>
      <w:r>
        <w:rPr>
          <w:rFonts w:hint="eastAsia" w:ascii="仿宋" w:hAnsi="仿宋" w:eastAsia="仿宋" w:cs="仿宋"/>
          <w:color w:val="auto"/>
          <w:sz w:val="36"/>
          <w:szCs w:val="36"/>
          <w:highlight w:val="none"/>
        </w:rPr>
        <w:t>采购人：重庆市大渡口区教育委员会</w:t>
      </w:r>
    </w:p>
    <w:p>
      <w:pPr>
        <w:spacing w:line="500" w:lineRule="exact"/>
        <w:ind w:left="1518" w:leftChars="542" w:firstLine="0" w:firstLineChars="0"/>
        <w:jc w:val="left"/>
        <w:outlineLvl w:val="0"/>
        <w:rPr>
          <w:rFonts w:ascii="仿宋" w:hAnsi="仿宋" w:eastAsia="仿宋" w:cs="仿宋"/>
          <w:color w:val="auto"/>
          <w:sz w:val="36"/>
          <w:szCs w:val="36"/>
          <w:highlight w:val="none"/>
        </w:rPr>
      </w:pPr>
      <w:r>
        <w:rPr>
          <w:rFonts w:hint="eastAsia" w:ascii="仿宋" w:hAnsi="仿宋" w:eastAsia="仿宋" w:cs="仿宋"/>
          <w:color w:val="auto"/>
          <w:sz w:val="36"/>
          <w:szCs w:val="36"/>
          <w:highlight w:val="none"/>
          <w:lang w:val="en-US" w:eastAsia="zh-CN"/>
        </w:rPr>
        <w:t>代建业主：</w:t>
      </w:r>
      <w:r>
        <w:rPr>
          <w:rFonts w:hint="eastAsia" w:ascii="仿宋" w:hAnsi="仿宋" w:eastAsia="仿宋" w:cs="仿宋"/>
          <w:color w:val="auto"/>
          <w:sz w:val="36"/>
          <w:szCs w:val="36"/>
          <w:highlight w:val="none"/>
        </w:rPr>
        <w:t>重庆建桥实业发展有限公司</w:t>
      </w:r>
    </w:p>
    <w:p>
      <w:pPr>
        <w:spacing w:line="500" w:lineRule="exact"/>
        <w:ind w:left="1518" w:leftChars="542" w:firstLine="0" w:firstLineChars="0"/>
        <w:jc w:val="left"/>
        <w:outlineLvl w:val="0"/>
        <w:rPr>
          <w:rFonts w:hint="eastAsia" w:ascii="仿宋" w:hAnsi="仿宋" w:eastAsia="仿宋" w:cs="仿宋"/>
          <w:color w:val="auto"/>
          <w:sz w:val="36"/>
          <w:szCs w:val="36"/>
          <w:highlight w:val="none"/>
          <w:lang w:eastAsia="zh-CN"/>
        </w:rPr>
      </w:pPr>
      <w:r>
        <w:rPr>
          <w:rFonts w:hint="eastAsia" w:ascii="仿宋" w:hAnsi="仿宋" w:eastAsia="仿宋" w:cs="仿宋"/>
          <w:color w:val="auto"/>
          <w:sz w:val="36"/>
          <w:szCs w:val="36"/>
          <w:highlight w:val="none"/>
        </w:rPr>
        <w:t>采购代理机构：</w:t>
      </w:r>
      <w:r>
        <w:rPr>
          <w:rFonts w:hint="eastAsia" w:ascii="仿宋" w:hAnsi="仿宋" w:eastAsia="仿宋" w:cs="仿宋"/>
          <w:color w:val="auto"/>
          <w:sz w:val="36"/>
          <w:szCs w:val="36"/>
          <w:highlight w:val="none"/>
          <w:lang w:eastAsia="zh-CN"/>
        </w:rPr>
        <w:t>重庆高企恒工程咨询有限公司</w:t>
      </w:r>
    </w:p>
    <w:p>
      <w:pPr>
        <w:spacing w:line="500" w:lineRule="exact"/>
        <w:jc w:val="center"/>
        <w:outlineLvl w:val="0"/>
        <w:rPr>
          <w:rFonts w:ascii="仿宋" w:hAnsi="仿宋" w:eastAsia="仿宋" w:cs="仿宋"/>
          <w:color w:val="auto"/>
          <w:sz w:val="36"/>
          <w:szCs w:val="36"/>
          <w:highlight w:val="none"/>
        </w:rPr>
      </w:pPr>
    </w:p>
    <w:p>
      <w:pPr>
        <w:spacing w:line="720" w:lineRule="exact"/>
        <w:jc w:val="center"/>
        <w:outlineLvl w:val="0"/>
        <w:rPr>
          <w:rFonts w:hint="eastAsia" w:ascii="仿宋" w:hAnsi="仿宋" w:eastAsia="仿宋" w:cs="仿宋"/>
          <w:color w:val="auto"/>
          <w:sz w:val="48"/>
          <w:szCs w:val="32"/>
          <w:highlight w:val="none"/>
        </w:rPr>
      </w:pPr>
      <w:r>
        <w:rPr>
          <w:rFonts w:hint="eastAsia" w:ascii="仿宋" w:hAnsi="仿宋" w:eastAsia="仿宋" w:cs="仿宋"/>
          <w:color w:val="auto"/>
          <w:sz w:val="36"/>
          <w:szCs w:val="36"/>
          <w:highlight w:val="none"/>
        </w:rPr>
        <w:t>二〇二三年十</w:t>
      </w:r>
      <w:r>
        <w:rPr>
          <w:rFonts w:hint="eastAsia" w:ascii="仿宋" w:hAnsi="仿宋" w:eastAsia="仿宋" w:cs="仿宋"/>
          <w:color w:val="auto"/>
          <w:sz w:val="36"/>
          <w:szCs w:val="36"/>
          <w:highlight w:val="none"/>
          <w:lang w:val="en-US" w:eastAsia="zh-CN"/>
        </w:rPr>
        <w:t>一</w:t>
      </w:r>
      <w:r>
        <w:rPr>
          <w:rFonts w:hint="eastAsia" w:ascii="仿宋" w:hAnsi="仿宋" w:eastAsia="仿宋" w:cs="仿宋"/>
          <w:color w:val="auto"/>
          <w:sz w:val="36"/>
          <w:szCs w:val="36"/>
          <w:highlight w:val="none"/>
        </w:rPr>
        <w:t>月</w:t>
      </w:r>
    </w:p>
    <w:p>
      <w:pPr>
        <w:spacing w:line="720" w:lineRule="exact"/>
        <w:jc w:val="center"/>
        <w:outlineLvl w:val="0"/>
        <w:rPr>
          <w:rFonts w:hint="eastAsia" w:ascii="仿宋" w:hAnsi="仿宋" w:eastAsia="仿宋" w:cs="仿宋"/>
          <w:color w:val="auto"/>
          <w:sz w:val="48"/>
          <w:szCs w:val="32"/>
          <w:highlight w:val="none"/>
        </w:rPr>
        <w:sectPr>
          <w:headerReference r:id="rId4" w:type="first"/>
          <w:footerReference r:id="rId7" w:type="first"/>
          <w:headerReference r:id="rId3" w:type="default"/>
          <w:footerReference r:id="rId5" w:type="default"/>
          <w:footerReference r:id="rId6" w:type="even"/>
          <w:pgSz w:w="11907" w:h="16840"/>
          <w:pgMar w:top="1134" w:right="1191" w:bottom="1134" w:left="1304" w:header="851" w:footer="992" w:gutter="0"/>
          <w:pgNumType w:fmt="numberInDash" w:start="1"/>
          <w:cols w:space="720" w:num="1"/>
          <w:titlePg/>
          <w:docGrid w:linePitch="381" w:charSpace="-5735"/>
        </w:sectPr>
      </w:pPr>
    </w:p>
    <w:p>
      <w:pPr>
        <w:spacing w:line="480" w:lineRule="exact"/>
        <w:jc w:val="center"/>
        <w:outlineLvl w:val="0"/>
        <w:rPr>
          <w:rFonts w:hint="eastAsia" w:ascii="仿宋" w:hAnsi="仿宋" w:eastAsia="仿宋" w:cs="仿宋"/>
          <w:color w:val="auto"/>
          <w:sz w:val="44"/>
          <w:szCs w:val="28"/>
          <w:highlight w:val="none"/>
        </w:rPr>
      </w:pPr>
      <w:r>
        <w:rPr>
          <w:rFonts w:hint="eastAsia" w:ascii="仿宋" w:hAnsi="仿宋" w:eastAsia="仿宋" w:cs="仿宋"/>
          <w:color w:val="auto"/>
          <w:sz w:val="44"/>
          <w:szCs w:val="28"/>
          <w:highlight w:val="none"/>
        </w:rPr>
        <w:t>目   录</w:t>
      </w:r>
    </w:p>
    <w:p>
      <w:pPr>
        <w:pStyle w:val="11"/>
        <w:tabs>
          <w:tab w:val="right" w:leader="dot" w:pos="9412"/>
        </w:tabs>
        <w:rPr>
          <w:color w:val="auto"/>
          <w:highlight w:val="none"/>
        </w:rPr>
      </w:pPr>
      <w:r>
        <w:rPr>
          <w:rFonts w:hint="eastAsia" w:ascii="仿宋" w:hAnsi="仿宋" w:eastAsia="仿宋" w:cs="仿宋"/>
          <w:color w:val="auto"/>
          <w:sz w:val="21"/>
          <w:szCs w:val="21"/>
          <w:highlight w:val="none"/>
        </w:rPr>
        <w:fldChar w:fldCharType="begin"/>
      </w:r>
      <w:r>
        <w:rPr>
          <w:rFonts w:hint="eastAsia" w:ascii="仿宋" w:hAnsi="仿宋" w:eastAsia="仿宋" w:cs="仿宋"/>
          <w:color w:val="auto"/>
          <w:sz w:val="21"/>
          <w:szCs w:val="21"/>
          <w:highlight w:val="none"/>
        </w:rPr>
        <w:instrText xml:space="preserve"> TOC \o "1-3" \h \z </w:instrText>
      </w:r>
      <w:r>
        <w:rPr>
          <w:rFonts w:hint="eastAsia" w:ascii="仿宋" w:hAnsi="仿宋" w:eastAsia="仿宋" w:cs="仿宋"/>
          <w:color w:val="auto"/>
          <w:sz w:val="21"/>
          <w:szCs w:val="21"/>
          <w:highlight w:val="none"/>
        </w:rPr>
        <w:fldChar w:fldCharType="separate"/>
      </w:r>
      <w:r>
        <w:rPr>
          <w:rFonts w:hint="eastAsia" w:ascii="仿宋" w:hAnsi="仿宋" w:eastAsia="仿宋" w:cs="仿宋"/>
          <w:color w:val="auto"/>
          <w:szCs w:val="21"/>
          <w:highlight w:val="none"/>
        </w:rPr>
        <w:fldChar w:fldCharType="begin"/>
      </w:r>
      <w:r>
        <w:rPr>
          <w:rFonts w:hint="eastAsia" w:ascii="仿宋" w:hAnsi="仿宋" w:eastAsia="仿宋" w:cs="仿宋"/>
          <w:color w:val="auto"/>
          <w:szCs w:val="21"/>
          <w:highlight w:val="none"/>
        </w:rPr>
        <w:instrText xml:space="preserve"> HYPERLINK \l _Toc10169 </w:instrText>
      </w:r>
      <w:r>
        <w:rPr>
          <w:rFonts w:hint="eastAsia" w:ascii="仿宋" w:hAnsi="仿宋" w:eastAsia="仿宋" w:cs="仿宋"/>
          <w:color w:val="auto"/>
          <w:szCs w:val="21"/>
          <w:highlight w:val="none"/>
        </w:rPr>
        <w:fldChar w:fldCharType="separate"/>
      </w:r>
      <w:r>
        <w:rPr>
          <w:rFonts w:hint="eastAsia" w:ascii="仿宋" w:hAnsi="仿宋" w:eastAsia="仿宋" w:cs="仿宋"/>
          <w:color w:val="auto"/>
          <w:szCs w:val="30"/>
          <w:highlight w:val="none"/>
        </w:rPr>
        <w:t>第一篇  采购邀请书</w:t>
      </w:r>
      <w:r>
        <w:rPr>
          <w:color w:val="auto"/>
          <w:highlight w:val="none"/>
        </w:rPr>
        <w:tab/>
      </w:r>
      <w:r>
        <w:rPr>
          <w:color w:val="auto"/>
          <w:highlight w:val="none"/>
        </w:rPr>
        <w:fldChar w:fldCharType="begin"/>
      </w:r>
      <w:r>
        <w:rPr>
          <w:color w:val="auto"/>
          <w:highlight w:val="none"/>
        </w:rPr>
        <w:instrText xml:space="preserve"> PAGEREF _Toc10169 \h </w:instrText>
      </w:r>
      <w:r>
        <w:rPr>
          <w:color w:val="auto"/>
          <w:highlight w:val="none"/>
        </w:rPr>
        <w:fldChar w:fldCharType="separate"/>
      </w:r>
      <w:r>
        <w:rPr>
          <w:color w:val="auto"/>
          <w:highlight w:val="none"/>
        </w:rPr>
        <w:t>- 2 -</w:t>
      </w:r>
      <w:r>
        <w:rPr>
          <w:color w:val="auto"/>
          <w:highlight w:val="none"/>
        </w:rPr>
        <w:fldChar w:fldCharType="end"/>
      </w:r>
      <w:r>
        <w:rPr>
          <w:rFonts w:hint="eastAsia" w:ascii="仿宋" w:hAnsi="仿宋" w:eastAsia="仿宋" w:cs="仿宋"/>
          <w:color w:val="auto"/>
          <w:szCs w:val="21"/>
          <w:highlight w:val="none"/>
        </w:rPr>
        <w:fldChar w:fldCharType="end"/>
      </w:r>
    </w:p>
    <w:p>
      <w:pPr>
        <w:pStyle w:val="11"/>
        <w:tabs>
          <w:tab w:val="right" w:leader="dot" w:pos="9412"/>
        </w:tabs>
        <w:rPr>
          <w:color w:val="auto"/>
          <w:highlight w:val="none"/>
        </w:rPr>
      </w:pPr>
      <w:r>
        <w:rPr>
          <w:rFonts w:hint="eastAsia" w:ascii="仿宋" w:hAnsi="仿宋" w:eastAsia="仿宋" w:cs="仿宋"/>
          <w:color w:val="auto"/>
          <w:szCs w:val="21"/>
          <w:highlight w:val="none"/>
        </w:rPr>
        <w:fldChar w:fldCharType="begin"/>
      </w:r>
      <w:r>
        <w:rPr>
          <w:rFonts w:hint="eastAsia" w:ascii="仿宋" w:hAnsi="仿宋" w:eastAsia="仿宋" w:cs="仿宋"/>
          <w:color w:val="auto"/>
          <w:szCs w:val="21"/>
          <w:highlight w:val="none"/>
        </w:rPr>
        <w:instrText xml:space="preserve"> HYPERLINK \l _Toc13264 </w:instrText>
      </w:r>
      <w:r>
        <w:rPr>
          <w:rFonts w:hint="eastAsia" w:ascii="仿宋" w:hAnsi="仿宋" w:eastAsia="仿宋" w:cs="仿宋"/>
          <w:color w:val="auto"/>
          <w:szCs w:val="21"/>
          <w:highlight w:val="none"/>
        </w:rPr>
        <w:fldChar w:fldCharType="separate"/>
      </w:r>
      <w:r>
        <w:rPr>
          <w:rFonts w:hint="eastAsia" w:ascii="仿宋" w:hAnsi="仿宋" w:eastAsia="仿宋" w:cs="仿宋"/>
          <w:color w:val="auto"/>
          <w:szCs w:val="30"/>
          <w:highlight w:val="none"/>
        </w:rPr>
        <w:t>第二篇  项目服务需求</w:t>
      </w:r>
      <w:r>
        <w:rPr>
          <w:color w:val="auto"/>
          <w:highlight w:val="none"/>
        </w:rPr>
        <w:tab/>
      </w:r>
      <w:r>
        <w:rPr>
          <w:color w:val="auto"/>
          <w:highlight w:val="none"/>
        </w:rPr>
        <w:fldChar w:fldCharType="begin"/>
      </w:r>
      <w:r>
        <w:rPr>
          <w:color w:val="auto"/>
          <w:highlight w:val="none"/>
        </w:rPr>
        <w:instrText xml:space="preserve"> PAGEREF _Toc13264 \h </w:instrText>
      </w:r>
      <w:r>
        <w:rPr>
          <w:color w:val="auto"/>
          <w:highlight w:val="none"/>
        </w:rPr>
        <w:fldChar w:fldCharType="separate"/>
      </w:r>
      <w:r>
        <w:rPr>
          <w:color w:val="auto"/>
          <w:highlight w:val="none"/>
        </w:rPr>
        <w:t>- 5 -</w:t>
      </w:r>
      <w:r>
        <w:rPr>
          <w:color w:val="auto"/>
          <w:highlight w:val="none"/>
        </w:rPr>
        <w:fldChar w:fldCharType="end"/>
      </w:r>
      <w:r>
        <w:rPr>
          <w:rFonts w:hint="eastAsia" w:ascii="仿宋" w:hAnsi="仿宋" w:eastAsia="仿宋" w:cs="仿宋"/>
          <w:color w:val="auto"/>
          <w:szCs w:val="21"/>
          <w:highlight w:val="none"/>
        </w:rPr>
        <w:fldChar w:fldCharType="end"/>
      </w:r>
    </w:p>
    <w:p>
      <w:pPr>
        <w:pStyle w:val="11"/>
        <w:tabs>
          <w:tab w:val="right" w:leader="dot" w:pos="9412"/>
        </w:tabs>
        <w:rPr>
          <w:color w:val="auto"/>
          <w:highlight w:val="none"/>
        </w:rPr>
      </w:pPr>
      <w:r>
        <w:rPr>
          <w:rFonts w:hint="eastAsia" w:ascii="仿宋" w:hAnsi="仿宋" w:eastAsia="仿宋" w:cs="仿宋"/>
          <w:color w:val="auto"/>
          <w:szCs w:val="21"/>
          <w:highlight w:val="none"/>
        </w:rPr>
        <w:fldChar w:fldCharType="begin"/>
      </w:r>
      <w:r>
        <w:rPr>
          <w:rFonts w:hint="eastAsia" w:ascii="仿宋" w:hAnsi="仿宋" w:eastAsia="仿宋" w:cs="仿宋"/>
          <w:color w:val="auto"/>
          <w:szCs w:val="21"/>
          <w:highlight w:val="none"/>
        </w:rPr>
        <w:instrText xml:space="preserve"> HYPERLINK \l _Toc24351 </w:instrText>
      </w:r>
      <w:r>
        <w:rPr>
          <w:rFonts w:hint="eastAsia" w:ascii="仿宋" w:hAnsi="仿宋" w:eastAsia="仿宋" w:cs="仿宋"/>
          <w:color w:val="auto"/>
          <w:szCs w:val="21"/>
          <w:highlight w:val="none"/>
        </w:rPr>
        <w:fldChar w:fldCharType="separate"/>
      </w:r>
      <w:r>
        <w:rPr>
          <w:rFonts w:hint="eastAsia" w:ascii="仿宋" w:hAnsi="仿宋" w:eastAsia="仿宋" w:cs="仿宋"/>
          <w:color w:val="auto"/>
          <w:szCs w:val="30"/>
          <w:highlight w:val="none"/>
        </w:rPr>
        <w:t>第三篇  项目商务需求</w:t>
      </w:r>
      <w:r>
        <w:rPr>
          <w:color w:val="auto"/>
          <w:highlight w:val="none"/>
        </w:rPr>
        <w:tab/>
      </w:r>
      <w:r>
        <w:rPr>
          <w:color w:val="auto"/>
          <w:highlight w:val="none"/>
        </w:rPr>
        <w:fldChar w:fldCharType="begin"/>
      </w:r>
      <w:r>
        <w:rPr>
          <w:color w:val="auto"/>
          <w:highlight w:val="none"/>
        </w:rPr>
        <w:instrText xml:space="preserve"> PAGEREF _Toc24351 \h </w:instrText>
      </w:r>
      <w:r>
        <w:rPr>
          <w:color w:val="auto"/>
          <w:highlight w:val="none"/>
        </w:rPr>
        <w:fldChar w:fldCharType="separate"/>
      </w:r>
      <w:r>
        <w:rPr>
          <w:color w:val="auto"/>
          <w:highlight w:val="none"/>
        </w:rPr>
        <w:t>- 7 -</w:t>
      </w:r>
      <w:r>
        <w:rPr>
          <w:color w:val="auto"/>
          <w:highlight w:val="none"/>
        </w:rPr>
        <w:fldChar w:fldCharType="end"/>
      </w:r>
      <w:r>
        <w:rPr>
          <w:rFonts w:hint="eastAsia" w:ascii="仿宋" w:hAnsi="仿宋" w:eastAsia="仿宋" w:cs="仿宋"/>
          <w:color w:val="auto"/>
          <w:szCs w:val="21"/>
          <w:highlight w:val="none"/>
        </w:rPr>
        <w:fldChar w:fldCharType="end"/>
      </w:r>
    </w:p>
    <w:p>
      <w:pPr>
        <w:pStyle w:val="11"/>
        <w:tabs>
          <w:tab w:val="right" w:leader="dot" w:pos="9412"/>
        </w:tabs>
        <w:rPr>
          <w:color w:val="auto"/>
          <w:highlight w:val="none"/>
        </w:rPr>
      </w:pPr>
      <w:r>
        <w:rPr>
          <w:rFonts w:hint="eastAsia" w:ascii="仿宋" w:hAnsi="仿宋" w:eastAsia="仿宋" w:cs="仿宋"/>
          <w:color w:val="auto"/>
          <w:szCs w:val="21"/>
          <w:highlight w:val="none"/>
        </w:rPr>
        <w:fldChar w:fldCharType="begin"/>
      </w:r>
      <w:r>
        <w:rPr>
          <w:rFonts w:hint="eastAsia" w:ascii="仿宋" w:hAnsi="仿宋" w:eastAsia="仿宋" w:cs="仿宋"/>
          <w:color w:val="auto"/>
          <w:szCs w:val="21"/>
          <w:highlight w:val="none"/>
        </w:rPr>
        <w:instrText xml:space="preserve"> HYPERLINK \l _Toc25099 </w:instrText>
      </w:r>
      <w:r>
        <w:rPr>
          <w:rFonts w:hint="eastAsia" w:ascii="仿宋" w:hAnsi="仿宋" w:eastAsia="仿宋" w:cs="仿宋"/>
          <w:color w:val="auto"/>
          <w:szCs w:val="21"/>
          <w:highlight w:val="none"/>
        </w:rPr>
        <w:fldChar w:fldCharType="separate"/>
      </w:r>
      <w:r>
        <w:rPr>
          <w:rFonts w:hint="eastAsia" w:ascii="仿宋" w:hAnsi="仿宋" w:eastAsia="仿宋" w:cs="仿宋"/>
          <w:color w:val="auto"/>
          <w:szCs w:val="30"/>
          <w:highlight w:val="none"/>
        </w:rPr>
        <w:t>第四篇  磋商程序及方法、评审标准、无效响应和</w:t>
      </w:r>
      <w:r>
        <w:rPr>
          <w:rFonts w:hint="eastAsia" w:ascii="仿宋" w:hAnsi="仿宋" w:eastAsia="仿宋" w:cs="仿宋"/>
          <w:color w:val="auto"/>
          <w:szCs w:val="36"/>
          <w:highlight w:val="none"/>
        </w:rPr>
        <w:t>采购终止</w:t>
      </w:r>
      <w:r>
        <w:rPr>
          <w:color w:val="auto"/>
          <w:highlight w:val="none"/>
        </w:rPr>
        <w:tab/>
      </w:r>
      <w:r>
        <w:rPr>
          <w:color w:val="auto"/>
          <w:highlight w:val="none"/>
        </w:rPr>
        <w:fldChar w:fldCharType="begin"/>
      </w:r>
      <w:r>
        <w:rPr>
          <w:color w:val="auto"/>
          <w:highlight w:val="none"/>
        </w:rPr>
        <w:instrText xml:space="preserve"> PAGEREF _Toc25099 \h </w:instrText>
      </w:r>
      <w:r>
        <w:rPr>
          <w:color w:val="auto"/>
          <w:highlight w:val="none"/>
        </w:rPr>
        <w:fldChar w:fldCharType="separate"/>
      </w:r>
      <w:r>
        <w:rPr>
          <w:color w:val="auto"/>
          <w:highlight w:val="none"/>
        </w:rPr>
        <w:t>- 9 -</w:t>
      </w:r>
      <w:r>
        <w:rPr>
          <w:color w:val="auto"/>
          <w:highlight w:val="none"/>
        </w:rPr>
        <w:fldChar w:fldCharType="end"/>
      </w:r>
      <w:r>
        <w:rPr>
          <w:rFonts w:hint="eastAsia" w:ascii="仿宋" w:hAnsi="仿宋" w:eastAsia="仿宋" w:cs="仿宋"/>
          <w:color w:val="auto"/>
          <w:szCs w:val="21"/>
          <w:highlight w:val="none"/>
        </w:rPr>
        <w:fldChar w:fldCharType="end"/>
      </w:r>
    </w:p>
    <w:p>
      <w:pPr>
        <w:pStyle w:val="11"/>
        <w:tabs>
          <w:tab w:val="right" w:leader="dot" w:pos="9412"/>
        </w:tabs>
        <w:rPr>
          <w:color w:val="auto"/>
          <w:highlight w:val="none"/>
        </w:rPr>
      </w:pPr>
      <w:r>
        <w:rPr>
          <w:rFonts w:hint="eastAsia" w:ascii="仿宋" w:hAnsi="仿宋" w:eastAsia="仿宋" w:cs="仿宋"/>
          <w:color w:val="auto"/>
          <w:szCs w:val="21"/>
          <w:highlight w:val="none"/>
        </w:rPr>
        <w:fldChar w:fldCharType="begin"/>
      </w:r>
      <w:r>
        <w:rPr>
          <w:rFonts w:hint="eastAsia" w:ascii="仿宋" w:hAnsi="仿宋" w:eastAsia="仿宋" w:cs="仿宋"/>
          <w:color w:val="auto"/>
          <w:szCs w:val="21"/>
          <w:highlight w:val="none"/>
        </w:rPr>
        <w:instrText xml:space="preserve"> HYPERLINK \l _Toc31522 </w:instrText>
      </w:r>
      <w:r>
        <w:rPr>
          <w:rFonts w:hint="eastAsia" w:ascii="仿宋" w:hAnsi="仿宋" w:eastAsia="仿宋" w:cs="仿宋"/>
          <w:color w:val="auto"/>
          <w:szCs w:val="21"/>
          <w:highlight w:val="none"/>
        </w:rPr>
        <w:fldChar w:fldCharType="separate"/>
      </w:r>
      <w:r>
        <w:rPr>
          <w:rFonts w:hint="eastAsia" w:ascii="仿宋" w:hAnsi="仿宋" w:eastAsia="仿宋" w:cs="仿宋"/>
          <w:bCs/>
          <w:color w:val="auto"/>
          <w:szCs w:val="30"/>
          <w:highlight w:val="none"/>
        </w:rPr>
        <w:t>第五篇  供应商须知</w:t>
      </w:r>
      <w:r>
        <w:rPr>
          <w:color w:val="auto"/>
          <w:highlight w:val="none"/>
        </w:rPr>
        <w:tab/>
      </w:r>
      <w:r>
        <w:rPr>
          <w:color w:val="auto"/>
          <w:highlight w:val="none"/>
        </w:rPr>
        <w:fldChar w:fldCharType="begin"/>
      </w:r>
      <w:r>
        <w:rPr>
          <w:color w:val="auto"/>
          <w:highlight w:val="none"/>
        </w:rPr>
        <w:instrText xml:space="preserve"> PAGEREF _Toc31522 \h </w:instrText>
      </w:r>
      <w:r>
        <w:rPr>
          <w:color w:val="auto"/>
          <w:highlight w:val="none"/>
        </w:rPr>
        <w:fldChar w:fldCharType="separate"/>
      </w:r>
      <w:r>
        <w:rPr>
          <w:color w:val="auto"/>
          <w:highlight w:val="none"/>
        </w:rPr>
        <w:t>- 14 -</w:t>
      </w:r>
      <w:r>
        <w:rPr>
          <w:color w:val="auto"/>
          <w:highlight w:val="none"/>
        </w:rPr>
        <w:fldChar w:fldCharType="end"/>
      </w:r>
      <w:r>
        <w:rPr>
          <w:rFonts w:hint="eastAsia" w:ascii="仿宋" w:hAnsi="仿宋" w:eastAsia="仿宋" w:cs="仿宋"/>
          <w:color w:val="auto"/>
          <w:szCs w:val="21"/>
          <w:highlight w:val="none"/>
        </w:rPr>
        <w:fldChar w:fldCharType="end"/>
      </w:r>
    </w:p>
    <w:p>
      <w:pPr>
        <w:pStyle w:val="11"/>
        <w:tabs>
          <w:tab w:val="right" w:leader="dot" w:pos="9412"/>
        </w:tabs>
        <w:rPr>
          <w:color w:val="auto"/>
          <w:highlight w:val="none"/>
        </w:rPr>
      </w:pPr>
      <w:r>
        <w:rPr>
          <w:rFonts w:hint="eastAsia" w:ascii="仿宋" w:hAnsi="仿宋" w:eastAsia="仿宋" w:cs="仿宋"/>
          <w:color w:val="auto"/>
          <w:szCs w:val="21"/>
          <w:highlight w:val="none"/>
        </w:rPr>
        <w:fldChar w:fldCharType="begin"/>
      </w:r>
      <w:r>
        <w:rPr>
          <w:rFonts w:hint="eastAsia" w:ascii="仿宋" w:hAnsi="仿宋" w:eastAsia="仿宋" w:cs="仿宋"/>
          <w:color w:val="auto"/>
          <w:szCs w:val="21"/>
          <w:highlight w:val="none"/>
        </w:rPr>
        <w:instrText xml:space="preserve"> HYPERLINK \l _Toc13073 </w:instrText>
      </w:r>
      <w:r>
        <w:rPr>
          <w:rFonts w:hint="eastAsia" w:ascii="仿宋" w:hAnsi="仿宋" w:eastAsia="仿宋" w:cs="仿宋"/>
          <w:color w:val="auto"/>
          <w:szCs w:val="21"/>
          <w:highlight w:val="none"/>
        </w:rPr>
        <w:fldChar w:fldCharType="separate"/>
      </w:r>
      <w:r>
        <w:rPr>
          <w:rFonts w:hint="eastAsia" w:ascii="仿宋" w:hAnsi="仿宋" w:eastAsia="仿宋" w:cs="仿宋"/>
          <w:color w:val="auto"/>
          <w:szCs w:val="30"/>
          <w:highlight w:val="none"/>
        </w:rPr>
        <w:t>第六篇  合同</w:t>
      </w:r>
      <w:r>
        <w:rPr>
          <w:color w:val="auto"/>
          <w:highlight w:val="none"/>
        </w:rPr>
        <w:tab/>
      </w:r>
      <w:r>
        <w:rPr>
          <w:color w:val="auto"/>
          <w:highlight w:val="none"/>
        </w:rPr>
        <w:fldChar w:fldCharType="begin"/>
      </w:r>
      <w:r>
        <w:rPr>
          <w:color w:val="auto"/>
          <w:highlight w:val="none"/>
        </w:rPr>
        <w:instrText xml:space="preserve"> PAGEREF _Toc13073 \h </w:instrText>
      </w:r>
      <w:r>
        <w:rPr>
          <w:color w:val="auto"/>
          <w:highlight w:val="none"/>
        </w:rPr>
        <w:fldChar w:fldCharType="separate"/>
      </w:r>
      <w:r>
        <w:rPr>
          <w:color w:val="auto"/>
          <w:highlight w:val="none"/>
        </w:rPr>
        <w:t>- 18 -</w:t>
      </w:r>
      <w:r>
        <w:rPr>
          <w:color w:val="auto"/>
          <w:highlight w:val="none"/>
        </w:rPr>
        <w:fldChar w:fldCharType="end"/>
      </w:r>
      <w:r>
        <w:rPr>
          <w:rFonts w:hint="eastAsia" w:ascii="仿宋" w:hAnsi="仿宋" w:eastAsia="仿宋" w:cs="仿宋"/>
          <w:color w:val="auto"/>
          <w:szCs w:val="21"/>
          <w:highlight w:val="none"/>
        </w:rPr>
        <w:fldChar w:fldCharType="end"/>
      </w:r>
    </w:p>
    <w:p>
      <w:pPr>
        <w:pStyle w:val="11"/>
        <w:tabs>
          <w:tab w:val="right" w:leader="dot" w:pos="9412"/>
        </w:tabs>
        <w:rPr>
          <w:color w:val="auto"/>
          <w:highlight w:val="none"/>
        </w:rPr>
      </w:pPr>
      <w:r>
        <w:rPr>
          <w:rFonts w:hint="eastAsia" w:ascii="仿宋" w:hAnsi="仿宋" w:eastAsia="仿宋" w:cs="仿宋"/>
          <w:color w:val="auto"/>
          <w:szCs w:val="21"/>
          <w:highlight w:val="none"/>
        </w:rPr>
        <w:fldChar w:fldCharType="begin"/>
      </w:r>
      <w:r>
        <w:rPr>
          <w:rFonts w:hint="eastAsia" w:ascii="仿宋" w:hAnsi="仿宋" w:eastAsia="仿宋" w:cs="仿宋"/>
          <w:color w:val="auto"/>
          <w:szCs w:val="21"/>
          <w:highlight w:val="none"/>
        </w:rPr>
        <w:instrText xml:space="preserve"> HYPERLINK \l _Toc31908 </w:instrText>
      </w:r>
      <w:r>
        <w:rPr>
          <w:rFonts w:hint="eastAsia" w:ascii="仿宋" w:hAnsi="仿宋" w:eastAsia="仿宋" w:cs="仿宋"/>
          <w:color w:val="auto"/>
          <w:szCs w:val="21"/>
          <w:highlight w:val="none"/>
        </w:rPr>
        <w:fldChar w:fldCharType="separate"/>
      </w:r>
      <w:r>
        <w:rPr>
          <w:rFonts w:hint="eastAsia" w:ascii="仿宋" w:hAnsi="仿宋" w:eastAsia="仿宋" w:cs="仿宋"/>
          <w:color w:val="auto"/>
          <w:szCs w:val="30"/>
          <w:highlight w:val="none"/>
        </w:rPr>
        <w:t>第七篇  响应文件编制要求</w:t>
      </w:r>
      <w:r>
        <w:rPr>
          <w:color w:val="auto"/>
          <w:highlight w:val="none"/>
        </w:rPr>
        <w:tab/>
      </w:r>
      <w:r>
        <w:rPr>
          <w:color w:val="auto"/>
          <w:highlight w:val="none"/>
        </w:rPr>
        <w:fldChar w:fldCharType="begin"/>
      </w:r>
      <w:r>
        <w:rPr>
          <w:color w:val="auto"/>
          <w:highlight w:val="none"/>
        </w:rPr>
        <w:instrText xml:space="preserve"> PAGEREF _Toc31908 \h </w:instrText>
      </w:r>
      <w:r>
        <w:rPr>
          <w:color w:val="auto"/>
          <w:highlight w:val="none"/>
        </w:rPr>
        <w:fldChar w:fldCharType="separate"/>
      </w:r>
      <w:r>
        <w:rPr>
          <w:color w:val="auto"/>
          <w:highlight w:val="none"/>
        </w:rPr>
        <w:t>- 19 -</w:t>
      </w:r>
      <w:r>
        <w:rPr>
          <w:color w:val="auto"/>
          <w:highlight w:val="none"/>
        </w:rPr>
        <w:fldChar w:fldCharType="end"/>
      </w:r>
      <w:r>
        <w:rPr>
          <w:rFonts w:hint="eastAsia" w:ascii="仿宋" w:hAnsi="仿宋" w:eastAsia="仿宋" w:cs="仿宋"/>
          <w:color w:val="auto"/>
          <w:szCs w:val="21"/>
          <w:highlight w:val="none"/>
        </w:rPr>
        <w:fldChar w:fldCharType="end"/>
      </w:r>
    </w:p>
    <w:p>
      <w:pPr>
        <w:pStyle w:val="11"/>
        <w:tabs>
          <w:tab w:val="right" w:leader="dot" w:pos="9412"/>
        </w:tabs>
        <w:ind w:left="0" w:leftChars="0" w:firstLine="0" w:firstLineChars="0"/>
        <w:rPr>
          <w:color w:val="auto"/>
          <w:highlight w:val="none"/>
        </w:rPr>
      </w:pPr>
    </w:p>
    <w:p>
      <w:pPr>
        <w:pStyle w:val="11"/>
        <w:tabs>
          <w:tab w:val="right" w:leader="dot" w:pos="9402"/>
        </w:tabs>
        <w:spacing w:line="480" w:lineRule="exact"/>
        <w:ind w:left="560"/>
        <w:jc w:val="center"/>
        <w:rPr>
          <w:rFonts w:hint="eastAsia" w:ascii="仿宋" w:hAnsi="仿宋" w:eastAsia="仿宋" w:cs="仿宋"/>
          <w:color w:val="auto"/>
          <w:sz w:val="18"/>
          <w:szCs w:val="22"/>
          <w:highlight w:val="none"/>
        </w:rPr>
        <w:sectPr>
          <w:pgSz w:w="11907" w:h="16840"/>
          <w:pgMar w:top="1134" w:right="1191" w:bottom="1134" w:left="1304" w:header="851" w:footer="992" w:gutter="0"/>
          <w:pgNumType w:fmt="numberInDash" w:start="1"/>
          <w:cols w:space="720" w:num="1"/>
          <w:docGrid w:linePitch="381" w:charSpace="-5735"/>
        </w:sectPr>
      </w:pPr>
      <w:r>
        <w:rPr>
          <w:rFonts w:hint="eastAsia" w:ascii="仿宋" w:hAnsi="仿宋" w:eastAsia="仿宋" w:cs="仿宋"/>
          <w:color w:val="auto"/>
          <w:szCs w:val="21"/>
          <w:highlight w:val="none"/>
        </w:rPr>
        <w:fldChar w:fldCharType="end"/>
      </w:r>
    </w:p>
    <w:p>
      <w:pPr>
        <w:pStyle w:val="2"/>
        <w:spacing w:line="360" w:lineRule="auto"/>
        <w:jc w:val="center"/>
        <w:rPr>
          <w:rFonts w:hint="eastAsia" w:ascii="仿宋" w:hAnsi="仿宋" w:eastAsia="仿宋" w:cs="仿宋"/>
          <w:b w:val="0"/>
          <w:color w:val="auto"/>
          <w:szCs w:val="30"/>
          <w:highlight w:val="none"/>
        </w:rPr>
      </w:pPr>
      <w:bookmarkStart w:id="0" w:name="_Toc12789052"/>
      <w:bookmarkStart w:id="1" w:name="_Toc76462316"/>
      <w:bookmarkStart w:id="2" w:name="_Toc11641050"/>
      <w:bookmarkStart w:id="3" w:name="_Toc10169"/>
      <w:r>
        <w:rPr>
          <w:rFonts w:hint="eastAsia" w:ascii="仿宋" w:hAnsi="仿宋" w:eastAsia="仿宋" w:cs="仿宋"/>
          <w:b w:val="0"/>
          <w:color w:val="auto"/>
          <w:sz w:val="36"/>
          <w:szCs w:val="30"/>
          <w:highlight w:val="none"/>
        </w:rPr>
        <w:t>第一篇  采购邀请书</w:t>
      </w:r>
      <w:bookmarkEnd w:id="0"/>
      <w:bookmarkEnd w:id="1"/>
      <w:bookmarkEnd w:id="2"/>
      <w:bookmarkEnd w:id="3"/>
    </w:p>
    <w:p>
      <w:pPr>
        <w:snapToGrid w:val="0"/>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重庆高企恒工程咨询有限公司</w:t>
      </w:r>
      <w:r>
        <w:rPr>
          <w:rFonts w:hint="eastAsia" w:ascii="仿宋" w:hAnsi="仿宋" w:eastAsia="仿宋" w:cs="仿宋"/>
          <w:color w:val="auto"/>
          <w:sz w:val="24"/>
          <w:szCs w:val="24"/>
          <w:highlight w:val="none"/>
        </w:rPr>
        <w:t>（以下简称：采购代理机构）接受重庆市大渡口区教育委员会（以下简称：采购人）、重庆建桥实业发展有限公司（以下简称：代建业主）的委托，对H13地块新建学校及H13地块西侧道路工程预算编制进行竞争性磋商采购。欢迎有资格的供应商前来参与磋商。</w:t>
      </w:r>
    </w:p>
    <w:p>
      <w:pPr>
        <w:pStyle w:val="2"/>
        <w:adjustRightInd w:val="0"/>
        <w:snapToGrid w:val="0"/>
        <w:spacing w:before="0" w:after="0" w:line="400" w:lineRule="exact"/>
        <w:ind w:firstLine="482" w:firstLineChars="200"/>
        <w:rPr>
          <w:rFonts w:hint="eastAsia" w:ascii="仿宋" w:hAnsi="仿宋" w:eastAsia="仿宋" w:cs="仿宋"/>
          <w:color w:val="auto"/>
          <w:sz w:val="24"/>
          <w:highlight w:val="none"/>
        </w:rPr>
      </w:pPr>
      <w:bookmarkStart w:id="4" w:name="_Toc23590"/>
      <w:bookmarkStart w:id="5" w:name="_Toc313893526"/>
      <w:bookmarkStart w:id="6" w:name="_Toc317775175"/>
      <w:bookmarkStart w:id="7" w:name="_Toc76462317"/>
      <w:r>
        <w:rPr>
          <w:rFonts w:hint="eastAsia" w:ascii="仿宋" w:hAnsi="仿宋" w:eastAsia="仿宋" w:cs="仿宋"/>
          <w:color w:val="auto"/>
          <w:sz w:val="24"/>
          <w:highlight w:val="none"/>
        </w:rPr>
        <w:t>一、竞争性磋商内容</w:t>
      </w:r>
      <w:bookmarkEnd w:id="4"/>
      <w:bookmarkEnd w:id="5"/>
      <w:bookmarkEnd w:id="6"/>
      <w:bookmarkEnd w:id="7"/>
    </w:p>
    <w:tbl>
      <w:tblPr>
        <w:tblStyle w:val="12"/>
        <w:tblW w:w="104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52"/>
        <w:gridCol w:w="1291"/>
        <w:gridCol w:w="1738"/>
        <w:gridCol w:w="1375"/>
        <w:gridCol w:w="1358"/>
        <w:gridCol w:w="1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265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bCs/>
                <w:color w:val="auto"/>
                <w:kern w:val="0"/>
                <w:sz w:val="21"/>
                <w:szCs w:val="24"/>
                <w:highlight w:val="none"/>
              </w:rPr>
            </w:pPr>
            <w:r>
              <w:rPr>
                <w:rFonts w:hint="eastAsia" w:ascii="仿宋" w:hAnsi="仿宋" w:eastAsia="仿宋" w:cs="仿宋"/>
                <w:b/>
                <w:bCs/>
                <w:color w:val="auto"/>
                <w:kern w:val="0"/>
                <w:sz w:val="21"/>
                <w:szCs w:val="24"/>
                <w:highlight w:val="none"/>
              </w:rPr>
              <w:t>名称</w:t>
            </w:r>
          </w:p>
        </w:tc>
        <w:tc>
          <w:tcPr>
            <w:tcW w:w="129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color w:val="auto"/>
                <w:kern w:val="0"/>
                <w:sz w:val="21"/>
                <w:szCs w:val="24"/>
                <w:highlight w:val="none"/>
                <w:lang w:eastAsia="zh-CN"/>
              </w:rPr>
            </w:pPr>
            <w:r>
              <w:rPr>
                <w:rFonts w:hint="eastAsia" w:ascii="仿宋" w:hAnsi="仿宋" w:eastAsia="仿宋" w:cs="仿宋"/>
                <w:b/>
                <w:bCs/>
                <w:color w:val="auto"/>
                <w:kern w:val="0"/>
                <w:sz w:val="21"/>
                <w:szCs w:val="24"/>
                <w:highlight w:val="none"/>
                <w:lang w:val="en-US" w:eastAsia="zh-CN"/>
              </w:rPr>
              <w:t>折扣率</w:t>
            </w:r>
            <w:r>
              <w:rPr>
                <w:rFonts w:hint="eastAsia" w:ascii="仿宋" w:hAnsi="仿宋" w:eastAsia="仿宋" w:cs="仿宋"/>
                <w:b/>
                <w:bCs/>
                <w:color w:val="auto"/>
                <w:kern w:val="0"/>
                <w:sz w:val="21"/>
                <w:szCs w:val="24"/>
                <w:highlight w:val="none"/>
              </w:rPr>
              <w:t>最高限价</w:t>
            </w:r>
            <w:r>
              <w:rPr>
                <w:rFonts w:hint="eastAsia" w:ascii="仿宋" w:hAnsi="仿宋" w:eastAsia="仿宋" w:cs="仿宋"/>
                <w:b/>
                <w:bCs/>
                <w:color w:val="auto"/>
                <w:kern w:val="0"/>
                <w:sz w:val="21"/>
                <w:szCs w:val="24"/>
                <w:highlight w:val="none"/>
                <w:lang w:eastAsia="zh-CN"/>
              </w:rPr>
              <w:t>（</w:t>
            </w:r>
            <w:r>
              <w:rPr>
                <w:rFonts w:hint="eastAsia" w:ascii="仿宋" w:hAnsi="仿宋" w:eastAsia="仿宋" w:cs="仿宋"/>
                <w:b/>
                <w:bCs/>
                <w:color w:val="auto"/>
                <w:kern w:val="0"/>
                <w:sz w:val="21"/>
                <w:szCs w:val="24"/>
                <w:highlight w:val="none"/>
                <w:lang w:val="en-US" w:eastAsia="zh-CN"/>
              </w:rPr>
              <w:t>%</w:t>
            </w:r>
            <w:r>
              <w:rPr>
                <w:rFonts w:hint="eastAsia" w:ascii="仿宋" w:hAnsi="仿宋" w:eastAsia="仿宋" w:cs="仿宋"/>
                <w:b/>
                <w:bCs/>
                <w:color w:val="auto"/>
                <w:kern w:val="0"/>
                <w:sz w:val="21"/>
                <w:szCs w:val="24"/>
                <w:highlight w:val="none"/>
                <w:lang w:eastAsia="zh-CN"/>
              </w:rPr>
              <w:t>）</w:t>
            </w:r>
          </w:p>
        </w:tc>
        <w:tc>
          <w:tcPr>
            <w:tcW w:w="17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仿宋" w:hAnsi="仿宋" w:eastAsia="仿宋" w:cs="仿宋"/>
                <w:b/>
                <w:bCs/>
                <w:color w:val="auto"/>
                <w:kern w:val="0"/>
                <w:sz w:val="21"/>
                <w:szCs w:val="24"/>
                <w:highlight w:val="none"/>
                <w:lang w:val="en-US" w:eastAsia="zh-CN"/>
              </w:rPr>
            </w:pPr>
            <w:r>
              <w:rPr>
                <w:rFonts w:hint="eastAsia" w:ascii="仿宋" w:hAnsi="仿宋" w:eastAsia="仿宋" w:cs="仿宋"/>
                <w:b/>
                <w:bCs/>
                <w:color w:val="auto"/>
                <w:kern w:val="0"/>
                <w:sz w:val="21"/>
                <w:szCs w:val="24"/>
                <w:highlight w:val="none"/>
                <w:lang w:val="en-US" w:eastAsia="zh-CN"/>
              </w:rPr>
              <w:t>暂定总报价最高限价（元）</w:t>
            </w:r>
          </w:p>
        </w:tc>
        <w:tc>
          <w:tcPr>
            <w:tcW w:w="13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仿宋" w:hAnsi="仿宋" w:eastAsia="仿宋" w:cs="仿宋"/>
                <w:b/>
                <w:bCs/>
                <w:color w:val="auto"/>
                <w:kern w:val="0"/>
                <w:sz w:val="21"/>
                <w:szCs w:val="24"/>
                <w:highlight w:val="none"/>
                <w:lang w:val="en-US" w:eastAsia="zh-CN"/>
              </w:rPr>
            </w:pPr>
            <w:r>
              <w:rPr>
                <w:rFonts w:hint="eastAsia" w:ascii="仿宋" w:hAnsi="仿宋" w:eastAsia="仿宋" w:cs="仿宋"/>
                <w:b/>
                <w:bCs/>
                <w:color w:val="auto"/>
                <w:kern w:val="0"/>
                <w:sz w:val="21"/>
                <w:szCs w:val="24"/>
                <w:highlight w:val="none"/>
                <w:lang w:val="en-US" w:eastAsia="zh-CN"/>
              </w:rPr>
              <w:t>磋商保证金（元）</w:t>
            </w:r>
          </w:p>
        </w:tc>
        <w:tc>
          <w:tcPr>
            <w:tcW w:w="13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color w:val="auto"/>
                <w:kern w:val="0"/>
                <w:sz w:val="21"/>
                <w:szCs w:val="24"/>
                <w:highlight w:val="none"/>
              </w:rPr>
            </w:pPr>
            <w:r>
              <w:rPr>
                <w:rFonts w:hint="eastAsia" w:ascii="仿宋" w:hAnsi="仿宋" w:eastAsia="仿宋" w:cs="仿宋"/>
                <w:b/>
                <w:bCs/>
                <w:color w:val="auto"/>
                <w:kern w:val="0"/>
                <w:sz w:val="21"/>
                <w:szCs w:val="24"/>
                <w:highlight w:val="none"/>
              </w:rPr>
              <w:t>成交供应商数量（名）</w:t>
            </w:r>
          </w:p>
        </w:tc>
        <w:tc>
          <w:tcPr>
            <w:tcW w:w="19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color w:val="auto"/>
                <w:kern w:val="0"/>
                <w:sz w:val="21"/>
                <w:szCs w:val="24"/>
                <w:highlight w:val="none"/>
              </w:rPr>
            </w:pPr>
            <w:r>
              <w:rPr>
                <w:rFonts w:hint="eastAsia" w:ascii="仿宋" w:hAnsi="仿宋" w:eastAsia="仿宋" w:cs="仿宋"/>
                <w:b/>
                <w:bCs/>
                <w:color w:val="auto"/>
                <w:kern w:val="0"/>
                <w:sz w:val="21"/>
                <w:szCs w:val="24"/>
                <w:highlight w:val="none"/>
              </w:rPr>
              <w:t>采购标的对应的中小企业划分标准所属行业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265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1"/>
                <w:szCs w:val="24"/>
                <w:highlight w:val="none"/>
              </w:rPr>
            </w:pPr>
            <w:bookmarkStart w:id="8" w:name="_Hlk344477914"/>
            <w:r>
              <w:rPr>
                <w:rFonts w:hint="eastAsia" w:ascii="仿宋" w:hAnsi="仿宋" w:eastAsia="仿宋" w:cs="仿宋"/>
                <w:color w:val="auto"/>
                <w:kern w:val="0"/>
                <w:sz w:val="21"/>
                <w:szCs w:val="24"/>
                <w:highlight w:val="none"/>
              </w:rPr>
              <w:t>H13地块新建学校及H13地块西侧道路工程预算编制</w:t>
            </w:r>
          </w:p>
        </w:tc>
        <w:tc>
          <w:tcPr>
            <w:tcW w:w="12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仿宋"/>
                <w:color w:val="auto"/>
                <w:kern w:val="0"/>
                <w:sz w:val="21"/>
                <w:szCs w:val="24"/>
                <w:highlight w:val="none"/>
                <w:lang w:val="en-US" w:eastAsia="zh-CN"/>
              </w:rPr>
            </w:pPr>
            <w:r>
              <w:rPr>
                <w:rFonts w:hint="eastAsia" w:ascii="仿宋" w:hAnsi="仿宋" w:eastAsia="仿宋" w:cs="仿宋"/>
                <w:color w:val="auto"/>
                <w:kern w:val="0"/>
                <w:sz w:val="21"/>
                <w:szCs w:val="24"/>
                <w:highlight w:val="none"/>
                <w:lang w:val="en-US" w:eastAsia="zh-CN"/>
              </w:rPr>
              <w:t>50</w:t>
            </w:r>
          </w:p>
        </w:tc>
        <w:tc>
          <w:tcPr>
            <w:tcW w:w="173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仿宋"/>
                <w:color w:val="auto"/>
                <w:kern w:val="0"/>
                <w:sz w:val="21"/>
                <w:szCs w:val="24"/>
                <w:highlight w:val="none"/>
                <w:lang w:val="en-US" w:eastAsia="zh-CN"/>
              </w:rPr>
            </w:pPr>
            <w:r>
              <w:rPr>
                <w:rFonts w:hint="eastAsia" w:ascii="仿宋" w:hAnsi="仿宋" w:eastAsia="仿宋" w:cs="仿宋"/>
                <w:color w:val="auto"/>
                <w:kern w:val="0"/>
                <w:sz w:val="21"/>
                <w:szCs w:val="24"/>
                <w:highlight w:val="none"/>
                <w:lang w:val="en-US" w:eastAsia="zh-CN"/>
              </w:rPr>
              <w:t>461250.00</w:t>
            </w:r>
          </w:p>
        </w:tc>
        <w:tc>
          <w:tcPr>
            <w:tcW w:w="13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仿宋"/>
                <w:color w:val="auto"/>
                <w:kern w:val="0"/>
                <w:sz w:val="21"/>
                <w:szCs w:val="24"/>
                <w:highlight w:val="none"/>
                <w:lang w:val="en-US" w:eastAsia="zh-CN"/>
              </w:rPr>
            </w:pPr>
            <w:r>
              <w:rPr>
                <w:rFonts w:hint="eastAsia" w:ascii="仿宋" w:hAnsi="仿宋" w:eastAsia="仿宋" w:cs="仿宋"/>
                <w:color w:val="auto"/>
                <w:kern w:val="0"/>
                <w:sz w:val="21"/>
                <w:szCs w:val="24"/>
                <w:highlight w:val="none"/>
                <w:lang w:val="en-US" w:eastAsia="zh-CN"/>
              </w:rPr>
              <w:t>9000.00</w:t>
            </w:r>
          </w:p>
        </w:tc>
        <w:tc>
          <w:tcPr>
            <w:tcW w:w="13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color w:val="auto"/>
                <w:sz w:val="21"/>
                <w:szCs w:val="21"/>
                <w:highlight w:val="none"/>
              </w:rPr>
            </w:pPr>
            <w:r>
              <w:rPr>
                <w:rFonts w:hint="eastAsia" w:ascii="仿宋" w:hAnsi="仿宋" w:eastAsia="仿宋" w:cs="仿宋"/>
                <w:color w:val="auto"/>
                <w:kern w:val="0"/>
                <w:sz w:val="21"/>
                <w:szCs w:val="24"/>
                <w:highlight w:val="none"/>
                <w:lang w:val="en-US" w:eastAsia="zh-CN"/>
              </w:rPr>
              <w:t>1</w:t>
            </w:r>
          </w:p>
        </w:tc>
        <w:tc>
          <w:tcPr>
            <w:tcW w:w="19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rPr>
              <w:t>其他未列明行业</w:t>
            </w:r>
          </w:p>
        </w:tc>
      </w:tr>
      <w:bookmarkEnd w:id="8"/>
    </w:tbl>
    <w:p>
      <w:pPr>
        <w:pStyle w:val="2"/>
        <w:adjustRightInd w:val="0"/>
        <w:snapToGrid w:val="0"/>
        <w:spacing w:before="0" w:after="0" w:line="400" w:lineRule="exact"/>
        <w:ind w:firstLine="482" w:firstLineChars="200"/>
        <w:rPr>
          <w:rFonts w:hint="eastAsia" w:ascii="仿宋" w:hAnsi="仿宋" w:eastAsia="仿宋" w:cs="仿宋"/>
          <w:color w:val="auto"/>
          <w:sz w:val="24"/>
          <w:highlight w:val="none"/>
        </w:rPr>
      </w:pPr>
      <w:bookmarkStart w:id="9" w:name="_Toc76462318"/>
      <w:bookmarkStart w:id="10" w:name="_Toc29266"/>
      <w:bookmarkStart w:id="11" w:name="_Toc373860293"/>
      <w:bookmarkStart w:id="12" w:name="_Toc317775178"/>
      <w:r>
        <w:rPr>
          <w:rFonts w:hint="eastAsia" w:ascii="仿宋" w:hAnsi="仿宋" w:eastAsia="仿宋" w:cs="仿宋"/>
          <w:color w:val="auto"/>
          <w:sz w:val="24"/>
          <w:highlight w:val="none"/>
        </w:rPr>
        <w:t>二、资金来源</w:t>
      </w:r>
      <w:bookmarkEnd w:id="9"/>
      <w:bookmarkEnd w:id="10"/>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财政预算资金。</w:t>
      </w:r>
    </w:p>
    <w:p>
      <w:pPr>
        <w:pStyle w:val="2"/>
        <w:adjustRightInd w:val="0"/>
        <w:snapToGrid w:val="0"/>
        <w:spacing w:before="0" w:after="0" w:line="400" w:lineRule="exact"/>
        <w:ind w:firstLine="482" w:firstLineChars="200"/>
        <w:rPr>
          <w:rFonts w:hint="eastAsia" w:ascii="仿宋" w:hAnsi="仿宋" w:eastAsia="仿宋" w:cs="仿宋"/>
          <w:color w:val="auto"/>
          <w:sz w:val="24"/>
          <w:highlight w:val="none"/>
        </w:rPr>
      </w:pPr>
      <w:bookmarkStart w:id="13" w:name="_Toc14567"/>
      <w:bookmarkStart w:id="14" w:name="_Toc76462319"/>
      <w:r>
        <w:rPr>
          <w:rFonts w:hint="eastAsia" w:ascii="仿宋" w:hAnsi="仿宋" w:eastAsia="仿宋" w:cs="仿宋"/>
          <w:color w:val="auto"/>
          <w:sz w:val="24"/>
          <w:highlight w:val="none"/>
        </w:rPr>
        <w:t>三、供应商资格条件</w:t>
      </w:r>
      <w:bookmarkEnd w:id="13"/>
      <w:bookmarkEnd w:id="14"/>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（一）满足《中华人民共和国政府采购法》第二十二条规定；</w:t>
      </w:r>
    </w:p>
    <w:p>
      <w:pPr>
        <w:spacing w:line="400" w:lineRule="exact"/>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（二）落实政府采购政策需满足的资格要求：</w:t>
      </w:r>
      <w:r>
        <w:rPr>
          <w:rFonts w:hint="eastAsia" w:ascii="仿宋" w:hAnsi="仿宋" w:eastAsia="仿宋" w:cs="仿宋"/>
          <w:i w:val="0"/>
          <w:iCs/>
          <w:color w:val="auto"/>
          <w:sz w:val="24"/>
          <w:szCs w:val="24"/>
          <w:highlight w:val="none"/>
          <w:u w:val="none"/>
          <w:lang w:val="en-US" w:eastAsia="zh-CN"/>
        </w:rPr>
        <w:t>无；</w:t>
      </w:r>
    </w:p>
    <w:p>
      <w:pPr>
        <w:spacing w:line="400" w:lineRule="exact"/>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（三）本项目的特定资格要求：</w:t>
      </w:r>
      <w:r>
        <w:rPr>
          <w:rFonts w:hint="eastAsia" w:ascii="仿宋" w:hAnsi="仿宋" w:eastAsia="仿宋" w:cs="仿宋"/>
          <w:color w:val="auto"/>
          <w:sz w:val="24"/>
          <w:szCs w:val="24"/>
          <w:highlight w:val="none"/>
          <w:lang w:val="en-US" w:eastAsia="zh-CN"/>
        </w:rPr>
        <w:t>无。</w:t>
      </w:r>
    </w:p>
    <w:p>
      <w:pPr>
        <w:pStyle w:val="2"/>
        <w:adjustRightInd w:val="0"/>
        <w:snapToGrid w:val="0"/>
        <w:spacing w:before="0" w:after="0" w:line="400" w:lineRule="exact"/>
        <w:ind w:firstLine="482" w:firstLineChars="200"/>
        <w:rPr>
          <w:rFonts w:hint="eastAsia" w:ascii="仿宋" w:hAnsi="仿宋" w:eastAsia="仿宋" w:cs="仿宋"/>
          <w:color w:val="auto"/>
          <w:sz w:val="24"/>
          <w:highlight w:val="none"/>
        </w:rPr>
      </w:pPr>
      <w:bookmarkStart w:id="15" w:name="_Toc76462320"/>
      <w:bookmarkStart w:id="16" w:name="_Toc8075"/>
      <w:r>
        <w:rPr>
          <w:rFonts w:hint="eastAsia" w:ascii="仿宋" w:hAnsi="仿宋" w:eastAsia="仿宋" w:cs="仿宋"/>
          <w:color w:val="auto"/>
          <w:sz w:val="24"/>
          <w:highlight w:val="none"/>
        </w:rPr>
        <w:t>四、磋商有关说明</w:t>
      </w:r>
      <w:bookmarkEnd w:id="11"/>
      <w:bookmarkEnd w:id="15"/>
      <w:bookmarkEnd w:id="16"/>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凡有意参加磋商的供应商，请在建桥工业园（http://www.jqgyy.com/）上下载或到采购代理机构处领取本项目竞争性磋商文件以及澄清等磋商前公布的所有项目资料，无论供应商下载或领取与否，均视为已知晓所有磋商实质性要求内容。</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二</w:t>
      </w:r>
      <w:r>
        <w:rPr>
          <w:rFonts w:hint="eastAsia" w:ascii="仿宋" w:hAnsi="仿宋" w:eastAsia="仿宋" w:cs="仿宋"/>
          <w:color w:val="auto"/>
          <w:sz w:val="24"/>
          <w:szCs w:val="24"/>
          <w:highlight w:val="none"/>
        </w:rPr>
        <w:t>）竞争性磋商公告期限：自采购公告发布之日起三个工作日。</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三</w:t>
      </w:r>
      <w:r>
        <w:rPr>
          <w:rFonts w:hint="eastAsia" w:ascii="仿宋" w:hAnsi="仿宋" w:eastAsia="仿宋" w:cs="仿宋"/>
          <w:color w:val="auto"/>
          <w:sz w:val="24"/>
          <w:szCs w:val="24"/>
          <w:highlight w:val="none"/>
        </w:rPr>
        <w:t xml:space="preserve">）竞争性磋商文件发售期限： </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1.竞争性磋商文件发售期：</w:t>
      </w:r>
      <w:r>
        <w:rPr>
          <w:rFonts w:hint="eastAsia" w:ascii="仿宋" w:hAnsi="仿宋" w:eastAsia="仿宋" w:cs="仿宋"/>
          <w:color w:val="auto"/>
          <w:sz w:val="24"/>
          <w:szCs w:val="24"/>
          <w:highlight w:val="none"/>
          <w:lang w:val="en-US" w:eastAsia="zh-CN"/>
        </w:rPr>
        <w:t>2023</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lang w:val="en-US" w:eastAsia="zh-CN"/>
        </w:rPr>
        <w:t>11</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日至</w:t>
      </w:r>
      <w:r>
        <w:rPr>
          <w:rFonts w:hint="eastAsia" w:ascii="仿宋" w:hAnsi="仿宋" w:eastAsia="仿宋" w:cs="仿宋"/>
          <w:color w:val="auto"/>
          <w:sz w:val="24"/>
          <w:szCs w:val="24"/>
          <w:highlight w:val="none"/>
          <w:lang w:val="en-US" w:eastAsia="zh-CN"/>
        </w:rPr>
        <w:t>2023</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lang w:val="en-US" w:eastAsia="zh-CN"/>
        </w:rPr>
        <w:t>11</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rPr>
        <w:t>日。</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2.报名方式：</w:t>
      </w:r>
      <w:r>
        <w:rPr>
          <w:rFonts w:hint="eastAsia" w:ascii="仿宋" w:hAnsi="仿宋" w:eastAsia="仿宋" w:cs="仿宋"/>
          <w:color w:val="auto"/>
          <w:sz w:val="24"/>
          <w:szCs w:val="24"/>
          <w:highlight w:val="none"/>
          <w:lang w:val="en-US" w:eastAsia="zh-CN"/>
        </w:rPr>
        <w:t>不需要报名</w:t>
      </w:r>
      <w:r>
        <w:rPr>
          <w:rFonts w:hint="eastAsia" w:ascii="仿宋" w:hAnsi="仿宋" w:eastAsia="仿宋" w:cs="仿宋"/>
          <w:color w:val="auto"/>
          <w:sz w:val="24"/>
          <w:szCs w:val="24"/>
          <w:highlight w:val="none"/>
        </w:rPr>
        <w:t>。</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3.竞争性磋商文件售价：</w:t>
      </w:r>
      <w:r>
        <w:rPr>
          <w:rFonts w:hint="eastAsia" w:ascii="仿宋" w:hAnsi="仿宋" w:eastAsia="仿宋" w:cs="仿宋"/>
          <w:color w:val="auto"/>
          <w:sz w:val="24"/>
          <w:szCs w:val="24"/>
          <w:highlight w:val="none"/>
          <w:lang w:val="en-US" w:eastAsia="zh-CN"/>
        </w:rPr>
        <w:t>0元</w:t>
      </w:r>
      <w:r>
        <w:rPr>
          <w:rFonts w:hint="eastAsia" w:ascii="仿宋" w:hAnsi="仿宋" w:eastAsia="仿宋" w:cs="仿宋"/>
          <w:color w:val="auto"/>
          <w:sz w:val="24"/>
          <w:szCs w:val="24"/>
          <w:highlight w:val="none"/>
        </w:rPr>
        <w:t>。</w:t>
      </w:r>
    </w:p>
    <w:p>
      <w:pPr>
        <w:spacing w:line="400" w:lineRule="exact"/>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四</w:t>
      </w:r>
      <w:r>
        <w:rPr>
          <w:rFonts w:hint="eastAsia" w:ascii="仿宋" w:hAnsi="仿宋" w:eastAsia="仿宋" w:cs="仿宋"/>
          <w:color w:val="auto"/>
          <w:sz w:val="24"/>
          <w:szCs w:val="24"/>
          <w:highlight w:val="none"/>
        </w:rPr>
        <w:t>）递交响应文件地点：重庆建桥实业发展有限公司接标处（重庆市大渡口区田西路中冶熙城商街1号楼1楼）</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五</w:t>
      </w:r>
      <w:r>
        <w:rPr>
          <w:rFonts w:hint="eastAsia" w:ascii="仿宋" w:hAnsi="仿宋" w:eastAsia="仿宋" w:cs="仿宋"/>
          <w:color w:val="auto"/>
          <w:sz w:val="24"/>
          <w:szCs w:val="24"/>
          <w:highlight w:val="none"/>
        </w:rPr>
        <w:t>）响应文件递交截止时间：</w:t>
      </w:r>
      <w:r>
        <w:rPr>
          <w:rFonts w:hint="eastAsia" w:ascii="仿宋" w:hAnsi="仿宋" w:eastAsia="仿宋" w:cs="仿宋"/>
          <w:color w:val="auto"/>
          <w:sz w:val="24"/>
          <w:szCs w:val="24"/>
          <w:highlight w:val="none"/>
          <w:lang w:val="en-US" w:eastAsia="zh-CN"/>
        </w:rPr>
        <w:t>2023</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lang w:val="en-US" w:eastAsia="zh-CN"/>
        </w:rPr>
        <w:t>11</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rPr>
        <w:t>日北京时间10:00</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六</w:t>
      </w:r>
      <w:r>
        <w:rPr>
          <w:rFonts w:hint="eastAsia" w:ascii="仿宋" w:hAnsi="仿宋" w:eastAsia="仿宋" w:cs="仿宋"/>
          <w:color w:val="auto"/>
          <w:sz w:val="24"/>
          <w:szCs w:val="24"/>
          <w:highlight w:val="none"/>
        </w:rPr>
        <w:t>）磋商开始时间：202</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lang w:val="en-US" w:eastAsia="zh-CN"/>
        </w:rPr>
        <w:t>11</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rPr>
        <w:t>日北京时间10:00</w:t>
      </w:r>
    </w:p>
    <w:p>
      <w:pPr>
        <w:snapToGrid w:val="0"/>
        <w:spacing w:line="400" w:lineRule="exact"/>
        <w:ind w:firstLine="482" w:firstLineChars="200"/>
        <w:rPr>
          <w:rFonts w:hint="eastAsia" w:ascii="仿宋" w:hAnsi="仿宋" w:eastAsia="仿宋" w:cs="仿宋"/>
          <w:color w:val="auto"/>
          <w:sz w:val="24"/>
          <w:highlight w:val="none"/>
        </w:rPr>
      </w:pPr>
      <w:bookmarkStart w:id="17" w:name="_Toc373860294"/>
      <w:bookmarkStart w:id="18" w:name="_Toc76462321"/>
      <w:bookmarkStart w:id="19" w:name="_Toc31589"/>
      <w:r>
        <w:rPr>
          <w:rFonts w:hint="eastAsia" w:ascii="仿宋" w:hAnsi="仿宋" w:eastAsia="仿宋" w:cs="仿宋"/>
          <w:b/>
          <w:bCs/>
          <w:color w:val="auto"/>
          <w:sz w:val="24"/>
          <w:highlight w:val="none"/>
        </w:rPr>
        <w:t>五、</w:t>
      </w:r>
      <w:bookmarkEnd w:id="12"/>
      <w:bookmarkEnd w:id="17"/>
      <w:bookmarkEnd w:id="18"/>
      <w:bookmarkEnd w:id="19"/>
      <w:r>
        <w:rPr>
          <w:rFonts w:hint="eastAsia" w:ascii="仿宋" w:hAnsi="仿宋" w:eastAsia="仿宋" w:cs="仿宋"/>
          <w:b/>
          <w:bCs/>
          <w:color w:val="auto"/>
          <w:sz w:val="24"/>
          <w:highlight w:val="none"/>
        </w:rPr>
        <w:t>磋商保证金</w:t>
      </w:r>
    </w:p>
    <w:p>
      <w:pPr>
        <w:snapToGrid w:val="0"/>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（一）保证金递交</w:t>
      </w:r>
    </w:p>
    <w:p>
      <w:pPr>
        <w:snapToGrid w:val="0"/>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1、磋商保证金交款形式及要求</w:t>
      </w:r>
      <w:bookmarkStart w:id="142" w:name="_GoBack"/>
      <w:bookmarkEnd w:id="142"/>
    </w:p>
    <w:p>
      <w:pPr>
        <w:snapToGrid w:val="0"/>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供应商从单位基本银行账户在2023年11月</w:t>
      </w:r>
      <w:r>
        <w:rPr>
          <w:rFonts w:hint="eastAsia" w:ascii="仿宋" w:hAnsi="仿宋" w:eastAsia="仿宋" w:cs="仿宋"/>
          <w:color w:val="auto"/>
          <w:sz w:val="24"/>
          <w:highlight w:val="none"/>
          <w:lang w:val="en-US" w:eastAsia="zh-CN"/>
        </w:rPr>
        <w:t>9</w:t>
      </w:r>
      <w:r>
        <w:rPr>
          <w:rFonts w:hint="eastAsia" w:ascii="仿宋" w:hAnsi="仿宋" w:eastAsia="仿宋" w:cs="仿宋"/>
          <w:color w:val="auto"/>
          <w:sz w:val="24"/>
          <w:highlight w:val="none"/>
        </w:rPr>
        <w:t>日17时00分（北京时间）前（建议通过网上银行方式）直接划付至指定的磋商保证金账户，否则磋商保证金无效。供应商自行考虑汇入时间风险（如同城汇入、异地汇入、跨行汇入的时间要求）。供应商提交的磋商保证金未由供应商单位的基本银行账户划付或划付的磋商保证金金额不足的或未按时到账的，其磋商保证金交纳无效。</w:t>
      </w:r>
    </w:p>
    <w:p>
      <w:pPr>
        <w:snapToGrid w:val="0"/>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2、磋商保证金金额及账户信息：</w:t>
      </w:r>
    </w:p>
    <w:p>
      <w:pPr>
        <w:snapToGrid w:val="0"/>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（1）磋商保证金的金额：人民币</w:t>
      </w:r>
      <w:r>
        <w:rPr>
          <w:rFonts w:hint="eastAsia" w:ascii="仿宋" w:hAnsi="仿宋" w:eastAsia="仿宋" w:cs="仿宋"/>
          <w:color w:val="auto"/>
          <w:sz w:val="24"/>
          <w:highlight w:val="none"/>
          <w:lang w:val="en-US" w:eastAsia="zh-CN"/>
        </w:rPr>
        <w:t>9000.00</w:t>
      </w:r>
      <w:r>
        <w:rPr>
          <w:rFonts w:hint="eastAsia" w:ascii="仿宋" w:hAnsi="仿宋" w:eastAsia="仿宋" w:cs="仿宋"/>
          <w:color w:val="auto"/>
          <w:sz w:val="24"/>
          <w:highlight w:val="none"/>
        </w:rPr>
        <w:t>元（大写：</w:t>
      </w:r>
      <w:r>
        <w:rPr>
          <w:rFonts w:hint="eastAsia" w:ascii="仿宋" w:hAnsi="仿宋" w:eastAsia="仿宋" w:cs="仿宋"/>
          <w:color w:val="auto"/>
          <w:sz w:val="24"/>
          <w:highlight w:val="none"/>
          <w:lang w:val="en-US" w:eastAsia="zh-CN"/>
        </w:rPr>
        <w:t>玖仟元整</w:t>
      </w:r>
      <w:r>
        <w:rPr>
          <w:rFonts w:hint="eastAsia" w:ascii="仿宋" w:hAnsi="仿宋" w:eastAsia="仿宋" w:cs="仿宋"/>
          <w:color w:val="auto"/>
          <w:sz w:val="24"/>
          <w:highlight w:val="none"/>
        </w:rPr>
        <w:t>）</w:t>
      </w:r>
    </w:p>
    <w:p>
      <w:pPr>
        <w:snapToGrid w:val="0"/>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（2）账户信息</w:t>
      </w:r>
    </w:p>
    <w:p>
      <w:pPr>
        <w:snapToGrid w:val="0"/>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开户银行：兴业银行大渡口支行</w:t>
      </w:r>
    </w:p>
    <w:p>
      <w:pPr>
        <w:snapToGrid w:val="0"/>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账号：346080100100163879</w:t>
      </w:r>
    </w:p>
    <w:p>
      <w:pPr>
        <w:snapToGrid w:val="0"/>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户名：重庆建桥实业发展有限公司</w:t>
      </w:r>
    </w:p>
    <w:p>
      <w:pPr>
        <w:snapToGrid w:val="0"/>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3、磋商保证金有效期等同竞标有效期。</w:t>
      </w:r>
    </w:p>
    <w:p>
      <w:pPr>
        <w:snapToGrid w:val="0"/>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4、未在指定时间内到账的磋商保证金为无效磋商保证金，当场退还其响应文件。</w:t>
      </w:r>
    </w:p>
    <w:p>
      <w:pPr>
        <w:snapToGrid w:val="0"/>
        <w:spacing w:line="400" w:lineRule="exact"/>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5、供应商应将单位基本银行账户的开户许可证（或银行盖章的基本账户证明材料）和磋商保证金进账凭据带至现场查验。</w:t>
      </w:r>
    </w:p>
    <w:p>
      <w:pPr>
        <w:snapToGrid w:val="0"/>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（二）保证金退还方式</w:t>
      </w:r>
    </w:p>
    <w:p>
      <w:pPr>
        <w:snapToGrid w:val="0"/>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在公示期结束后五个工作日内，供应商应持采购人开具的收据，方能退还投磋商保证金，否则责任自负。采购人向除成交人以外的供应商无息退还磋商保证金。成交人的磋商保证金在采购人与成交人签订的项目合同（原件）后五个工作日内无息退还。磋商保证金通过网上银行转账的方式退还至各供应商缴纳保证金的帐户。</w:t>
      </w:r>
    </w:p>
    <w:p>
      <w:pPr>
        <w:snapToGrid w:val="0"/>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如因供应商自身原因，磋商保证金未缴入本项目专用账户导致的磋商保证金退还延迟，由供应商自行负责。</w:t>
      </w:r>
    </w:p>
    <w:p>
      <w:pPr>
        <w:snapToGrid w:val="0"/>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highlight w:val="none"/>
        </w:rPr>
        <w:t>保证金联系人：李老师；      咨询电话：023-68955002</w:t>
      </w:r>
    </w:p>
    <w:p>
      <w:pPr>
        <w:pStyle w:val="2"/>
        <w:adjustRightInd w:val="0"/>
        <w:snapToGrid w:val="0"/>
        <w:spacing w:before="0" w:after="0" w:line="400" w:lineRule="exact"/>
        <w:ind w:firstLine="482" w:firstLineChars="200"/>
        <w:rPr>
          <w:rFonts w:hint="eastAsia" w:ascii="仿宋" w:hAnsi="仿宋" w:eastAsia="仿宋" w:cs="仿宋"/>
          <w:color w:val="auto"/>
          <w:sz w:val="24"/>
          <w:highlight w:val="none"/>
        </w:rPr>
      </w:pPr>
      <w:bookmarkStart w:id="20" w:name="_Toc15282"/>
      <w:bookmarkStart w:id="21" w:name="_Toc480466699"/>
      <w:bookmarkStart w:id="22" w:name="_Toc76462322"/>
      <w:r>
        <w:rPr>
          <w:rFonts w:hint="eastAsia" w:ascii="仿宋" w:hAnsi="仿宋" w:eastAsia="仿宋" w:cs="仿宋"/>
          <w:color w:val="auto"/>
          <w:sz w:val="24"/>
          <w:highlight w:val="none"/>
        </w:rPr>
        <w:t>六、其它有关规定</w:t>
      </w:r>
      <w:bookmarkEnd w:id="20"/>
      <w:bookmarkEnd w:id="21"/>
      <w:bookmarkEnd w:id="22"/>
    </w:p>
    <w:p>
      <w:pPr>
        <w:snapToGrid w:val="0"/>
        <w:spacing w:line="400" w:lineRule="exact"/>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（一）单位负责人为同一人或者存在直接控股、管理关系的不同供应商，不得参加同一合同项（包）下的采购活动，否则均为无效响应。</w:t>
      </w:r>
    </w:p>
    <w:p>
      <w:pPr>
        <w:snapToGrid w:val="0"/>
        <w:spacing w:line="400" w:lineRule="exact"/>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（二）为采购项目提供整体设计、规范编制或者项目管理、监理、检测等服务的供应商，不得再参加该采购项目的其他采购活动。</w:t>
      </w:r>
    </w:p>
    <w:p>
      <w:pPr>
        <w:snapToGrid w:val="0"/>
        <w:spacing w:line="400" w:lineRule="exact"/>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本项目的澄清文件（如果有）一律在建桥工业园（http://www.jqgyy.com/）上发布，请各供应商注意下载或到采购代理机构处领取；无论供应商下载或领取与否，均视同供应商已知晓本项目澄清文件（如果有）的内容。</w:t>
      </w:r>
    </w:p>
    <w:p>
      <w:pPr>
        <w:snapToGrid w:val="0"/>
        <w:spacing w:line="400" w:lineRule="exact"/>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（四）超过响应文件截止时间递交的响应文件，恕不接收。</w:t>
      </w:r>
    </w:p>
    <w:p>
      <w:pPr>
        <w:snapToGrid w:val="0"/>
        <w:spacing w:line="400" w:lineRule="exact"/>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（五）磋商费用：无论磋商结果如何，供应商参与本项目磋商的所有费用均应由供应商自行承担。</w:t>
      </w:r>
    </w:p>
    <w:p>
      <w:pPr>
        <w:snapToGrid w:val="0"/>
        <w:spacing w:line="400" w:lineRule="exact"/>
        <w:ind w:firstLine="360" w:firstLineChars="150"/>
        <w:rPr>
          <w:rFonts w:hint="eastAsia" w:ascii="仿宋" w:hAnsi="仿宋" w:eastAsia="仿宋" w:cs="仿宋"/>
          <w:b/>
          <w:i w:val="0"/>
          <w:iCs w:val="0"/>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i w:val="0"/>
          <w:iCs w:val="0"/>
          <w:color w:val="auto"/>
          <w:sz w:val="24"/>
          <w:szCs w:val="24"/>
          <w:highlight w:val="none"/>
        </w:rPr>
        <w:t>六）</w:t>
      </w:r>
      <w:r>
        <w:rPr>
          <w:rFonts w:hint="eastAsia" w:ascii="仿宋" w:hAnsi="仿宋" w:eastAsia="仿宋" w:cs="仿宋"/>
          <w:b/>
          <w:i w:val="0"/>
          <w:iCs w:val="0"/>
          <w:color w:val="auto"/>
          <w:sz w:val="24"/>
          <w:szCs w:val="24"/>
          <w:highlight w:val="none"/>
        </w:rPr>
        <w:t>本项目不接受联合体参与磋商，否则按无效处理。</w:t>
      </w:r>
    </w:p>
    <w:p>
      <w:pPr>
        <w:snapToGrid w:val="0"/>
        <w:spacing w:line="400" w:lineRule="exact"/>
        <w:ind w:firstLine="360" w:firstLineChars="15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（七）</w:t>
      </w:r>
      <w:r>
        <w:rPr>
          <w:rFonts w:hint="eastAsia" w:ascii="仿宋" w:hAnsi="仿宋" w:eastAsia="仿宋" w:cs="仿宋"/>
          <w:b/>
          <w:i w:val="0"/>
          <w:iCs w:val="0"/>
          <w:color w:val="auto"/>
          <w:sz w:val="24"/>
          <w:szCs w:val="24"/>
          <w:highlight w:val="none"/>
        </w:rPr>
        <w:t>本项目不接受合同分包，否则按无效处理。</w:t>
      </w:r>
    </w:p>
    <w:p>
      <w:pPr>
        <w:snapToGrid w:val="0"/>
        <w:spacing w:line="400" w:lineRule="exact"/>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（八）</w:t>
      </w:r>
      <w:bookmarkStart w:id="23" w:name="_Toc480466700"/>
      <w:r>
        <w:rPr>
          <w:rFonts w:hint="eastAsia" w:ascii="仿宋" w:hAnsi="仿宋" w:eastAsia="仿宋" w:cs="仿宋"/>
          <w:color w:val="auto"/>
          <w:sz w:val="24"/>
          <w:szCs w:val="24"/>
          <w:highlight w:val="none"/>
        </w:rPr>
        <w:t>按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将拒绝其参与采购活动。</w:t>
      </w:r>
    </w:p>
    <w:p>
      <w:pPr>
        <w:pStyle w:val="2"/>
        <w:adjustRightInd w:val="0"/>
        <w:snapToGrid w:val="0"/>
        <w:spacing w:before="0" w:after="0" w:line="400" w:lineRule="exact"/>
        <w:ind w:firstLine="482" w:firstLineChars="200"/>
        <w:rPr>
          <w:rFonts w:hint="eastAsia" w:ascii="仿宋" w:hAnsi="仿宋" w:eastAsia="仿宋" w:cs="仿宋"/>
          <w:color w:val="auto"/>
          <w:sz w:val="24"/>
          <w:highlight w:val="none"/>
        </w:rPr>
      </w:pPr>
      <w:bookmarkStart w:id="24" w:name="_Toc76462323"/>
      <w:bookmarkStart w:id="25" w:name="_Toc13740"/>
      <w:r>
        <w:rPr>
          <w:rFonts w:hint="eastAsia" w:ascii="仿宋" w:hAnsi="仿宋" w:eastAsia="仿宋" w:cs="仿宋"/>
          <w:color w:val="auto"/>
          <w:sz w:val="24"/>
          <w:highlight w:val="none"/>
        </w:rPr>
        <w:t>七、联系方式</w:t>
      </w:r>
      <w:bookmarkEnd w:id="23"/>
      <w:bookmarkEnd w:id="24"/>
      <w:bookmarkEnd w:id="25"/>
    </w:p>
    <w:p>
      <w:pPr>
        <w:snapToGrid w:val="0"/>
        <w:spacing w:line="400" w:lineRule="exact"/>
        <w:ind w:firstLine="480" w:firstLineChars="200"/>
        <w:outlineLvl w:val="2"/>
        <w:rPr>
          <w:rFonts w:hint="eastAsia" w:ascii="仿宋" w:hAnsi="仿宋" w:eastAsia="仿宋"/>
          <w:color w:val="auto"/>
          <w:sz w:val="24"/>
          <w:szCs w:val="24"/>
          <w:highlight w:val="none"/>
        </w:rPr>
      </w:pPr>
      <w:r>
        <w:rPr>
          <w:rFonts w:hint="eastAsia" w:ascii="仿宋" w:hAnsi="仿宋" w:eastAsia="仿宋"/>
          <w:color w:val="auto"/>
          <w:sz w:val="24"/>
          <w:szCs w:val="24"/>
          <w:highlight w:val="none"/>
        </w:rPr>
        <w:t>（一）采购人：重庆市大渡口区教育委员会</w:t>
      </w:r>
    </w:p>
    <w:p>
      <w:pPr>
        <w:snapToGrid w:val="0"/>
        <w:spacing w:line="400" w:lineRule="exact"/>
        <w:ind w:firstLine="480" w:firstLineChars="200"/>
        <w:outlineLvl w:val="2"/>
        <w:rPr>
          <w:rFonts w:hint="eastAsia" w:ascii="仿宋" w:hAnsi="仿宋" w:eastAsia="仿宋"/>
          <w:color w:val="auto"/>
          <w:sz w:val="24"/>
          <w:szCs w:val="24"/>
          <w:highlight w:val="none"/>
        </w:rPr>
      </w:pPr>
      <w:r>
        <w:rPr>
          <w:rFonts w:hint="eastAsia" w:ascii="仿宋" w:hAnsi="仿宋" w:eastAsia="仿宋"/>
          <w:color w:val="auto"/>
          <w:sz w:val="24"/>
          <w:szCs w:val="24"/>
          <w:highlight w:val="none"/>
        </w:rPr>
        <w:t>代建业主：重庆建桥实业发展有限公司</w:t>
      </w:r>
    </w:p>
    <w:p>
      <w:pPr>
        <w:snapToGrid w:val="0"/>
        <w:spacing w:line="400" w:lineRule="exact"/>
        <w:ind w:firstLine="480" w:firstLineChars="200"/>
        <w:outlineLvl w:val="2"/>
        <w:rPr>
          <w:rFonts w:hint="eastAsia" w:ascii="仿宋" w:hAnsi="仿宋" w:eastAsia="仿宋"/>
          <w:color w:val="auto"/>
          <w:sz w:val="24"/>
          <w:szCs w:val="24"/>
          <w:highlight w:val="none"/>
        </w:rPr>
      </w:pPr>
      <w:r>
        <w:rPr>
          <w:rFonts w:hint="eastAsia" w:ascii="仿宋" w:hAnsi="仿宋" w:eastAsia="仿宋"/>
          <w:color w:val="auto"/>
          <w:sz w:val="24"/>
          <w:szCs w:val="24"/>
          <w:highlight w:val="none"/>
        </w:rPr>
        <w:t>联系人：</w:t>
      </w:r>
      <w:r>
        <w:rPr>
          <w:rFonts w:hint="eastAsia" w:ascii="仿宋" w:hAnsi="仿宋" w:eastAsia="仿宋"/>
          <w:color w:val="auto"/>
          <w:sz w:val="24"/>
          <w:szCs w:val="24"/>
          <w:highlight w:val="none"/>
          <w:lang w:val="en-US" w:eastAsia="zh-CN"/>
        </w:rPr>
        <w:t>李</w:t>
      </w:r>
      <w:r>
        <w:rPr>
          <w:rFonts w:hint="eastAsia" w:ascii="仿宋" w:hAnsi="仿宋" w:eastAsia="仿宋"/>
          <w:color w:val="auto"/>
          <w:sz w:val="24"/>
          <w:szCs w:val="24"/>
          <w:highlight w:val="none"/>
        </w:rPr>
        <w:t xml:space="preserve">老师 </w:t>
      </w:r>
    </w:p>
    <w:p>
      <w:pPr>
        <w:snapToGrid w:val="0"/>
        <w:spacing w:line="400" w:lineRule="exact"/>
        <w:ind w:firstLine="480" w:firstLineChars="200"/>
        <w:outlineLvl w:val="2"/>
        <w:rPr>
          <w:rFonts w:hint="eastAsia" w:ascii="仿宋" w:hAnsi="仿宋" w:eastAsia="仿宋"/>
          <w:color w:val="auto"/>
          <w:sz w:val="24"/>
          <w:szCs w:val="24"/>
          <w:highlight w:val="none"/>
        </w:rPr>
      </w:pPr>
      <w:r>
        <w:rPr>
          <w:rFonts w:hint="eastAsia" w:ascii="仿宋" w:hAnsi="仿宋" w:eastAsia="仿宋"/>
          <w:color w:val="auto"/>
          <w:sz w:val="24"/>
          <w:szCs w:val="24"/>
          <w:highlight w:val="none"/>
        </w:rPr>
        <w:t>电  话：023-68955002</w:t>
      </w:r>
    </w:p>
    <w:p>
      <w:pPr>
        <w:snapToGrid w:val="0"/>
        <w:spacing w:line="400" w:lineRule="exact"/>
        <w:ind w:firstLine="480" w:firstLineChars="200"/>
        <w:outlineLvl w:val="2"/>
        <w:rPr>
          <w:rFonts w:ascii="仿宋" w:hAnsi="仿宋" w:eastAsia="仿宋"/>
          <w:color w:val="auto"/>
          <w:sz w:val="24"/>
          <w:szCs w:val="24"/>
          <w:highlight w:val="none"/>
        </w:rPr>
      </w:pPr>
      <w:r>
        <w:rPr>
          <w:rFonts w:hint="eastAsia" w:ascii="仿宋" w:hAnsi="仿宋" w:eastAsia="仿宋"/>
          <w:color w:val="auto"/>
          <w:sz w:val="24"/>
          <w:szCs w:val="24"/>
          <w:highlight w:val="none"/>
        </w:rPr>
        <w:t>地  址：重庆市大渡口区海康路106号1号楼1-1</w:t>
      </w:r>
      <w:r>
        <w:rPr>
          <w:rFonts w:ascii="仿宋" w:hAnsi="仿宋" w:eastAsia="仿宋"/>
          <w:color w:val="auto"/>
          <w:sz w:val="24"/>
          <w:szCs w:val="24"/>
          <w:highlight w:val="none"/>
        </w:rPr>
        <w:t xml:space="preserve"> </w:t>
      </w:r>
    </w:p>
    <w:p>
      <w:pPr>
        <w:snapToGrid w:val="0"/>
        <w:spacing w:line="400" w:lineRule="exact"/>
        <w:ind w:firstLine="480" w:firstLineChars="200"/>
        <w:outlineLvl w:val="2"/>
        <w:rPr>
          <w:rFonts w:ascii="仿宋" w:hAnsi="仿宋" w:eastAsia="仿宋"/>
          <w:color w:val="auto"/>
          <w:sz w:val="24"/>
          <w:szCs w:val="24"/>
          <w:highlight w:val="none"/>
        </w:rPr>
      </w:pPr>
    </w:p>
    <w:p>
      <w:pPr>
        <w:snapToGrid w:val="0"/>
        <w:spacing w:line="400" w:lineRule="exact"/>
        <w:ind w:firstLine="480" w:firstLineChars="200"/>
        <w:outlineLvl w:val="2"/>
        <w:rPr>
          <w:rFonts w:hint="eastAsia" w:ascii="仿宋" w:hAnsi="仿宋" w:eastAsia="仿宋"/>
          <w:color w:val="auto"/>
          <w:sz w:val="24"/>
          <w:szCs w:val="24"/>
          <w:highlight w:val="none"/>
          <w:lang w:eastAsia="zh-CN"/>
        </w:rPr>
      </w:pPr>
      <w:r>
        <w:rPr>
          <w:rFonts w:hint="eastAsia" w:ascii="仿宋" w:hAnsi="仿宋" w:eastAsia="仿宋"/>
          <w:color w:val="auto"/>
          <w:sz w:val="24"/>
          <w:szCs w:val="24"/>
          <w:highlight w:val="none"/>
        </w:rPr>
        <w:t>（二）采购代理机构：</w:t>
      </w:r>
      <w:r>
        <w:rPr>
          <w:rFonts w:hint="eastAsia" w:ascii="仿宋" w:hAnsi="仿宋" w:eastAsia="仿宋"/>
          <w:color w:val="auto"/>
          <w:sz w:val="24"/>
          <w:szCs w:val="24"/>
          <w:highlight w:val="none"/>
          <w:lang w:eastAsia="zh-CN"/>
        </w:rPr>
        <w:t>重庆高企恒工程咨询有限公司</w:t>
      </w:r>
    </w:p>
    <w:p>
      <w:pPr>
        <w:snapToGrid w:val="0"/>
        <w:spacing w:line="400" w:lineRule="exact"/>
        <w:ind w:firstLine="480" w:firstLineChars="200"/>
        <w:rPr>
          <w:rFonts w:hint="eastAsia" w:ascii="仿宋" w:hAnsi="仿宋" w:eastAsia="仿宋"/>
          <w:color w:val="auto"/>
          <w:sz w:val="24"/>
          <w:szCs w:val="24"/>
          <w:highlight w:val="none"/>
        </w:rPr>
      </w:pPr>
      <w:r>
        <w:rPr>
          <w:rFonts w:hint="eastAsia" w:ascii="仿宋" w:hAnsi="仿宋" w:eastAsia="仿宋"/>
          <w:color w:val="auto"/>
          <w:sz w:val="24"/>
          <w:szCs w:val="24"/>
          <w:highlight w:val="none"/>
        </w:rPr>
        <w:t>联系人：</w:t>
      </w:r>
      <w:r>
        <w:rPr>
          <w:rFonts w:hint="eastAsia" w:ascii="仿宋" w:hAnsi="仿宋" w:eastAsia="仿宋"/>
          <w:color w:val="auto"/>
          <w:sz w:val="24"/>
          <w:szCs w:val="24"/>
          <w:highlight w:val="none"/>
          <w:lang w:val="en-US" w:eastAsia="zh-CN"/>
        </w:rPr>
        <w:t>许</w:t>
      </w:r>
      <w:r>
        <w:rPr>
          <w:rFonts w:hint="eastAsia" w:ascii="仿宋" w:hAnsi="仿宋" w:eastAsia="仿宋"/>
          <w:color w:val="auto"/>
          <w:sz w:val="24"/>
          <w:szCs w:val="24"/>
          <w:highlight w:val="none"/>
        </w:rPr>
        <w:t>老师</w:t>
      </w:r>
    </w:p>
    <w:p>
      <w:pPr>
        <w:snapToGrid w:val="0"/>
        <w:spacing w:line="400" w:lineRule="exact"/>
        <w:ind w:firstLine="480" w:firstLineChars="200"/>
        <w:rPr>
          <w:rFonts w:hint="eastAsia" w:ascii="仿宋" w:hAnsi="仿宋" w:eastAsia="仿宋"/>
          <w:color w:val="auto"/>
          <w:sz w:val="24"/>
          <w:szCs w:val="24"/>
          <w:highlight w:val="none"/>
        </w:rPr>
      </w:pPr>
      <w:r>
        <w:rPr>
          <w:rFonts w:hint="eastAsia" w:ascii="仿宋" w:hAnsi="仿宋" w:eastAsia="仿宋"/>
          <w:color w:val="auto"/>
          <w:sz w:val="24"/>
          <w:szCs w:val="24"/>
          <w:highlight w:val="none"/>
        </w:rPr>
        <w:t>电  话：023-</w:t>
      </w:r>
      <w:r>
        <w:rPr>
          <w:rFonts w:ascii="仿宋" w:hAnsi="仿宋" w:eastAsia="仿宋"/>
          <w:color w:val="auto"/>
          <w:sz w:val="24"/>
          <w:szCs w:val="24"/>
          <w:highlight w:val="none"/>
        </w:rPr>
        <w:t>67766894</w:t>
      </w:r>
    </w:p>
    <w:p>
      <w:pPr>
        <w:snapToGrid w:val="0"/>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olor w:val="auto"/>
          <w:sz w:val="24"/>
          <w:szCs w:val="24"/>
          <w:highlight w:val="none"/>
        </w:rPr>
        <w:t>地  址：重庆市大渡口区跳磴镇海康路106号1-1</w:t>
      </w:r>
    </w:p>
    <w:p>
      <w:pPr>
        <w:snapToGrid w:val="0"/>
        <w:spacing w:line="400" w:lineRule="exact"/>
        <w:ind w:firstLine="480" w:firstLineChars="200"/>
        <w:rPr>
          <w:rFonts w:hint="eastAsia" w:ascii="仿宋" w:hAnsi="仿宋" w:eastAsia="仿宋" w:cs="仿宋"/>
          <w:color w:val="auto"/>
          <w:sz w:val="24"/>
          <w:szCs w:val="24"/>
          <w:highlight w:val="none"/>
        </w:rPr>
      </w:pPr>
    </w:p>
    <w:p>
      <w:pPr>
        <w:snapToGrid w:val="0"/>
        <w:spacing w:line="400" w:lineRule="exact"/>
        <w:ind w:firstLine="482" w:firstLineChars="200"/>
        <w:rPr>
          <w:rFonts w:hint="eastAsia" w:ascii="仿宋" w:hAnsi="仿宋" w:eastAsia="仿宋" w:cs="仿宋"/>
          <w:b/>
          <w:color w:val="auto"/>
          <w:sz w:val="24"/>
          <w:szCs w:val="24"/>
          <w:highlight w:val="none"/>
        </w:rPr>
        <w:sectPr>
          <w:pgSz w:w="11907" w:h="16840"/>
          <w:pgMar w:top="1134" w:right="1418" w:bottom="1134" w:left="1418" w:header="964" w:footer="992" w:gutter="0"/>
          <w:pgNumType w:fmt="numberInDash"/>
          <w:cols w:space="720" w:num="1"/>
          <w:docGrid w:linePitch="312" w:charSpace="0"/>
        </w:sectPr>
      </w:pPr>
    </w:p>
    <w:p>
      <w:pPr>
        <w:pStyle w:val="2"/>
        <w:spacing w:before="0" w:after="0" w:line="360" w:lineRule="auto"/>
        <w:jc w:val="center"/>
        <w:rPr>
          <w:rFonts w:hint="eastAsia" w:ascii="仿宋" w:hAnsi="仿宋" w:eastAsia="仿宋" w:cs="仿宋"/>
          <w:b w:val="0"/>
          <w:color w:val="auto"/>
          <w:sz w:val="30"/>
          <w:szCs w:val="30"/>
          <w:highlight w:val="none"/>
        </w:rPr>
      </w:pPr>
      <w:bookmarkStart w:id="26" w:name="_Toc13264"/>
      <w:bookmarkStart w:id="27" w:name="_Toc76462324"/>
      <w:r>
        <w:rPr>
          <w:rFonts w:hint="eastAsia" w:ascii="仿宋" w:hAnsi="仿宋" w:eastAsia="仿宋" w:cs="仿宋"/>
          <w:b w:val="0"/>
          <w:color w:val="auto"/>
          <w:sz w:val="36"/>
          <w:szCs w:val="30"/>
          <w:highlight w:val="none"/>
        </w:rPr>
        <w:t>第二篇  项目服务需求</w:t>
      </w:r>
      <w:bookmarkEnd w:id="26"/>
      <w:bookmarkEnd w:id="27"/>
    </w:p>
    <w:p>
      <w:pPr>
        <w:spacing w:line="400" w:lineRule="exact"/>
        <w:ind w:firstLine="480" w:firstLineChars="200"/>
        <w:rPr>
          <w:rFonts w:hint="eastAsia" w:ascii="仿宋" w:hAnsi="仿宋" w:eastAsia="仿宋" w:cs="仿宋"/>
          <w:color w:val="auto"/>
          <w:sz w:val="24"/>
          <w:szCs w:val="24"/>
          <w:highlight w:val="none"/>
        </w:rPr>
      </w:pPr>
      <w:bookmarkStart w:id="28" w:name="_Toc76462325"/>
      <w:bookmarkStart w:id="29" w:name="_Toc12789058"/>
      <w:r>
        <w:rPr>
          <w:rFonts w:hint="eastAsia" w:ascii="仿宋" w:hAnsi="仿宋" w:eastAsia="仿宋" w:cs="仿宋"/>
          <w:color w:val="auto"/>
          <w:sz w:val="24"/>
          <w:szCs w:val="24"/>
          <w:highlight w:val="none"/>
        </w:rPr>
        <w:t>“※”标注的服务需求为符合性审查中的实质性要求，响应文件若不满足按无效响应处理。</w:t>
      </w:r>
      <w:bookmarkEnd w:id="28"/>
      <w:bookmarkStart w:id="30" w:name="_Toc120267882"/>
      <w:bookmarkStart w:id="31" w:name="_Toc313536013"/>
      <w:bookmarkStart w:id="32" w:name="_Toc76462326"/>
      <w:bookmarkStart w:id="33" w:name="_Toc344475116"/>
    </w:p>
    <w:p>
      <w:pPr>
        <w:numPr>
          <w:ilvl w:val="0"/>
          <w:numId w:val="1"/>
        </w:numPr>
        <w:spacing w:line="400" w:lineRule="exact"/>
        <w:ind w:firstLine="482" w:firstLineChars="200"/>
        <w:rPr>
          <w:rFonts w:hint="eastAsia" w:ascii="仿宋" w:hAnsi="仿宋" w:eastAsia="仿宋"/>
          <w:b/>
          <w:bCs/>
          <w:color w:val="auto"/>
          <w:sz w:val="24"/>
          <w:highlight w:val="none"/>
        </w:rPr>
      </w:pPr>
      <w:r>
        <w:rPr>
          <w:rFonts w:hint="eastAsia" w:ascii="仿宋" w:hAnsi="仿宋" w:eastAsia="仿宋"/>
          <w:b/>
          <w:bCs/>
          <w:color w:val="auto"/>
          <w:sz w:val="24"/>
          <w:highlight w:val="none"/>
        </w:rPr>
        <w:t>项目基本概况介绍</w:t>
      </w:r>
      <w:bookmarkEnd w:id="30"/>
    </w:p>
    <w:p>
      <w:pPr>
        <w:numPr>
          <w:ilvl w:val="0"/>
          <w:numId w:val="0"/>
        </w:numPr>
        <w:spacing w:line="400" w:lineRule="exact"/>
        <w:ind w:firstLine="480" w:firstLineChars="200"/>
        <w:rPr>
          <w:rFonts w:hint="eastAsia" w:ascii="仿宋" w:hAnsi="仿宋" w:eastAsia="仿宋"/>
          <w:b w:val="0"/>
          <w:color w:val="auto"/>
          <w:sz w:val="24"/>
          <w:szCs w:val="28"/>
          <w:highlight w:val="none"/>
        </w:rPr>
      </w:pPr>
      <w:r>
        <w:rPr>
          <w:rFonts w:hint="eastAsia" w:ascii="仿宋" w:hAnsi="仿宋" w:eastAsia="仿宋"/>
          <w:b w:val="0"/>
          <w:color w:val="auto"/>
          <w:sz w:val="24"/>
          <w:szCs w:val="28"/>
          <w:highlight w:val="none"/>
        </w:rPr>
        <w:t>H13地块新建学校总建筑面积89866.1m2，办学规模72个，其中初中48班、高中24班；H13地块西侧道路为城市次干路，道路全长366.94m，设计速度30km/h，双向四车道，标准路幅宽32.5m。H13地块新建学校：主要建设内容为土建工程、装饰工程、室内安装工程、室外铺装、室外绿化、室外给排水、设施设备采购等；H13地块西侧道路：主要建设内容包括：道路工程、排水工程、综合管网工程、照明工程、交通工程、绿化等配套工程。成交人需根据采购人认可的施工图文件，按照国家、地方和行业规范要求，据实编制项目施工图预算，并通过大渡口区财政局预算评审。</w:t>
      </w:r>
      <w:bookmarkStart w:id="34" w:name="_Toc120267884"/>
    </w:p>
    <w:p>
      <w:pPr>
        <w:numPr>
          <w:ilvl w:val="0"/>
          <w:numId w:val="1"/>
        </w:numPr>
        <w:spacing w:line="400" w:lineRule="exact"/>
        <w:ind w:left="0" w:leftChars="0" w:firstLine="482" w:firstLineChars="200"/>
        <w:rPr>
          <w:rFonts w:hint="eastAsia" w:ascii="仿宋" w:hAnsi="仿宋" w:eastAsia="仿宋"/>
          <w:b/>
          <w:bCs/>
          <w:color w:val="auto"/>
          <w:sz w:val="24"/>
          <w:highlight w:val="none"/>
        </w:rPr>
      </w:pPr>
      <w:r>
        <w:rPr>
          <w:rFonts w:hint="eastAsia" w:ascii="仿宋" w:hAnsi="仿宋" w:eastAsia="仿宋"/>
          <w:b/>
          <w:bCs/>
          <w:color w:val="auto"/>
          <w:sz w:val="24"/>
          <w:highlight w:val="none"/>
        </w:rPr>
        <w:t>服务范围、要求及标准</w:t>
      </w:r>
      <w:bookmarkEnd w:id="34"/>
      <w:bookmarkStart w:id="35" w:name="_Toc120267885"/>
    </w:p>
    <w:p>
      <w:pPr>
        <w:numPr>
          <w:ilvl w:val="0"/>
          <w:numId w:val="2"/>
        </w:numPr>
        <w:spacing w:line="400" w:lineRule="exact"/>
        <w:ind w:left="0" w:leftChars="0" w:firstLine="420" w:firstLineChars="0"/>
        <w:rPr>
          <w:rFonts w:hint="eastAsia" w:ascii="仿宋" w:hAnsi="仿宋" w:eastAsia="仿宋"/>
          <w:b w:val="0"/>
          <w:color w:val="auto"/>
          <w:sz w:val="24"/>
          <w:szCs w:val="28"/>
          <w:highlight w:val="none"/>
        </w:rPr>
      </w:pPr>
      <w:r>
        <w:rPr>
          <w:rFonts w:hint="eastAsia" w:ascii="仿宋" w:hAnsi="仿宋" w:eastAsia="仿宋"/>
          <w:b w:val="0"/>
          <w:color w:val="auto"/>
          <w:sz w:val="24"/>
          <w:szCs w:val="28"/>
          <w:highlight w:val="none"/>
        </w:rPr>
        <w:t>服务范围：对H13地块新建学校及H13地块西侧道路工程预算编制。</w:t>
      </w:r>
      <w:bookmarkEnd w:id="35"/>
      <w:bookmarkStart w:id="36" w:name="_Toc120267886"/>
    </w:p>
    <w:p>
      <w:pPr>
        <w:numPr>
          <w:ilvl w:val="0"/>
          <w:numId w:val="2"/>
        </w:numPr>
        <w:spacing w:line="400" w:lineRule="exact"/>
        <w:ind w:left="0" w:leftChars="0" w:firstLine="420" w:firstLineChars="0"/>
        <w:rPr>
          <w:rFonts w:hint="eastAsia" w:ascii="仿宋" w:hAnsi="仿宋" w:eastAsia="仿宋"/>
          <w:b w:val="0"/>
          <w:color w:val="auto"/>
          <w:sz w:val="24"/>
          <w:szCs w:val="28"/>
          <w:highlight w:val="none"/>
        </w:rPr>
      </w:pPr>
      <w:r>
        <w:rPr>
          <w:rFonts w:hint="eastAsia" w:ascii="仿宋" w:hAnsi="仿宋" w:eastAsia="仿宋"/>
          <w:b w:val="0"/>
          <w:color w:val="auto"/>
          <w:sz w:val="24"/>
          <w:szCs w:val="28"/>
          <w:highlight w:val="none"/>
        </w:rPr>
        <w:t>服务要求：</w:t>
      </w:r>
      <w:bookmarkEnd w:id="36"/>
      <w:r>
        <w:rPr>
          <w:rFonts w:hint="eastAsia" w:ascii="仿宋" w:hAnsi="仿宋" w:eastAsia="仿宋"/>
          <w:b w:val="0"/>
          <w:color w:val="auto"/>
          <w:sz w:val="24"/>
          <w:szCs w:val="28"/>
          <w:highlight w:val="none"/>
        </w:rPr>
        <w:t>对该项目预算编制服务，并出具预算编制成果报告并附签字盖章。</w:t>
      </w:r>
      <w:bookmarkStart w:id="37" w:name="_Toc120267887"/>
    </w:p>
    <w:p>
      <w:pPr>
        <w:numPr>
          <w:ilvl w:val="0"/>
          <w:numId w:val="2"/>
        </w:numPr>
        <w:spacing w:line="400" w:lineRule="exact"/>
        <w:ind w:left="0" w:leftChars="0" w:firstLine="420" w:firstLineChars="0"/>
        <w:rPr>
          <w:rFonts w:hint="eastAsia" w:ascii="仿宋" w:hAnsi="仿宋" w:eastAsia="仿宋"/>
          <w:b w:val="0"/>
          <w:color w:val="auto"/>
          <w:sz w:val="24"/>
          <w:szCs w:val="28"/>
          <w:highlight w:val="none"/>
        </w:rPr>
      </w:pPr>
      <w:r>
        <w:rPr>
          <w:rFonts w:hint="eastAsia" w:ascii="仿宋" w:hAnsi="仿宋" w:eastAsia="仿宋"/>
          <w:b w:val="0"/>
          <w:color w:val="auto"/>
          <w:sz w:val="24"/>
          <w:szCs w:val="28"/>
          <w:highlight w:val="none"/>
        </w:rPr>
        <w:t>服务标准：</w:t>
      </w:r>
      <w:bookmarkEnd w:id="37"/>
      <w:r>
        <w:rPr>
          <w:rFonts w:hint="eastAsia" w:ascii="仿宋" w:hAnsi="仿宋" w:eastAsia="仿宋"/>
          <w:b w:val="0"/>
          <w:color w:val="auto"/>
          <w:sz w:val="24"/>
          <w:szCs w:val="28"/>
          <w:highlight w:val="none"/>
        </w:rPr>
        <w:t>符合行业现行规范标准。</w:t>
      </w:r>
      <w:bookmarkEnd w:id="31"/>
      <w:bookmarkEnd w:id="32"/>
      <w:bookmarkEnd w:id="33"/>
    </w:p>
    <w:p>
      <w:pPr>
        <w:numPr>
          <w:ilvl w:val="0"/>
          <w:numId w:val="0"/>
        </w:numPr>
        <w:spacing w:line="400" w:lineRule="exact"/>
        <w:ind w:firstLine="480" w:firstLineChars="200"/>
        <w:rPr>
          <w:rFonts w:hint="eastAsia" w:ascii="仿宋" w:hAnsi="仿宋" w:eastAsia="仿宋"/>
          <w:b w:val="0"/>
          <w:bCs/>
          <w:color w:val="auto"/>
          <w:sz w:val="24"/>
          <w:highlight w:val="none"/>
        </w:rPr>
      </w:pPr>
      <w:r>
        <w:rPr>
          <w:rFonts w:hint="eastAsia" w:ascii="仿宋" w:hAnsi="仿宋" w:eastAsia="仿宋"/>
          <w:b w:val="0"/>
          <w:bCs/>
          <w:color w:val="auto"/>
          <w:sz w:val="24"/>
          <w:highlight w:val="none"/>
        </w:rPr>
        <w:t>※</w:t>
      </w:r>
      <w:r>
        <w:rPr>
          <w:rFonts w:hint="eastAsia" w:ascii="仿宋" w:hAnsi="仿宋" w:eastAsia="仿宋"/>
          <w:b/>
          <w:bCs w:val="0"/>
          <w:color w:val="auto"/>
          <w:sz w:val="24"/>
          <w:highlight w:val="none"/>
        </w:rPr>
        <w:t>三、人员要求</w:t>
      </w:r>
    </w:p>
    <w:p>
      <w:pPr>
        <w:numPr>
          <w:ilvl w:val="0"/>
          <w:numId w:val="3"/>
        </w:numPr>
        <w:spacing w:line="400" w:lineRule="exact"/>
        <w:ind w:left="0" w:leftChars="0" w:firstLine="420" w:firstLineChars="0"/>
        <w:rPr>
          <w:rFonts w:hint="eastAsia" w:ascii="仿宋" w:hAnsi="仿宋" w:eastAsia="仿宋"/>
          <w:b w:val="0"/>
          <w:bCs/>
          <w:color w:val="auto"/>
          <w:sz w:val="24"/>
          <w:highlight w:val="none"/>
          <w:lang w:val="en-US" w:eastAsia="zh-CN"/>
        </w:rPr>
      </w:pPr>
      <w:r>
        <w:rPr>
          <w:rFonts w:hint="eastAsia" w:ascii="仿宋" w:hAnsi="仿宋" w:eastAsia="仿宋"/>
          <w:b w:val="0"/>
          <w:bCs/>
          <w:color w:val="auto"/>
          <w:sz w:val="24"/>
          <w:highlight w:val="none"/>
          <w:lang w:val="en-US" w:eastAsia="zh-CN"/>
        </w:rPr>
        <w:t>项目负责人（1人）、</w:t>
      </w:r>
    </w:p>
    <w:p>
      <w:pPr>
        <w:numPr>
          <w:ilvl w:val="0"/>
          <w:numId w:val="0"/>
        </w:numPr>
        <w:spacing w:line="400" w:lineRule="exact"/>
        <w:ind w:firstLine="480" w:firstLineChars="200"/>
        <w:rPr>
          <w:rFonts w:hint="eastAsia" w:ascii="仿宋" w:hAnsi="仿宋" w:eastAsia="仿宋"/>
          <w:b w:val="0"/>
          <w:bCs/>
          <w:color w:val="auto"/>
          <w:sz w:val="24"/>
          <w:highlight w:val="none"/>
          <w:lang w:val="en-US" w:eastAsia="zh-CN"/>
        </w:rPr>
      </w:pPr>
      <w:r>
        <w:rPr>
          <w:rFonts w:hint="eastAsia" w:ascii="仿宋" w:hAnsi="仿宋" w:eastAsia="仿宋"/>
          <w:b w:val="0"/>
          <w:bCs/>
          <w:color w:val="auto"/>
          <w:sz w:val="24"/>
          <w:highlight w:val="none"/>
          <w:lang w:val="en-US" w:eastAsia="zh-CN"/>
        </w:rPr>
        <w:t>具有全国注册造价工程师（土建专业）或一级注册造价工程师（土木建筑专业）执业资格并已在供应商本单位注册，同时具备工程类高级及以上职称。</w:t>
      </w:r>
    </w:p>
    <w:p>
      <w:pPr>
        <w:numPr>
          <w:ilvl w:val="0"/>
          <w:numId w:val="0"/>
        </w:numPr>
        <w:spacing w:line="400" w:lineRule="exact"/>
        <w:ind w:firstLine="480" w:firstLineChars="200"/>
        <w:rPr>
          <w:rFonts w:hint="eastAsia" w:ascii="仿宋" w:hAnsi="仿宋" w:eastAsia="仿宋"/>
          <w:b w:val="0"/>
          <w:bCs/>
          <w:color w:val="auto"/>
          <w:sz w:val="24"/>
          <w:highlight w:val="none"/>
          <w:lang w:val="en-US" w:eastAsia="zh-CN"/>
        </w:rPr>
      </w:pPr>
      <w:r>
        <w:rPr>
          <w:rFonts w:hint="eastAsia" w:ascii="仿宋" w:hAnsi="仿宋" w:eastAsia="仿宋"/>
          <w:b w:val="0"/>
          <w:bCs/>
          <w:color w:val="auto"/>
          <w:sz w:val="24"/>
          <w:highlight w:val="none"/>
          <w:lang w:val="en-US" w:eastAsia="zh-CN"/>
        </w:rPr>
        <w:t>提供人员执业资格证书、注册证书、职称证、身份证复印件或扫描件以及供应商为其缴纳的2023年5月-2023年10月连续社会保险参保证明，并加盖供应商公章。</w:t>
      </w:r>
    </w:p>
    <w:p>
      <w:pPr>
        <w:numPr>
          <w:ilvl w:val="0"/>
          <w:numId w:val="3"/>
        </w:numPr>
        <w:spacing w:line="400" w:lineRule="exact"/>
        <w:ind w:left="0" w:leftChars="0" w:firstLine="420" w:firstLineChars="0"/>
        <w:rPr>
          <w:rFonts w:hint="eastAsia" w:ascii="仿宋" w:hAnsi="仿宋" w:eastAsia="仿宋"/>
          <w:b w:val="0"/>
          <w:bCs/>
          <w:color w:val="auto"/>
          <w:sz w:val="24"/>
          <w:highlight w:val="none"/>
          <w:lang w:val="en-US" w:eastAsia="zh-CN"/>
        </w:rPr>
      </w:pPr>
      <w:r>
        <w:rPr>
          <w:rFonts w:hint="eastAsia" w:ascii="仿宋" w:hAnsi="仿宋" w:eastAsia="仿宋"/>
          <w:b w:val="0"/>
          <w:bCs/>
          <w:color w:val="auto"/>
          <w:sz w:val="24"/>
          <w:highlight w:val="none"/>
          <w:lang w:val="en-US" w:eastAsia="zh-CN"/>
        </w:rPr>
        <w:t>土建专业负责人（1人）：具有全国注册造价工程师（土建专业）或一级注册造价工程师（土木建筑专业）执业资格并已在供应商本单位注册，同时具备工程类中级及以上职称。</w:t>
      </w:r>
    </w:p>
    <w:p>
      <w:pPr>
        <w:numPr>
          <w:ilvl w:val="0"/>
          <w:numId w:val="0"/>
        </w:numPr>
        <w:spacing w:line="400" w:lineRule="exact"/>
        <w:ind w:firstLine="480" w:firstLineChars="200"/>
        <w:rPr>
          <w:rFonts w:hint="eastAsia" w:ascii="仿宋" w:hAnsi="仿宋" w:eastAsia="仿宋"/>
          <w:b w:val="0"/>
          <w:bCs/>
          <w:color w:val="auto"/>
          <w:sz w:val="24"/>
          <w:highlight w:val="none"/>
          <w:lang w:val="en-US" w:eastAsia="zh-CN"/>
        </w:rPr>
      </w:pPr>
      <w:r>
        <w:rPr>
          <w:rFonts w:hint="eastAsia" w:ascii="仿宋" w:hAnsi="仿宋" w:eastAsia="仿宋"/>
          <w:b w:val="0"/>
          <w:bCs/>
          <w:color w:val="auto"/>
          <w:sz w:val="24"/>
          <w:highlight w:val="none"/>
          <w:lang w:val="en-US" w:eastAsia="zh-CN"/>
        </w:rPr>
        <w:t>提供人员执业资格证书、注册证书、职称证、身份证复印件或扫描件以及供应商为其缴纳的2023年5月-2023年10月连续社会保险参保证明，并加盖供应商公章。</w:t>
      </w:r>
    </w:p>
    <w:p>
      <w:pPr>
        <w:numPr>
          <w:ilvl w:val="0"/>
          <w:numId w:val="3"/>
        </w:numPr>
        <w:spacing w:line="400" w:lineRule="exact"/>
        <w:ind w:left="0" w:leftChars="0" w:firstLine="420" w:firstLineChars="0"/>
        <w:rPr>
          <w:rFonts w:hint="eastAsia" w:ascii="仿宋" w:hAnsi="仿宋" w:eastAsia="仿宋"/>
          <w:b w:val="0"/>
          <w:bCs/>
          <w:color w:val="auto"/>
          <w:sz w:val="24"/>
          <w:highlight w:val="none"/>
          <w:lang w:val="en-US" w:eastAsia="zh-CN"/>
        </w:rPr>
      </w:pPr>
      <w:r>
        <w:rPr>
          <w:rFonts w:hint="eastAsia" w:ascii="仿宋" w:hAnsi="仿宋" w:eastAsia="仿宋"/>
          <w:b w:val="0"/>
          <w:bCs/>
          <w:color w:val="auto"/>
          <w:sz w:val="24"/>
          <w:highlight w:val="none"/>
          <w:lang w:val="en-US" w:eastAsia="zh-CN"/>
        </w:rPr>
        <w:t>安装专业负责人（1人）：具有全国注册造价工程师或一级注册造价工程师（安装专业）执业资格并已在供应商本单位注册，同时具备工程类中级及以上职称。</w:t>
      </w:r>
    </w:p>
    <w:p>
      <w:pPr>
        <w:numPr>
          <w:ilvl w:val="0"/>
          <w:numId w:val="0"/>
        </w:numPr>
        <w:spacing w:line="400" w:lineRule="exact"/>
        <w:ind w:firstLine="480" w:firstLineChars="200"/>
        <w:rPr>
          <w:rFonts w:hint="eastAsia" w:ascii="仿宋" w:hAnsi="仿宋" w:eastAsia="仿宋"/>
          <w:b w:val="0"/>
          <w:bCs/>
          <w:color w:val="auto"/>
          <w:sz w:val="24"/>
          <w:highlight w:val="none"/>
          <w:lang w:val="en-US" w:eastAsia="zh-CN"/>
        </w:rPr>
      </w:pPr>
      <w:r>
        <w:rPr>
          <w:rFonts w:hint="eastAsia" w:ascii="仿宋" w:hAnsi="仿宋" w:eastAsia="仿宋"/>
          <w:b w:val="0"/>
          <w:bCs/>
          <w:color w:val="auto"/>
          <w:sz w:val="24"/>
          <w:highlight w:val="none"/>
          <w:lang w:val="en-US" w:eastAsia="zh-CN"/>
        </w:rPr>
        <w:t>提供人员执业资格证书、注册证书、职称证、身份证复印件或扫描件以及供应商为其缴纳的2023年5月-2023年10月连续社会保险参保证明，并加盖供应商公章。</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b w:val="0"/>
          <w:bCs/>
          <w:color w:val="auto"/>
          <w:sz w:val="24"/>
          <w:highlight w:val="none"/>
        </w:rPr>
        <w:t>※</w:t>
      </w:r>
      <w:r>
        <w:rPr>
          <w:rFonts w:hint="eastAsia" w:ascii="仿宋" w:hAnsi="仿宋" w:eastAsia="仿宋" w:cs="仿宋"/>
          <w:b/>
          <w:bCs/>
          <w:color w:val="auto"/>
          <w:sz w:val="24"/>
          <w:szCs w:val="24"/>
          <w:highlight w:val="none"/>
          <w:lang w:val="en-US" w:eastAsia="zh-CN"/>
        </w:rPr>
        <w:t>四、</w:t>
      </w:r>
      <w:r>
        <w:rPr>
          <w:rFonts w:hint="eastAsia" w:ascii="仿宋" w:hAnsi="仿宋" w:eastAsia="仿宋" w:cs="仿宋"/>
          <w:b/>
          <w:bCs/>
          <w:color w:val="auto"/>
          <w:sz w:val="24"/>
          <w:szCs w:val="24"/>
          <w:highlight w:val="none"/>
        </w:rPr>
        <w:t>违约责任</w:t>
      </w:r>
    </w:p>
    <w:p>
      <w:pPr>
        <w:numPr>
          <w:ilvl w:val="0"/>
          <w:numId w:val="4"/>
        </w:numPr>
        <w:spacing w:line="400" w:lineRule="exact"/>
        <w:ind w:left="0" w:leftChars="0" w:firstLine="42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供应商</w:t>
      </w:r>
      <w:r>
        <w:rPr>
          <w:rFonts w:hint="eastAsia" w:ascii="仿宋" w:hAnsi="仿宋" w:eastAsia="仿宋" w:cs="仿宋"/>
          <w:color w:val="auto"/>
          <w:sz w:val="24"/>
          <w:szCs w:val="24"/>
          <w:highlight w:val="none"/>
        </w:rPr>
        <w:t>不得将工程的咨询任务进行挂靠、转包或分包，如经发现，</w:t>
      </w:r>
      <w:r>
        <w:rPr>
          <w:rFonts w:hint="eastAsia" w:ascii="仿宋" w:hAnsi="仿宋" w:eastAsia="仿宋" w:cs="仿宋"/>
          <w:color w:val="auto"/>
          <w:sz w:val="24"/>
          <w:szCs w:val="24"/>
          <w:highlight w:val="none"/>
          <w:lang w:val="en-US" w:eastAsia="zh-CN"/>
        </w:rPr>
        <w:t>采购人</w:t>
      </w:r>
      <w:r>
        <w:rPr>
          <w:rFonts w:hint="eastAsia" w:ascii="仿宋" w:hAnsi="仿宋" w:eastAsia="仿宋" w:cs="仿宋"/>
          <w:color w:val="auto"/>
          <w:sz w:val="24"/>
          <w:szCs w:val="24"/>
          <w:highlight w:val="none"/>
        </w:rPr>
        <w:t>将取消本工程咨询资格，并赔偿因此对</w:t>
      </w:r>
      <w:r>
        <w:rPr>
          <w:rFonts w:hint="eastAsia" w:ascii="仿宋" w:hAnsi="仿宋" w:eastAsia="仿宋" w:cs="仿宋"/>
          <w:color w:val="auto"/>
          <w:sz w:val="24"/>
          <w:szCs w:val="24"/>
          <w:highlight w:val="none"/>
          <w:lang w:val="en-US" w:eastAsia="zh-CN"/>
        </w:rPr>
        <w:t>采购人</w:t>
      </w:r>
      <w:r>
        <w:rPr>
          <w:rFonts w:hint="eastAsia" w:ascii="仿宋" w:hAnsi="仿宋" w:eastAsia="仿宋" w:cs="仿宋"/>
          <w:color w:val="auto"/>
          <w:sz w:val="24"/>
          <w:szCs w:val="24"/>
          <w:highlight w:val="none"/>
        </w:rPr>
        <w:t>造成一切经济损失。</w:t>
      </w:r>
    </w:p>
    <w:p>
      <w:pPr>
        <w:numPr>
          <w:ilvl w:val="0"/>
          <w:numId w:val="4"/>
        </w:numPr>
        <w:spacing w:line="400" w:lineRule="exact"/>
        <w:ind w:left="0" w:leftChars="0" w:firstLine="42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供应商磋商</w:t>
      </w:r>
      <w:r>
        <w:rPr>
          <w:rFonts w:hint="eastAsia" w:ascii="仿宋" w:hAnsi="仿宋" w:eastAsia="仿宋" w:cs="仿宋"/>
          <w:color w:val="auto"/>
          <w:sz w:val="24"/>
          <w:szCs w:val="24"/>
          <w:highlight w:val="none"/>
        </w:rPr>
        <w:t>承诺的项目负责人及其专业人员不得随意更换，若确需变更咨询人员的，须经</w:t>
      </w:r>
      <w:r>
        <w:rPr>
          <w:rFonts w:hint="eastAsia" w:ascii="仿宋" w:hAnsi="仿宋" w:eastAsia="仿宋" w:cs="仿宋"/>
          <w:color w:val="auto"/>
          <w:sz w:val="24"/>
          <w:szCs w:val="24"/>
          <w:highlight w:val="none"/>
          <w:lang w:val="en-US" w:eastAsia="zh-CN"/>
        </w:rPr>
        <w:t>采购人</w:t>
      </w:r>
      <w:r>
        <w:rPr>
          <w:rFonts w:hint="eastAsia" w:ascii="仿宋" w:hAnsi="仿宋" w:eastAsia="仿宋" w:cs="仿宋"/>
          <w:color w:val="auto"/>
          <w:sz w:val="24"/>
          <w:szCs w:val="24"/>
          <w:highlight w:val="none"/>
        </w:rPr>
        <w:t>审核同意后方能变更人员；且拟变更人员的职称、执业资格等资质均不得低于</w:t>
      </w:r>
      <w:r>
        <w:rPr>
          <w:rFonts w:hint="eastAsia" w:ascii="仿宋" w:hAnsi="仿宋" w:eastAsia="仿宋" w:cs="仿宋"/>
          <w:color w:val="auto"/>
          <w:sz w:val="24"/>
          <w:szCs w:val="24"/>
          <w:highlight w:val="none"/>
          <w:lang w:val="en-US" w:eastAsia="zh-CN"/>
        </w:rPr>
        <w:t>竞争性磋商</w:t>
      </w:r>
      <w:r>
        <w:rPr>
          <w:rFonts w:hint="eastAsia" w:ascii="仿宋" w:hAnsi="仿宋" w:eastAsia="仿宋" w:cs="仿宋"/>
          <w:color w:val="auto"/>
          <w:sz w:val="24"/>
          <w:szCs w:val="24"/>
          <w:highlight w:val="none"/>
        </w:rPr>
        <w:t>文件要求（在商务部分有加分得利的需同时满足），且调整人员的比例不得超过</w:t>
      </w:r>
      <w:r>
        <w:rPr>
          <w:rFonts w:hint="eastAsia" w:ascii="仿宋" w:hAnsi="仿宋" w:eastAsia="仿宋" w:cs="仿宋"/>
          <w:color w:val="auto"/>
          <w:sz w:val="24"/>
          <w:szCs w:val="24"/>
          <w:highlight w:val="none"/>
          <w:lang w:val="en-US" w:eastAsia="zh-CN"/>
        </w:rPr>
        <w:t>响应</w:t>
      </w:r>
      <w:r>
        <w:rPr>
          <w:rFonts w:hint="eastAsia" w:ascii="仿宋" w:hAnsi="仿宋" w:eastAsia="仿宋" w:cs="仿宋"/>
          <w:color w:val="auto"/>
          <w:sz w:val="24"/>
          <w:szCs w:val="24"/>
          <w:highlight w:val="none"/>
        </w:rPr>
        <w:t>文件承诺的人员数量的30%。</w:t>
      </w:r>
    </w:p>
    <w:p>
      <w:pPr>
        <w:spacing w:line="400" w:lineRule="exact"/>
        <w:ind w:firstLine="480" w:firstLineChars="200"/>
        <w:rPr>
          <w:rFonts w:hint="eastAsia" w:ascii="仿宋" w:hAnsi="仿宋" w:eastAsia="仿宋" w:cs="仿宋"/>
          <w:color w:val="auto"/>
          <w:sz w:val="24"/>
          <w:szCs w:val="24"/>
          <w:highlight w:val="none"/>
        </w:rPr>
        <w:sectPr>
          <w:footerReference r:id="rId8" w:type="default"/>
          <w:footerReference r:id="rId9" w:type="even"/>
          <w:pgSz w:w="11907" w:h="16840"/>
          <w:pgMar w:top="1134" w:right="1191" w:bottom="1134" w:left="1304" w:header="964" w:footer="992" w:gutter="0"/>
          <w:pgNumType w:fmt="numberInDash"/>
          <w:cols w:space="720" w:num="1"/>
          <w:docGrid w:linePitch="312" w:charSpace="0"/>
        </w:sectPr>
      </w:pPr>
    </w:p>
    <w:p>
      <w:pPr>
        <w:pStyle w:val="2"/>
        <w:spacing w:before="0" w:after="0" w:line="360" w:lineRule="auto"/>
        <w:jc w:val="center"/>
        <w:rPr>
          <w:rFonts w:hint="eastAsia" w:ascii="仿宋" w:hAnsi="仿宋" w:eastAsia="仿宋" w:cs="仿宋"/>
          <w:b w:val="0"/>
          <w:color w:val="auto"/>
          <w:sz w:val="36"/>
          <w:szCs w:val="30"/>
          <w:highlight w:val="none"/>
        </w:rPr>
      </w:pPr>
      <w:bookmarkStart w:id="38" w:name="_Toc76462327"/>
      <w:bookmarkStart w:id="39" w:name="_Toc24351"/>
      <w:r>
        <w:rPr>
          <w:rFonts w:hint="eastAsia" w:ascii="仿宋" w:hAnsi="仿宋" w:eastAsia="仿宋" w:cs="仿宋"/>
          <w:b w:val="0"/>
          <w:color w:val="auto"/>
          <w:sz w:val="36"/>
          <w:szCs w:val="30"/>
          <w:highlight w:val="none"/>
        </w:rPr>
        <w:t xml:space="preserve">第三篇  </w:t>
      </w:r>
      <w:bookmarkEnd w:id="29"/>
      <w:r>
        <w:rPr>
          <w:rFonts w:hint="eastAsia" w:ascii="仿宋" w:hAnsi="仿宋" w:eastAsia="仿宋" w:cs="仿宋"/>
          <w:b w:val="0"/>
          <w:color w:val="auto"/>
          <w:sz w:val="36"/>
          <w:szCs w:val="30"/>
          <w:highlight w:val="none"/>
        </w:rPr>
        <w:t>项目商务需求</w:t>
      </w:r>
      <w:bookmarkEnd w:id="38"/>
      <w:bookmarkEnd w:id="39"/>
    </w:p>
    <w:p>
      <w:pPr>
        <w:pStyle w:val="7"/>
        <w:spacing w:line="400" w:lineRule="exact"/>
        <w:ind w:firstLine="480" w:firstLineChars="200"/>
        <w:rPr>
          <w:rFonts w:hint="eastAsia" w:ascii="仿宋" w:hAnsi="仿宋" w:eastAsia="仿宋" w:cs="仿宋"/>
          <w:color w:val="auto"/>
          <w:sz w:val="24"/>
          <w:szCs w:val="24"/>
          <w:highlight w:val="none"/>
        </w:rPr>
      </w:pPr>
      <w:bookmarkStart w:id="40" w:name="_Toc76462328"/>
      <w:bookmarkStart w:id="41" w:name="_Toc344475120"/>
      <w:r>
        <w:rPr>
          <w:rFonts w:hint="eastAsia" w:ascii="仿宋" w:hAnsi="仿宋" w:eastAsia="仿宋" w:cs="仿宋"/>
          <w:color w:val="auto"/>
          <w:sz w:val="24"/>
          <w:szCs w:val="24"/>
          <w:highlight w:val="none"/>
        </w:rPr>
        <w:t>“※”标注的商务需求为符合性审查中的实质性要求，响应文件若不满足按无效响应处理。</w:t>
      </w:r>
    </w:p>
    <w:p>
      <w:pPr>
        <w:pStyle w:val="2"/>
        <w:adjustRightInd w:val="0"/>
        <w:snapToGrid w:val="0"/>
        <w:spacing w:before="0" w:after="0" w:line="400" w:lineRule="exact"/>
        <w:ind w:firstLine="482" w:firstLineChars="200"/>
        <w:rPr>
          <w:rFonts w:hint="eastAsia" w:ascii="仿宋" w:hAnsi="仿宋" w:eastAsia="仿宋" w:cs="仿宋"/>
          <w:color w:val="auto"/>
          <w:sz w:val="24"/>
          <w:highlight w:val="none"/>
        </w:rPr>
      </w:pPr>
      <w:bookmarkStart w:id="42" w:name="_Toc28208"/>
      <w:r>
        <w:rPr>
          <w:rFonts w:hint="eastAsia" w:ascii="仿宋" w:hAnsi="仿宋" w:eastAsia="仿宋" w:cs="仿宋"/>
          <w:color w:val="auto"/>
          <w:sz w:val="24"/>
          <w:highlight w:val="none"/>
        </w:rPr>
        <w:t>一、服务期、地点及验收方式</w:t>
      </w:r>
      <w:bookmarkEnd w:id="40"/>
      <w:bookmarkEnd w:id="41"/>
      <w:bookmarkEnd w:id="42"/>
    </w:p>
    <w:p>
      <w:pPr>
        <w:pStyle w:val="7"/>
        <w:spacing w:line="400" w:lineRule="exact"/>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※（一）服务期：</w:t>
      </w:r>
      <w:r>
        <w:rPr>
          <w:rFonts w:hint="eastAsia" w:ascii="仿宋" w:hAnsi="仿宋" w:eastAsia="仿宋" w:cs="仿宋"/>
          <w:i w:val="0"/>
          <w:iCs w:val="0"/>
          <w:color w:val="auto"/>
          <w:sz w:val="24"/>
          <w:szCs w:val="24"/>
          <w:highlight w:val="none"/>
          <w:lang w:val="en-US" w:eastAsia="zh-CN"/>
        </w:rPr>
        <w:t>采购</w:t>
      </w:r>
      <w:r>
        <w:rPr>
          <w:rFonts w:hint="eastAsia" w:ascii="仿宋" w:hAnsi="仿宋" w:eastAsia="仿宋" w:cs="仿宋"/>
          <w:i w:val="0"/>
          <w:iCs w:val="0"/>
          <w:color w:val="auto"/>
          <w:sz w:val="24"/>
          <w:szCs w:val="24"/>
          <w:highlight w:val="none"/>
          <w:lang w:eastAsia="zh-CN"/>
        </w:rPr>
        <w:t>人提供完整资料后20工作日内完成</w:t>
      </w:r>
      <w:r>
        <w:rPr>
          <w:rFonts w:hint="eastAsia" w:ascii="仿宋" w:hAnsi="仿宋" w:eastAsia="仿宋" w:cs="仿宋"/>
          <w:i/>
          <w:iCs/>
          <w:color w:val="auto"/>
          <w:sz w:val="24"/>
          <w:szCs w:val="24"/>
          <w:highlight w:val="none"/>
          <w:lang w:eastAsia="zh-CN"/>
        </w:rPr>
        <w:t>。</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（二）服务地点：采购人指定地点。</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（三）验收方式：采购人按照国家及行业相关标准、磋商文件规定和合同进行验收。</w:t>
      </w:r>
    </w:p>
    <w:p>
      <w:pPr>
        <w:pStyle w:val="2"/>
        <w:adjustRightInd w:val="0"/>
        <w:snapToGrid w:val="0"/>
        <w:spacing w:before="0" w:after="0" w:line="400" w:lineRule="exact"/>
        <w:ind w:firstLine="482" w:firstLineChars="200"/>
        <w:rPr>
          <w:rFonts w:hint="default" w:ascii="仿宋" w:hAnsi="仿宋" w:eastAsia="仿宋" w:cs="仿宋"/>
          <w:color w:val="auto"/>
          <w:sz w:val="24"/>
          <w:highlight w:val="none"/>
          <w:lang w:val="en-US" w:eastAsia="zh-CN"/>
        </w:rPr>
      </w:pPr>
      <w:bookmarkStart w:id="43" w:name="_Toc344475121"/>
      <w:bookmarkStart w:id="44" w:name="_Toc76462329"/>
      <w:bookmarkStart w:id="45" w:name="_Toc18287"/>
      <w:r>
        <w:rPr>
          <w:rFonts w:hint="eastAsia" w:ascii="仿宋" w:hAnsi="仿宋" w:eastAsia="仿宋" w:cs="仿宋"/>
          <w:color w:val="auto"/>
          <w:sz w:val="24"/>
          <w:highlight w:val="none"/>
        </w:rPr>
        <w:t>二、</w:t>
      </w:r>
      <w:bookmarkEnd w:id="43"/>
      <w:r>
        <w:rPr>
          <w:rFonts w:hint="eastAsia" w:ascii="仿宋" w:hAnsi="仿宋" w:eastAsia="仿宋" w:cs="仿宋"/>
          <w:color w:val="auto"/>
          <w:sz w:val="24"/>
          <w:highlight w:val="none"/>
        </w:rPr>
        <w:t>报价要求</w:t>
      </w:r>
      <w:bookmarkEnd w:id="44"/>
      <w:r>
        <w:rPr>
          <w:rFonts w:hint="eastAsia" w:ascii="仿宋" w:hAnsi="仿宋" w:eastAsia="仿宋" w:cs="仿宋"/>
          <w:color w:val="auto"/>
          <w:sz w:val="24"/>
          <w:highlight w:val="none"/>
          <w:lang w:val="en-US" w:eastAsia="zh-CN"/>
        </w:rPr>
        <w:t>及最高限价</w:t>
      </w:r>
      <w:bookmarkEnd w:id="45"/>
    </w:p>
    <w:p>
      <w:pPr>
        <w:spacing w:line="400" w:lineRule="exact"/>
        <w:ind w:firstLine="480" w:firstLineChars="200"/>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（一）报价方式</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本项目报价方式采用折扣率的方式报价。报价应为完成第二篇项目服务需求的全部内容的报价，各供应商参考《重庆市物价局关于工程造价咨询服务收费标准的通知》（渝价〔2013〕428号）</w:t>
      </w:r>
      <w:r>
        <w:rPr>
          <w:rFonts w:hint="eastAsia" w:ascii="仿宋" w:hAnsi="仿宋" w:eastAsia="仿宋" w:cs="仿宋"/>
          <w:color w:val="auto"/>
          <w:sz w:val="24"/>
          <w:szCs w:val="24"/>
          <w:highlight w:val="none"/>
        </w:rPr>
        <w:t>收费标准</w:t>
      </w:r>
      <w:r>
        <w:rPr>
          <w:rFonts w:hint="eastAsia" w:ascii="仿宋" w:hAnsi="仿宋" w:eastAsia="仿宋" w:cs="仿宋"/>
          <w:color w:val="auto"/>
          <w:sz w:val="24"/>
          <w:szCs w:val="24"/>
          <w:highlight w:val="none"/>
          <w:lang w:val="en-US" w:eastAsia="zh-CN"/>
        </w:rPr>
        <w:t>（附表2-序号3，建筑、市政、园林分项），并结合自身实力自行填报折扣率，成交后折扣率不作调整。</w:t>
      </w:r>
    </w:p>
    <w:p>
      <w:pPr>
        <w:spacing w:line="400" w:lineRule="exact"/>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磋商报价包括咨询人完成本合同义务的所有直接和间接费用，包括但不仅限于：人工费、材料费、机具费、资料费、交通费、差旅费、评审费、 驻地咨询费、调查和调研费、赶工费、加班费、管理费、利润、税金等一切费用。因供应商自身原因造成漏报、少报皆由其自行承担责任，采购人不再补偿。</w:t>
      </w:r>
    </w:p>
    <w:p>
      <w:pPr>
        <w:spacing w:line="400" w:lineRule="exact"/>
        <w:ind w:firstLine="480" w:firstLineChars="200"/>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二</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最高限价</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本项目折扣率</w:t>
      </w:r>
      <w:r>
        <w:rPr>
          <w:rFonts w:hint="eastAsia" w:ascii="仿宋" w:hAnsi="仿宋" w:eastAsia="仿宋" w:cs="仿宋"/>
          <w:color w:val="auto"/>
          <w:sz w:val="24"/>
          <w:szCs w:val="24"/>
          <w:highlight w:val="none"/>
          <w:lang w:val="en-US" w:eastAsia="zh-CN"/>
        </w:rPr>
        <w:t>最高</w:t>
      </w:r>
      <w:r>
        <w:rPr>
          <w:rFonts w:hint="eastAsia" w:ascii="仿宋" w:hAnsi="仿宋" w:eastAsia="仿宋" w:cs="仿宋"/>
          <w:color w:val="auto"/>
          <w:sz w:val="24"/>
          <w:szCs w:val="24"/>
          <w:highlight w:val="none"/>
        </w:rPr>
        <w:t>限价为参照《重庆市物价局关于工程造价咨询服务收费标准的通知》(渝价〔2013〕428 号)收费标准</w:t>
      </w:r>
      <w:r>
        <w:rPr>
          <w:rFonts w:hint="eastAsia" w:ascii="仿宋" w:hAnsi="仿宋" w:eastAsia="仿宋" w:cs="仿宋"/>
          <w:color w:val="auto"/>
          <w:sz w:val="24"/>
          <w:szCs w:val="24"/>
          <w:highlight w:val="none"/>
          <w:lang w:val="en-US" w:eastAsia="zh-CN"/>
        </w:rPr>
        <w:t>（附表2-序号3，建筑、市政、园林分项）</w:t>
      </w:r>
      <w:r>
        <w:rPr>
          <w:rFonts w:hint="eastAsia" w:ascii="仿宋" w:hAnsi="仿宋" w:eastAsia="仿宋" w:cs="仿宋"/>
          <w:color w:val="auto"/>
          <w:sz w:val="24"/>
          <w:szCs w:val="24"/>
          <w:highlight w:val="none"/>
        </w:rPr>
        <w:t>的50 %；</w:t>
      </w:r>
      <w:r>
        <w:rPr>
          <w:rFonts w:hint="eastAsia" w:ascii="仿宋" w:hAnsi="仿宋" w:eastAsia="仿宋" w:cs="仿宋"/>
          <w:color w:val="auto"/>
          <w:sz w:val="24"/>
          <w:szCs w:val="24"/>
          <w:highlight w:val="none"/>
          <w:lang w:val="en-US" w:eastAsia="zh-CN"/>
        </w:rPr>
        <w:t>以</w:t>
      </w:r>
      <w:r>
        <w:rPr>
          <w:rFonts w:hint="eastAsia" w:ascii="仿宋" w:hAnsi="仿宋" w:eastAsia="仿宋" w:cs="仿宋"/>
          <w:color w:val="auto"/>
          <w:sz w:val="24"/>
          <w:szCs w:val="24"/>
          <w:highlight w:val="none"/>
        </w:rPr>
        <w:t>本项目</w:t>
      </w:r>
      <w:r>
        <w:rPr>
          <w:rFonts w:hint="eastAsia" w:ascii="仿宋" w:hAnsi="仿宋" w:eastAsia="仿宋" w:cs="仿宋"/>
          <w:color w:val="auto"/>
          <w:sz w:val="24"/>
          <w:szCs w:val="24"/>
          <w:highlight w:val="none"/>
          <w:lang w:eastAsia="zh-CN"/>
        </w:rPr>
        <w:t>中两个子项目</w:t>
      </w:r>
      <w:r>
        <w:rPr>
          <w:rFonts w:hint="eastAsia" w:ascii="仿宋" w:hAnsi="仿宋" w:eastAsia="仿宋" w:cs="仿宋"/>
          <w:color w:val="auto"/>
          <w:sz w:val="24"/>
          <w:szCs w:val="24"/>
          <w:highlight w:val="none"/>
        </w:rPr>
        <w:t>暂定</w:t>
      </w:r>
      <w:r>
        <w:rPr>
          <w:rFonts w:hint="eastAsia" w:ascii="仿宋" w:hAnsi="仿宋" w:eastAsia="仿宋" w:cs="仿宋"/>
          <w:color w:val="auto"/>
          <w:sz w:val="24"/>
          <w:szCs w:val="24"/>
          <w:highlight w:val="none"/>
          <w:lang w:eastAsia="zh-CN"/>
        </w:rPr>
        <w:t>建安工程总费用</w:t>
      </w:r>
      <w:r>
        <w:rPr>
          <w:rFonts w:hint="eastAsia" w:ascii="仿宋" w:hAnsi="仿宋" w:eastAsia="仿宋" w:cs="仿宋"/>
          <w:color w:val="auto"/>
          <w:sz w:val="24"/>
          <w:szCs w:val="24"/>
          <w:highlight w:val="none"/>
        </w:rPr>
        <w:t>4.2亿元为计费基数，本项目暂定总</w:t>
      </w:r>
      <w:r>
        <w:rPr>
          <w:rFonts w:hint="eastAsia" w:ascii="仿宋" w:hAnsi="仿宋" w:eastAsia="仿宋" w:cs="仿宋"/>
          <w:color w:val="auto"/>
          <w:sz w:val="24"/>
          <w:szCs w:val="24"/>
          <w:highlight w:val="none"/>
          <w:lang w:eastAsia="zh-CN"/>
        </w:rPr>
        <w:t>报</w:t>
      </w:r>
      <w:r>
        <w:rPr>
          <w:rFonts w:hint="eastAsia" w:ascii="仿宋" w:hAnsi="仿宋" w:eastAsia="仿宋" w:cs="仿宋"/>
          <w:color w:val="auto"/>
          <w:sz w:val="24"/>
          <w:szCs w:val="24"/>
          <w:highlight w:val="none"/>
        </w:rPr>
        <w:t>价</w:t>
      </w:r>
      <w:r>
        <w:rPr>
          <w:rFonts w:hint="eastAsia" w:ascii="仿宋" w:hAnsi="仿宋" w:eastAsia="仿宋" w:cs="仿宋"/>
          <w:color w:val="auto"/>
          <w:sz w:val="24"/>
          <w:szCs w:val="24"/>
          <w:highlight w:val="none"/>
          <w:lang w:val="en-US" w:eastAsia="zh-CN"/>
        </w:rPr>
        <w:t>最高</w:t>
      </w:r>
      <w:r>
        <w:rPr>
          <w:rFonts w:hint="eastAsia" w:ascii="仿宋" w:hAnsi="仿宋" w:eastAsia="仿宋" w:cs="仿宋"/>
          <w:color w:val="auto"/>
          <w:sz w:val="24"/>
          <w:szCs w:val="24"/>
          <w:highlight w:val="none"/>
        </w:rPr>
        <w:t>限价为</w:t>
      </w:r>
      <w:r>
        <w:rPr>
          <w:rFonts w:hint="eastAsia" w:ascii="仿宋" w:hAnsi="仿宋" w:eastAsia="仿宋" w:cs="仿宋"/>
          <w:color w:val="auto"/>
          <w:sz w:val="24"/>
          <w:szCs w:val="24"/>
          <w:highlight w:val="none"/>
          <w:lang w:val="en-US" w:eastAsia="zh-CN"/>
        </w:rPr>
        <w:t>461250.00</w:t>
      </w:r>
      <w:r>
        <w:rPr>
          <w:rFonts w:hint="eastAsia" w:ascii="仿宋" w:hAnsi="仿宋" w:eastAsia="仿宋" w:cs="仿宋"/>
          <w:color w:val="auto"/>
          <w:sz w:val="24"/>
          <w:szCs w:val="24"/>
          <w:highlight w:val="none"/>
        </w:rPr>
        <w:t>元。</w:t>
      </w:r>
      <w:r>
        <w:rPr>
          <w:rFonts w:hint="eastAsia" w:ascii="仿宋" w:hAnsi="仿宋" w:eastAsia="仿宋" w:cs="仿宋"/>
          <w:b/>
          <w:bCs/>
          <w:color w:val="auto"/>
          <w:sz w:val="24"/>
          <w:szCs w:val="24"/>
          <w:highlight w:val="none"/>
          <w:lang w:val="en-US" w:eastAsia="zh-CN"/>
        </w:rPr>
        <w:t>供应商</w:t>
      </w:r>
      <w:r>
        <w:rPr>
          <w:rFonts w:hint="eastAsia" w:ascii="仿宋" w:hAnsi="仿宋" w:eastAsia="仿宋" w:cs="仿宋"/>
          <w:b/>
          <w:bCs/>
          <w:color w:val="auto"/>
          <w:sz w:val="24"/>
          <w:szCs w:val="24"/>
          <w:highlight w:val="none"/>
          <w:lang w:eastAsia="zh-CN"/>
        </w:rPr>
        <w:t>在计算预算编制费总价时，必须以项目暂定建安工程费</w:t>
      </w:r>
      <w:r>
        <w:rPr>
          <w:rFonts w:hint="eastAsia" w:ascii="仿宋" w:hAnsi="仿宋" w:eastAsia="仿宋" w:cs="仿宋"/>
          <w:b/>
          <w:bCs/>
          <w:color w:val="auto"/>
          <w:sz w:val="24"/>
          <w:szCs w:val="24"/>
          <w:highlight w:val="none"/>
          <w:lang w:val="en-US" w:eastAsia="zh-CN"/>
        </w:rPr>
        <w:t>4.2亿元为计费基数；若响应文件中的预算编制费总价报价与由预算编制折扣率报价计算出得总价不一致时，由评审小组作无效处理。供应商</w:t>
      </w:r>
      <w:r>
        <w:rPr>
          <w:rFonts w:hint="eastAsia" w:ascii="仿宋" w:hAnsi="仿宋" w:eastAsia="仿宋" w:cs="仿宋"/>
          <w:b/>
          <w:bCs/>
          <w:color w:val="auto"/>
          <w:sz w:val="24"/>
          <w:szCs w:val="24"/>
          <w:highlight w:val="none"/>
        </w:rPr>
        <w:t>的折扣率</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rPr>
        <w:t>暂定总</w:t>
      </w:r>
      <w:r>
        <w:rPr>
          <w:rFonts w:hint="eastAsia" w:ascii="仿宋" w:hAnsi="仿宋" w:eastAsia="仿宋" w:cs="仿宋"/>
          <w:b/>
          <w:bCs/>
          <w:color w:val="auto"/>
          <w:sz w:val="24"/>
          <w:szCs w:val="24"/>
          <w:highlight w:val="none"/>
          <w:lang w:eastAsia="zh-CN"/>
        </w:rPr>
        <w:t>报</w:t>
      </w:r>
      <w:r>
        <w:rPr>
          <w:rFonts w:hint="eastAsia" w:ascii="仿宋" w:hAnsi="仿宋" w:eastAsia="仿宋" w:cs="仿宋"/>
          <w:b/>
          <w:bCs/>
          <w:color w:val="auto"/>
          <w:sz w:val="24"/>
          <w:szCs w:val="24"/>
          <w:highlight w:val="none"/>
        </w:rPr>
        <w:t>价均不能</w:t>
      </w:r>
      <w:r>
        <w:rPr>
          <w:rFonts w:hint="eastAsia" w:ascii="仿宋" w:hAnsi="仿宋" w:eastAsia="仿宋" w:cs="仿宋"/>
          <w:b/>
          <w:bCs/>
          <w:color w:val="auto"/>
          <w:sz w:val="24"/>
          <w:szCs w:val="24"/>
          <w:highlight w:val="none"/>
          <w:lang w:val="en-US" w:eastAsia="zh-CN"/>
        </w:rPr>
        <w:t>高于最高限价</w:t>
      </w:r>
      <w:r>
        <w:rPr>
          <w:rFonts w:hint="eastAsia" w:ascii="仿宋" w:hAnsi="仿宋" w:eastAsia="仿宋" w:cs="仿宋"/>
          <w:b/>
          <w:bCs/>
          <w:color w:val="auto"/>
          <w:sz w:val="24"/>
          <w:szCs w:val="24"/>
          <w:highlight w:val="none"/>
        </w:rPr>
        <w:t>，否则</w:t>
      </w:r>
      <w:r>
        <w:rPr>
          <w:rFonts w:hint="eastAsia" w:ascii="仿宋" w:hAnsi="仿宋" w:eastAsia="仿宋" w:cs="仿宋"/>
          <w:b/>
          <w:bCs/>
          <w:color w:val="auto"/>
          <w:sz w:val="24"/>
          <w:szCs w:val="24"/>
          <w:highlight w:val="none"/>
          <w:lang w:val="en-US" w:eastAsia="zh-CN"/>
        </w:rPr>
        <w:t>作无效处理</w:t>
      </w:r>
      <w:r>
        <w:rPr>
          <w:rFonts w:hint="eastAsia" w:ascii="仿宋" w:hAnsi="仿宋" w:eastAsia="仿宋" w:cs="仿宋"/>
          <w:b/>
          <w:bCs/>
          <w:color w:val="auto"/>
          <w:sz w:val="24"/>
          <w:szCs w:val="24"/>
          <w:highlight w:val="none"/>
        </w:rPr>
        <w:t>。</w:t>
      </w:r>
    </w:p>
    <w:p>
      <w:pPr>
        <w:spacing w:line="400" w:lineRule="exact"/>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折扣率</w:t>
      </w:r>
      <w:r>
        <w:rPr>
          <w:rFonts w:hint="eastAsia" w:ascii="仿宋" w:hAnsi="仿宋" w:eastAsia="仿宋" w:cs="仿宋"/>
          <w:color w:val="auto"/>
          <w:sz w:val="24"/>
          <w:szCs w:val="24"/>
          <w:highlight w:val="none"/>
          <w:lang w:eastAsia="zh-CN"/>
        </w:rPr>
        <w:t>报价为百分数，百分号前保留2位小数，第3位四舍五入；暂定总报价以元为单位报价，保留2位小数，第3位四舍五入。</w:t>
      </w:r>
    </w:p>
    <w:p>
      <w:pPr>
        <w:numPr>
          <w:ilvl w:val="0"/>
          <w:numId w:val="1"/>
        </w:numPr>
        <w:spacing w:line="400" w:lineRule="exact"/>
        <w:ind w:left="0" w:leftChars="0" w:firstLine="482" w:firstLineChars="200"/>
        <w:rPr>
          <w:rFonts w:hint="eastAsia" w:ascii="仿宋" w:hAnsi="仿宋" w:eastAsia="仿宋" w:cs="仿宋"/>
          <w:color w:val="auto"/>
          <w:sz w:val="24"/>
          <w:highlight w:val="none"/>
        </w:rPr>
      </w:pPr>
      <w:bookmarkStart w:id="46" w:name="_Toc76462330"/>
      <w:bookmarkStart w:id="47" w:name="_Toc344475122"/>
      <w:r>
        <w:rPr>
          <w:rFonts w:hint="eastAsia" w:ascii="仿宋" w:hAnsi="仿宋" w:eastAsia="仿宋" w:cs="仿宋"/>
          <w:b/>
          <w:bCs/>
          <w:color w:val="auto"/>
          <w:sz w:val="24"/>
          <w:highlight w:val="none"/>
        </w:rPr>
        <w:t>结算原则</w:t>
      </w:r>
    </w:p>
    <w:p>
      <w:pPr>
        <w:numPr>
          <w:ilvl w:val="0"/>
          <w:numId w:val="0"/>
        </w:numPr>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预算编制服务费结算方式：以两个子项目预算评审审定金额之和为计费基数，按《重庆市物价局关于工程造价咨询服务收费标准的通知》（渝价〔2013〕428号）收费标准（附表2-序号3，建筑、市政、园林分项）计算的收费基价乘以</w:t>
      </w:r>
      <w:r>
        <w:rPr>
          <w:rFonts w:hint="eastAsia" w:ascii="仿宋" w:hAnsi="仿宋" w:eastAsia="仿宋" w:cs="仿宋"/>
          <w:color w:val="auto"/>
          <w:sz w:val="24"/>
          <w:highlight w:val="none"/>
          <w:lang w:val="en-US" w:eastAsia="zh-CN"/>
        </w:rPr>
        <w:t>成交</w:t>
      </w:r>
      <w:r>
        <w:rPr>
          <w:rFonts w:hint="eastAsia" w:ascii="仿宋" w:hAnsi="仿宋" w:eastAsia="仿宋" w:cs="仿宋"/>
          <w:color w:val="auto"/>
          <w:sz w:val="24"/>
          <w:highlight w:val="none"/>
        </w:rPr>
        <w:t>折扣率-违约金进行结算。</w:t>
      </w:r>
    </w:p>
    <w:p>
      <w:pPr>
        <w:numPr>
          <w:ilvl w:val="0"/>
          <w:numId w:val="1"/>
        </w:numPr>
        <w:spacing w:line="400" w:lineRule="exact"/>
        <w:ind w:left="0" w:leftChars="0"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付款方式</w:t>
      </w:r>
      <w:bookmarkEnd w:id="46"/>
      <w:bookmarkEnd w:id="47"/>
      <w:bookmarkStart w:id="48" w:name="_Toc344475124"/>
      <w:bookmarkStart w:id="49" w:name="_Toc76462331"/>
    </w:p>
    <w:p>
      <w:pPr>
        <w:numPr>
          <w:ilvl w:val="0"/>
          <w:numId w:val="0"/>
        </w:numPr>
        <w:spacing w:line="400" w:lineRule="exact"/>
        <w:ind w:firstLine="480" w:firstLineChars="200"/>
        <w:rPr>
          <w:rFonts w:hint="eastAsia" w:ascii="仿宋" w:hAnsi="仿宋" w:eastAsia="仿宋" w:cs="仿宋"/>
          <w:b w:val="0"/>
          <w:bCs/>
          <w:color w:val="auto"/>
          <w:kern w:val="0"/>
          <w:sz w:val="24"/>
          <w:szCs w:val="24"/>
          <w:highlight w:val="none"/>
        </w:rPr>
      </w:pPr>
      <w:r>
        <w:rPr>
          <w:rFonts w:hint="eastAsia" w:ascii="仿宋" w:hAnsi="仿宋" w:eastAsia="仿宋" w:cs="仿宋"/>
          <w:b w:val="0"/>
          <w:bCs/>
          <w:color w:val="auto"/>
          <w:kern w:val="0"/>
          <w:sz w:val="24"/>
          <w:szCs w:val="24"/>
          <w:highlight w:val="none"/>
        </w:rPr>
        <w:t>编制服务费支付时间：项目预算经区财政局评审后1个月内支付至结算金额的100%。付款前，咨询人应提供等额、真实、有效的增值税专用发票。若预算编制或评审分子项目、分阶段或分批次实施，各子项目、各阶段或批次的编制服务费可单独结算和支付，但最终结算需以各子项目、各阶段或批次的预算评审审定金额之和作为计费基数。</w:t>
      </w:r>
    </w:p>
    <w:p>
      <w:pPr>
        <w:snapToGrid w:val="0"/>
        <w:spacing w:line="400" w:lineRule="exact"/>
        <w:ind w:firstLine="540"/>
        <w:rPr>
          <w:rFonts w:hint="eastAsia"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lang w:val="en-US" w:eastAsia="zh-CN"/>
        </w:rPr>
        <w:t>五、履约保证金</w:t>
      </w:r>
    </w:p>
    <w:p>
      <w:pPr>
        <w:snapToGrid w:val="0"/>
        <w:spacing w:line="400" w:lineRule="exact"/>
        <w:ind w:firstLine="540"/>
        <w:rPr>
          <w:rFonts w:hint="eastAsia" w:ascii="仿宋" w:hAnsi="仿宋" w:eastAsia="仿宋" w:cs="仿宋"/>
          <w:b w:val="0"/>
          <w:bCs w:val="0"/>
          <w:color w:val="auto"/>
          <w:sz w:val="24"/>
          <w:highlight w:val="none"/>
          <w:lang w:val="en-US" w:eastAsia="zh-CN"/>
        </w:rPr>
      </w:pPr>
      <w:r>
        <w:rPr>
          <w:rFonts w:hint="eastAsia" w:ascii="仿宋" w:hAnsi="仿宋" w:eastAsia="仿宋" w:cs="仿宋"/>
          <w:b w:val="0"/>
          <w:bCs w:val="0"/>
          <w:color w:val="auto"/>
          <w:sz w:val="24"/>
          <w:highlight w:val="none"/>
          <w:lang w:val="en-US" w:eastAsia="zh-CN"/>
        </w:rPr>
        <w:t>1、履约保证金金额：项目成交金额的5%。</w:t>
      </w:r>
    </w:p>
    <w:p>
      <w:pPr>
        <w:snapToGrid w:val="0"/>
        <w:spacing w:line="400" w:lineRule="exact"/>
        <w:ind w:firstLine="540"/>
        <w:rPr>
          <w:rFonts w:hint="eastAsia" w:ascii="仿宋" w:hAnsi="仿宋" w:eastAsia="仿宋" w:cs="仿宋"/>
          <w:b w:val="0"/>
          <w:bCs w:val="0"/>
          <w:color w:val="auto"/>
          <w:sz w:val="24"/>
          <w:highlight w:val="none"/>
          <w:lang w:val="en-US" w:eastAsia="zh-CN"/>
        </w:rPr>
      </w:pPr>
      <w:r>
        <w:rPr>
          <w:rFonts w:hint="eastAsia" w:ascii="仿宋" w:hAnsi="仿宋" w:eastAsia="仿宋" w:cs="仿宋"/>
          <w:b w:val="0"/>
          <w:bCs w:val="0"/>
          <w:color w:val="auto"/>
          <w:sz w:val="24"/>
          <w:highlight w:val="none"/>
          <w:lang w:val="en-US" w:eastAsia="zh-CN"/>
        </w:rPr>
        <w:t>2、履约保证金缴纳时间：成交人应当在合同签订之前将履约保证金汇入采购人指定账户（注明项目名称），缴纳方式请与采购人联系。</w:t>
      </w:r>
    </w:p>
    <w:p>
      <w:pPr>
        <w:snapToGrid w:val="0"/>
        <w:spacing w:line="400" w:lineRule="exact"/>
        <w:ind w:firstLine="540"/>
        <w:rPr>
          <w:rFonts w:hint="eastAsia" w:ascii="仿宋" w:hAnsi="仿宋" w:eastAsia="仿宋" w:cs="仿宋"/>
          <w:b w:val="0"/>
          <w:bCs w:val="0"/>
          <w:color w:val="auto"/>
          <w:sz w:val="24"/>
          <w:highlight w:val="none"/>
          <w:lang w:val="en-US" w:eastAsia="zh-CN"/>
        </w:rPr>
      </w:pPr>
      <w:r>
        <w:rPr>
          <w:rFonts w:hint="eastAsia" w:ascii="仿宋" w:hAnsi="仿宋" w:eastAsia="仿宋" w:cs="仿宋"/>
          <w:b w:val="0"/>
          <w:bCs w:val="0"/>
          <w:color w:val="auto"/>
          <w:sz w:val="24"/>
          <w:highlight w:val="none"/>
          <w:lang w:val="en-US" w:eastAsia="zh-CN"/>
        </w:rPr>
        <w:t>3、履约保证金的退还：在本项目服务期满后一个月内无息退还。</w:t>
      </w:r>
    </w:p>
    <w:p>
      <w:pPr>
        <w:snapToGrid w:val="0"/>
        <w:spacing w:line="400" w:lineRule="exact"/>
        <w:ind w:firstLine="540"/>
        <w:rPr>
          <w:rFonts w:ascii="仿宋" w:hAnsi="仿宋" w:eastAsia="仿宋" w:cs="仿宋"/>
          <w:b/>
          <w:bCs/>
          <w:color w:val="auto"/>
          <w:sz w:val="24"/>
          <w:szCs w:val="24"/>
          <w:highlight w:val="none"/>
        </w:rPr>
      </w:pPr>
      <w:r>
        <w:rPr>
          <w:rFonts w:hint="eastAsia" w:ascii="仿宋" w:hAnsi="仿宋" w:eastAsia="仿宋" w:cs="仿宋"/>
          <w:b/>
          <w:bCs/>
          <w:color w:val="auto"/>
          <w:sz w:val="24"/>
          <w:highlight w:val="none"/>
          <w:lang w:val="en-US" w:eastAsia="zh-CN"/>
        </w:rPr>
        <w:t>六</w:t>
      </w:r>
      <w:r>
        <w:rPr>
          <w:rFonts w:hint="eastAsia" w:ascii="仿宋" w:hAnsi="仿宋" w:eastAsia="仿宋" w:cs="仿宋"/>
          <w:b/>
          <w:bCs/>
          <w:color w:val="auto"/>
          <w:sz w:val="24"/>
          <w:highlight w:val="none"/>
        </w:rPr>
        <w:t>、</w:t>
      </w:r>
      <w:bookmarkEnd w:id="48"/>
      <w:bookmarkStart w:id="50" w:name="_Toc344475125"/>
      <w:r>
        <w:rPr>
          <w:rFonts w:hint="eastAsia" w:ascii="仿宋" w:hAnsi="仿宋" w:eastAsia="仿宋" w:cs="仿宋"/>
          <w:b/>
          <w:bCs/>
          <w:color w:val="auto"/>
          <w:sz w:val="24"/>
          <w:szCs w:val="24"/>
          <w:highlight w:val="none"/>
        </w:rPr>
        <w:t>知识产权</w:t>
      </w:r>
    </w:p>
    <w:p>
      <w:pPr>
        <w:snapToGrid w:val="0"/>
        <w:spacing w:line="400" w:lineRule="exact"/>
        <w:ind w:firstLine="540"/>
        <w:rPr>
          <w:rFonts w:ascii="仿宋" w:hAnsi="仿宋" w:eastAsia="仿宋" w:cs="仿宋"/>
          <w:color w:val="auto"/>
          <w:sz w:val="24"/>
          <w:szCs w:val="24"/>
          <w:highlight w:val="none"/>
        </w:rPr>
      </w:pPr>
      <w:bookmarkStart w:id="51" w:name="_Toc441065671"/>
      <w:bookmarkStart w:id="52" w:name="_Toc267320053"/>
      <w:r>
        <w:rPr>
          <w:rFonts w:hint="eastAsia" w:ascii="仿宋" w:hAnsi="仿宋" w:eastAsia="仿宋" w:cs="仿宋"/>
          <w:color w:val="auto"/>
          <w:sz w:val="24"/>
          <w:szCs w:val="24"/>
          <w:highlight w:val="none"/>
        </w:rPr>
        <w:t>（一）采购人在中华人民共和国境内使用成交供应商提供的货物及服务时免受第三方提出的侵犯其专利权或其它知识产权的起诉。如果第三方提出侵权指控，成交供应商应承担由此而引起的一切法律责任和费用。</w:t>
      </w:r>
    </w:p>
    <w:p>
      <w:pPr>
        <w:snapToGrid w:val="0"/>
        <w:spacing w:line="400" w:lineRule="exact"/>
        <w:ind w:firstLine="54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（二）成果及知识产权归采购人所有。</w:t>
      </w:r>
    </w:p>
    <w:bookmarkEnd w:id="51"/>
    <w:bookmarkEnd w:id="52"/>
    <w:p>
      <w:pPr>
        <w:snapToGrid w:val="0"/>
        <w:spacing w:line="400" w:lineRule="exact"/>
        <w:ind w:firstLine="540"/>
        <w:rPr>
          <w:rFonts w:ascii="仿宋" w:hAnsi="仿宋" w:eastAsia="仿宋" w:cs="仿宋"/>
          <w:color w:val="auto"/>
          <w:sz w:val="24"/>
          <w:szCs w:val="24"/>
          <w:highlight w:val="none"/>
        </w:rPr>
      </w:pPr>
      <w:bookmarkStart w:id="53" w:name="_Toc68269977"/>
      <w:bookmarkStart w:id="54" w:name="_Toc81561595"/>
      <w:bookmarkStart w:id="55" w:name="_Toc108706935"/>
      <w:r>
        <w:rPr>
          <w:rFonts w:hint="eastAsia" w:ascii="仿宋" w:hAnsi="仿宋" w:eastAsia="仿宋" w:cs="仿宋"/>
          <w:b/>
          <w:bCs/>
          <w:color w:val="auto"/>
          <w:sz w:val="24"/>
          <w:szCs w:val="24"/>
          <w:highlight w:val="none"/>
          <w:lang w:val="en-US" w:eastAsia="zh-CN"/>
        </w:rPr>
        <w:t>七</w:t>
      </w:r>
      <w:r>
        <w:rPr>
          <w:rFonts w:hint="eastAsia" w:ascii="仿宋" w:hAnsi="仿宋" w:eastAsia="仿宋" w:cs="仿宋"/>
          <w:b/>
          <w:bCs/>
          <w:color w:val="auto"/>
          <w:sz w:val="24"/>
          <w:szCs w:val="24"/>
          <w:highlight w:val="none"/>
        </w:rPr>
        <w:t>、</w:t>
      </w:r>
      <w:bookmarkEnd w:id="53"/>
      <w:r>
        <w:rPr>
          <w:rFonts w:hint="eastAsia" w:ascii="仿宋" w:hAnsi="仿宋" w:eastAsia="仿宋" w:cs="仿宋"/>
          <w:b/>
          <w:bCs/>
          <w:color w:val="auto"/>
          <w:sz w:val="24"/>
          <w:szCs w:val="24"/>
          <w:highlight w:val="none"/>
        </w:rPr>
        <w:t>其他</w:t>
      </w:r>
      <w:bookmarkEnd w:id="54"/>
      <w:bookmarkEnd w:id="55"/>
    </w:p>
    <w:bookmarkEnd w:id="49"/>
    <w:bookmarkEnd w:id="50"/>
    <w:p>
      <w:pPr>
        <w:snapToGrid w:val="0"/>
        <w:spacing w:line="400" w:lineRule="exact"/>
        <w:ind w:firstLine="54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一</w:t>
      </w:r>
      <w:r>
        <w:rPr>
          <w:rFonts w:hint="eastAsia" w:ascii="仿宋" w:hAnsi="仿宋" w:eastAsia="仿宋" w:cs="仿宋"/>
          <w:color w:val="auto"/>
          <w:sz w:val="24"/>
          <w:szCs w:val="24"/>
          <w:highlight w:val="none"/>
          <w:lang w:eastAsia="zh-CN"/>
        </w:rPr>
        <w:t>）咨询人应严格按照国家、地方和行业规范要求，完成施工图预算编制工作，并积极配合采购人对接预算评审部门或其委托的第三方咨询机构，取得施工图预算评审报告。在预算评审过程中，咨询人应对预算评审的初步成果进行复核并出具书面复核意见；若因咨询人复核意见未提及，但在施工过程中出现工程量清单漏项少量、违背清单编制规范、项目特征描述不清、价格严重偏离市场等原因，导致单项增加20万元-50万元或累计超施工合同价5%-10%的，扣除5%造价编制费；单项增加50万元-100万元或累计超施工合同价10%的，扣除10%造价编制费；单项增加100万元以上或累计超工程概算建安投资的，除扣除10%造价编制费外，两年内不再邀请咨询人参与委托人工程造价咨询。</w:t>
      </w:r>
    </w:p>
    <w:p>
      <w:pPr>
        <w:pStyle w:val="2"/>
        <w:adjustRightInd w:val="0"/>
        <w:snapToGrid w:val="0"/>
        <w:spacing w:before="0" w:after="0" w:line="400" w:lineRule="exact"/>
        <w:ind w:firstLine="480" w:firstLineChars="200"/>
        <w:rPr>
          <w:rFonts w:hint="eastAsia" w:ascii="仿宋" w:hAnsi="仿宋" w:eastAsia="仿宋" w:cs="仿宋"/>
          <w:b w:val="0"/>
          <w:bCs/>
          <w:color w:val="auto"/>
          <w:sz w:val="24"/>
          <w:highlight w:val="none"/>
        </w:rPr>
      </w:pPr>
      <w:bookmarkStart w:id="56" w:name="_Toc15374"/>
      <w:bookmarkStart w:id="57" w:name="_Toc15916"/>
      <w:r>
        <w:rPr>
          <w:rFonts w:hint="eastAsia" w:ascii="仿宋" w:hAnsi="仿宋" w:eastAsia="仿宋" w:cs="仿宋"/>
          <w:b w:val="0"/>
          <w:bCs/>
          <w:color w:val="auto"/>
          <w:sz w:val="24"/>
          <w:szCs w:val="24"/>
          <w:highlight w:val="none"/>
          <w:lang w:eastAsia="zh-CN"/>
        </w:rPr>
        <w:t>（</w:t>
      </w:r>
      <w:r>
        <w:rPr>
          <w:rFonts w:hint="eastAsia" w:ascii="仿宋" w:hAnsi="仿宋" w:eastAsia="仿宋" w:cs="仿宋"/>
          <w:b w:val="0"/>
          <w:bCs/>
          <w:color w:val="auto"/>
          <w:sz w:val="24"/>
          <w:szCs w:val="24"/>
          <w:highlight w:val="none"/>
          <w:lang w:val="en-US" w:eastAsia="zh-CN"/>
        </w:rPr>
        <w:t>二</w:t>
      </w:r>
      <w:r>
        <w:rPr>
          <w:rFonts w:hint="eastAsia" w:ascii="仿宋" w:hAnsi="仿宋" w:eastAsia="仿宋" w:cs="仿宋"/>
          <w:b w:val="0"/>
          <w:bCs/>
          <w:color w:val="auto"/>
          <w:sz w:val="24"/>
          <w:szCs w:val="24"/>
          <w:highlight w:val="none"/>
          <w:lang w:eastAsia="zh-CN"/>
        </w:rPr>
        <w:t>）</w:t>
      </w:r>
      <w:r>
        <w:rPr>
          <w:rFonts w:hint="eastAsia" w:ascii="仿宋" w:hAnsi="仿宋" w:eastAsia="仿宋" w:cs="仿宋"/>
          <w:b w:val="0"/>
          <w:bCs/>
          <w:color w:val="auto"/>
          <w:sz w:val="24"/>
          <w:szCs w:val="24"/>
          <w:highlight w:val="none"/>
        </w:rPr>
        <w:t>其他未尽事宜由供需双方在采购合同中详细约定。</w:t>
      </w:r>
      <w:bookmarkEnd w:id="56"/>
      <w:bookmarkEnd w:id="57"/>
    </w:p>
    <w:p>
      <w:pPr>
        <w:pStyle w:val="3"/>
        <w:rPr>
          <w:rFonts w:hint="eastAsia"/>
          <w:color w:val="auto"/>
          <w:highlight w:val="none"/>
        </w:rPr>
      </w:pPr>
    </w:p>
    <w:p>
      <w:pPr>
        <w:snapToGrid w:val="0"/>
        <w:spacing w:line="400" w:lineRule="exact"/>
        <w:ind w:firstLine="540"/>
        <w:rPr>
          <w:rFonts w:hint="eastAsia" w:ascii="仿宋" w:hAnsi="仿宋" w:eastAsia="仿宋" w:cs="仿宋"/>
          <w:color w:val="auto"/>
          <w:sz w:val="24"/>
          <w:szCs w:val="24"/>
          <w:highlight w:val="none"/>
        </w:rPr>
      </w:pPr>
    </w:p>
    <w:p>
      <w:pPr>
        <w:pStyle w:val="2"/>
        <w:pageBreakBefore/>
        <w:spacing w:before="0" w:after="0" w:line="360" w:lineRule="auto"/>
        <w:jc w:val="center"/>
        <w:rPr>
          <w:rFonts w:hint="eastAsia" w:ascii="仿宋" w:hAnsi="仿宋" w:eastAsia="仿宋" w:cs="仿宋"/>
          <w:b w:val="0"/>
          <w:color w:val="auto"/>
          <w:sz w:val="36"/>
          <w:szCs w:val="30"/>
          <w:highlight w:val="none"/>
        </w:rPr>
      </w:pPr>
      <w:bookmarkStart w:id="58" w:name="_Toc76462332"/>
      <w:bookmarkStart w:id="59" w:name="_Toc25099"/>
      <w:r>
        <w:rPr>
          <w:rFonts w:hint="eastAsia" w:ascii="仿宋" w:hAnsi="仿宋" w:eastAsia="仿宋" w:cs="仿宋"/>
          <w:b w:val="0"/>
          <w:color w:val="auto"/>
          <w:sz w:val="36"/>
          <w:szCs w:val="30"/>
          <w:highlight w:val="none"/>
        </w:rPr>
        <w:t>第四篇  磋商程序及方法、评审标准、无效响应和</w:t>
      </w:r>
      <w:r>
        <w:rPr>
          <w:rFonts w:hint="eastAsia" w:ascii="仿宋" w:hAnsi="仿宋" w:eastAsia="仿宋" w:cs="仿宋"/>
          <w:b w:val="0"/>
          <w:color w:val="auto"/>
          <w:sz w:val="36"/>
          <w:szCs w:val="36"/>
          <w:highlight w:val="none"/>
        </w:rPr>
        <w:t>采购终止</w:t>
      </w:r>
      <w:bookmarkEnd w:id="58"/>
      <w:bookmarkEnd w:id="59"/>
    </w:p>
    <w:p>
      <w:pPr>
        <w:pStyle w:val="2"/>
        <w:adjustRightInd w:val="0"/>
        <w:snapToGrid w:val="0"/>
        <w:spacing w:before="0" w:after="0" w:line="400" w:lineRule="exact"/>
        <w:ind w:firstLine="482" w:firstLineChars="200"/>
        <w:rPr>
          <w:rFonts w:hint="eastAsia" w:ascii="仿宋" w:hAnsi="仿宋" w:eastAsia="仿宋" w:cs="仿宋"/>
          <w:color w:val="auto"/>
          <w:sz w:val="24"/>
          <w:highlight w:val="none"/>
        </w:rPr>
      </w:pPr>
      <w:bookmarkStart w:id="60" w:name="_Toc5557"/>
      <w:bookmarkStart w:id="61" w:name="_Toc76462333"/>
      <w:r>
        <w:rPr>
          <w:rFonts w:hint="eastAsia" w:ascii="仿宋" w:hAnsi="仿宋" w:eastAsia="仿宋" w:cs="仿宋"/>
          <w:color w:val="auto"/>
          <w:sz w:val="24"/>
          <w:highlight w:val="none"/>
        </w:rPr>
        <w:t>一、磋商程序及方法</w:t>
      </w:r>
      <w:bookmarkEnd w:id="60"/>
      <w:bookmarkEnd w:id="61"/>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磋商按竞争性磋商文件规定的时间和地点进行，供应商须有法定代表人（或其授权代表）或自然人参加并签到。竞争性磋商以抽签的形式确定磋商顺序，由本项目依法组建的竞争性磋商小组（以下简称磋商小组）分别与各供应商进行磋商。</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（二）磋商小组对各供应商的资格条件、响应文件的有效性、完整性和响应程度进行审查。各供应商只有在完全符合要求的前提下，才能参与正式磋商。</w:t>
      </w:r>
    </w:p>
    <w:p>
      <w:pPr>
        <w:snapToGrid w:val="0"/>
        <w:spacing w:line="400" w:lineRule="exact"/>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kern w:val="0"/>
          <w:sz w:val="24"/>
          <w:szCs w:val="24"/>
          <w:highlight w:val="none"/>
        </w:rPr>
        <w:t>资格性审查。依据法律法规和竞争性磋商文件的规定，对响应文件中的资格证明、等进行审查，以确定供应商是否具备磋商资格。资格性审查资料表如下：</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09"/>
        <w:gridCol w:w="3118"/>
        <w:gridCol w:w="4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color w:val="auto"/>
                <w:kern w:val="0"/>
                <w:sz w:val="21"/>
                <w:szCs w:val="21"/>
                <w:highlight w:val="none"/>
              </w:rPr>
            </w:pPr>
            <w:r>
              <w:rPr>
                <w:rFonts w:hint="eastAsia" w:ascii="仿宋" w:hAnsi="仿宋" w:eastAsia="仿宋" w:cs="仿宋"/>
                <w:b/>
                <w:color w:val="auto"/>
                <w:kern w:val="0"/>
                <w:sz w:val="21"/>
                <w:szCs w:val="21"/>
                <w:highlight w:val="none"/>
              </w:rPr>
              <w:t>序号</w:t>
            </w:r>
          </w:p>
        </w:tc>
        <w:tc>
          <w:tcPr>
            <w:tcW w:w="382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color w:val="auto"/>
                <w:kern w:val="0"/>
                <w:sz w:val="21"/>
                <w:szCs w:val="21"/>
                <w:highlight w:val="none"/>
              </w:rPr>
            </w:pPr>
            <w:r>
              <w:rPr>
                <w:rFonts w:hint="eastAsia" w:ascii="仿宋" w:hAnsi="仿宋" w:eastAsia="仿宋" w:cs="仿宋"/>
                <w:b/>
                <w:color w:val="auto"/>
                <w:kern w:val="0"/>
                <w:sz w:val="21"/>
                <w:szCs w:val="21"/>
                <w:highlight w:val="none"/>
              </w:rPr>
              <w:t>检查因素</w:t>
            </w:r>
          </w:p>
        </w:tc>
        <w:tc>
          <w:tcPr>
            <w:tcW w:w="49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color w:val="auto"/>
                <w:kern w:val="0"/>
                <w:sz w:val="21"/>
                <w:szCs w:val="21"/>
                <w:highlight w:val="none"/>
              </w:rPr>
            </w:pPr>
            <w:r>
              <w:rPr>
                <w:rFonts w:hint="eastAsia" w:ascii="仿宋" w:hAnsi="仿宋" w:eastAsia="仿宋" w:cs="仿宋"/>
                <w:b/>
                <w:color w:val="auto"/>
                <w:kern w:val="0"/>
                <w:sz w:val="21"/>
                <w:szCs w:val="21"/>
                <w:highlight w:val="none"/>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noWrap w:val="0"/>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（一）</w:t>
            </w:r>
          </w:p>
        </w:tc>
        <w:tc>
          <w:tcPr>
            <w:tcW w:w="709" w:type="dxa"/>
            <w:vMerge w:val="restart"/>
            <w:noWrap w:val="0"/>
            <w:vAlign w:val="center"/>
          </w:tcPr>
          <w:p>
            <w:pPr>
              <w:rPr>
                <w:rFonts w:hint="eastAsia"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val="zh-CN"/>
              </w:rPr>
              <w:t>《中华人民共和国政府采购法》第二十二条规定</w:t>
            </w:r>
          </w:p>
        </w:tc>
        <w:tc>
          <w:tcPr>
            <w:tcW w:w="3118" w:type="dxa"/>
            <w:noWrap w:val="0"/>
            <w:vAlign w:val="center"/>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1.具有独立承担民事责任的能力</w:t>
            </w:r>
          </w:p>
        </w:tc>
        <w:tc>
          <w:tcPr>
            <w:tcW w:w="4984" w:type="dxa"/>
            <w:noWrap w:val="0"/>
            <w:vAlign w:val="center"/>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1.供应商法人营业执照（副本）或事业单位法人证书（副本）或个体工商户营业执照或有效的自然人身份证明或社会团体法人登记证书（提供复印件）。 </w:t>
            </w:r>
          </w:p>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2.供应商法定代表人身份证明和法定代表人授权代表委托书。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noWrap w:val="0"/>
            <w:vAlign w:val="center"/>
          </w:tcPr>
          <w:p>
            <w:pPr>
              <w:jc w:val="center"/>
              <w:rPr>
                <w:rFonts w:hint="eastAsia" w:ascii="仿宋" w:hAnsi="仿宋" w:eastAsia="仿宋" w:cs="仿宋"/>
                <w:color w:val="auto"/>
                <w:sz w:val="21"/>
                <w:szCs w:val="21"/>
                <w:highlight w:val="none"/>
              </w:rPr>
            </w:pPr>
          </w:p>
        </w:tc>
        <w:tc>
          <w:tcPr>
            <w:tcW w:w="709" w:type="dxa"/>
            <w:vMerge w:val="continue"/>
            <w:noWrap w:val="0"/>
            <w:vAlign w:val="center"/>
          </w:tcPr>
          <w:p>
            <w:pPr>
              <w:rPr>
                <w:rFonts w:hint="eastAsia" w:ascii="仿宋" w:hAnsi="仿宋" w:eastAsia="仿宋" w:cs="仿宋"/>
                <w:color w:val="auto"/>
                <w:sz w:val="21"/>
                <w:szCs w:val="21"/>
                <w:highlight w:val="none"/>
                <w:lang w:val="zh-CN"/>
              </w:rPr>
            </w:pPr>
          </w:p>
        </w:tc>
        <w:tc>
          <w:tcPr>
            <w:tcW w:w="3118" w:type="dxa"/>
            <w:noWrap w:val="0"/>
            <w:vAlign w:val="center"/>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zh-CN"/>
              </w:rPr>
              <w:t>2.</w:t>
            </w:r>
            <w:r>
              <w:rPr>
                <w:rFonts w:hint="eastAsia" w:ascii="仿宋" w:hAnsi="仿宋" w:eastAsia="仿宋" w:cs="仿宋"/>
                <w:color w:val="auto"/>
                <w:sz w:val="21"/>
                <w:szCs w:val="21"/>
                <w:highlight w:val="none"/>
              </w:rPr>
              <w:t>具有良好的商业信誉和健全的财务会计制度</w:t>
            </w:r>
          </w:p>
        </w:tc>
        <w:tc>
          <w:tcPr>
            <w:tcW w:w="4984" w:type="dxa"/>
            <w:vMerge w:val="restart"/>
            <w:noWrap w:val="0"/>
            <w:vAlign w:val="center"/>
          </w:tcPr>
          <w:p>
            <w:pPr>
              <w:rPr>
                <w:rFonts w:hint="eastAsia" w:ascii="仿宋" w:hAnsi="仿宋" w:eastAsia="仿宋" w:cs="仿宋"/>
                <w:b/>
                <w:color w:val="auto"/>
                <w:sz w:val="21"/>
                <w:szCs w:val="21"/>
                <w:highlight w:val="none"/>
              </w:rPr>
            </w:pPr>
            <w:r>
              <w:rPr>
                <w:rFonts w:hint="eastAsia" w:ascii="仿宋" w:hAnsi="仿宋" w:eastAsia="仿宋" w:cs="仿宋"/>
                <w:color w:val="auto"/>
                <w:sz w:val="21"/>
                <w:szCs w:val="21"/>
                <w:highlight w:val="none"/>
              </w:rPr>
              <w:t>供应商提供“基本资格条件承诺函”（格式详见第七篇）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noWrap w:val="0"/>
            <w:vAlign w:val="center"/>
          </w:tcPr>
          <w:p>
            <w:pPr>
              <w:jc w:val="center"/>
              <w:rPr>
                <w:rFonts w:hint="eastAsia" w:ascii="仿宋" w:hAnsi="仿宋" w:eastAsia="仿宋" w:cs="仿宋"/>
                <w:color w:val="auto"/>
                <w:sz w:val="21"/>
                <w:szCs w:val="21"/>
                <w:highlight w:val="none"/>
              </w:rPr>
            </w:pPr>
          </w:p>
        </w:tc>
        <w:tc>
          <w:tcPr>
            <w:tcW w:w="709" w:type="dxa"/>
            <w:vMerge w:val="continue"/>
            <w:noWrap w:val="0"/>
            <w:vAlign w:val="center"/>
          </w:tcPr>
          <w:p>
            <w:pPr>
              <w:rPr>
                <w:rFonts w:hint="eastAsia" w:ascii="仿宋" w:hAnsi="仿宋" w:eastAsia="仿宋" w:cs="仿宋"/>
                <w:color w:val="auto"/>
                <w:sz w:val="21"/>
                <w:szCs w:val="21"/>
                <w:highlight w:val="none"/>
                <w:lang w:val="zh-CN"/>
              </w:rPr>
            </w:pPr>
          </w:p>
        </w:tc>
        <w:tc>
          <w:tcPr>
            <w:tcW w:w="3118" w:type="dxa"/>
            <w:noWrap w:val="0"/>
            <w:vAlign w:val="center"/>
          </w:tcPr>
          <w:p>
            <w:pPr>
              <w:rPr>
                <w:rFonts w:hint="eastAsia"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val="zh-CN"/>
              </w:rPr>
              <w:t>3.具有履行合同所必需的设备和专业技术能力</w:t>
            </w:r>
          </w:p>
        </w:tc>
        <w:tc>
          <w:tcPr>
            <w:tcW w:w="4984" w:type="dxa"/>
            <w:vMerge w:val="continue"/>
            <w:noWrap w:val="0"/>
            <w:vAlign w:val="center"/>
          </w:tcPr>
          <w:p>
            <w:pPr>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noWrap w:val="0"/>
            <w:vAlign w:val="center"/>
          </w:tcPr>
          <w:p>
            <w:pPr>
              <w:jc w:val="center"/>
              <w:rPr>
                <w:rFonts w:hint="eastAsia" w:ascii="仿宋" w:hAnsi="仿宋" w:eastAsia="仿宋" w:cs="仿宋"/>
                <w:color w:val="auto"/>
                <w:sz w:val="21"/>
                <w:szCs w:val="21"/>
                <w:highlight w:val="none"/>
              </w:rPr>
            </w:pPr>
          </w:p>
        </w:tc>
        <w:tc>
          <w:tcPr>
            <w:tcW w:w="709" w:type="dxa"/>
            <w:vMerge w:val="continue"/>
            <w:noWrap w:val="0"/>
            <w:vAlign w:val="center"/>
          </w:tcPr>
          <w:p>
            <w:pPr>
              <w:rPr>
                <w:rFonts w:hint="eastAsia" w:ascii="仿宋" w:hAnsi="仿宋" w:eastAsia="仿宋" w:cs="仿宋"/>
                <w:color w:val="auto"/>
                <w:sz w:val="21"/>
                <w:szCs w:val="21"/>
                <w:highlight w:val="none"/>
                <w:lang w:val="zh-CN"/>
              </w:rPr>
            </w:pPr>
          </w:p>
        </w:tc>
        <w:tc>
          <w:tcPr>
            <w:tcW w:w="3118" w:type="dxa"/>
            <w:noWrap w:val="0"/>
            <w:vAlign w:val="center"/>
          </w:tcPr>
          <w:p>
            <w:pPr>
              <w:rPr>
                <w:rFonts w:hint="eastAsia"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val="zh-CN"/>
              </w:rPr>
              <w:t>4.有依法缴纳税收和社会保障金的良好记录</w:t>
            </w:r>
          </w:p>
        </w:tc>
        <w:tc>
          <w:tcPr>
            <w:tcW w:w="4984" w:type="dxa"/>
            <w:vMerge w:val="continue"/>
            <w:noWrap w:val="0"/>
            <w:vAlign w:val="center"/>
          </w:tcPr>
          <w:p>
            <w:pPr>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noWrap w:val="0"/>
            <w:vAlign w:val="center"/>
          </w:tcPr>
          <w:p>
            <w:pPr>
              <w:jc w:val="center"/>
              <w:rPr>
                <w:rFonts w:hint="eastAsia" w:ascii="仿宋" w:hAnsi="仿宋" w:eastAsia="仿宋" w:cs="仿宋"/>
                <w:color w:val="auto"/>
                <w:sz w:val="21"/>
                <w:szCs w:val="21"/>
                <w:highlight w:val="none"/>
              </w:rPr>
            </w:pPr>
          </w:p>
        </w:tc>
        <w:tc>
          <w:tcPr>
            <w:tcW w:w="709" w:type="dxa"/>
            <w:vMerge w:val="continue"/>
            <w:noWrap w:val="0"/>
            <w:vAlign w:val="center"/>
          </w:tcPr>
          <w:p>
            <w:pPr>
              <w:rPr>
                <w:rFonts w:hint="eastAsia" w:ascii="仿宋" w:hAnsi="仿宋" w:eastAsia="仿宋" w:cs="仿宋"/>
                <w:color w:val="auto"/>
                <w:sz w:val="21"/>
                <w:szCs w:val="21"/>
                <w:highlight w:val="none"/>
                <w:lang w:val="zh-CN"/>
              </w:rPr>
            </w:pPr>
          </w:p>
        </w:tc>
        <w:tc>
          <w:tcPr>
            <w:tcW w:w="3118" w:type="dxa"/>
            <w:noWrap w:val="0"/>
            <w:vAlign w:val="center"/>
          </w:tcPr>
          <w:p>
            <w:pPr>
              <w:rPr>
                <w:rFonts w:hint="eastAsia"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rPr>
              <w:t>5.参加政府采购活动前三年内，在经营活动中没有重大违法记录</w:t>
            </w:r>
          </w:p>
        </w:tc>
        <w:tc>
          <w:tcPr>
            <w:tcW w:w="4984" w:type="dxa"/>
            <w:vMerge w:val="continue"/>
            <w:noWrap w:val="0"/>
            <w:vAlign w:val="center"/>
          </w:tcPr>
          <w:p>
            <w:pPr>
              <w:rPr>
                <w:rFonts w:hint="eastAsia" w:ascii="仿宋" w:hAnsi="仿宋" w:eastAsia="仿宋" w:cs="仿宋"/>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817" w:type="dxa"/>
            <w:vMerge w:val="continue"/>
            <w:noWrap w:val="0"/>
            <w:vAlign w:val="center"/>
          </w:tcPr>
          <w:p>
            <w:pPr>
              <w:jc w:val="center"/>
              <w:rPr>
                <w:rFonts w:hint="eastAsia" w:ascii="仿宋" w:hAnsi="仿宋" w:eastAsia="仿宋" w:cs="仿宋"/>
                <w:color w:val="auto"/>
                <w:sz w:val="21"/>
                <w:szCs w:val="21"/>
                <w:highlight w:val="none"/>
              </w:rPr>
            </w:pPr>
          </w:p>
        </w:tc>
        <w:tc>
          <w:tcPr>
            <w:tcW w:w="709" w:type="dxa"/>
            <w:vMerge w:val="continue"/>
            <w:noWrap w:val="0"/>
            <w:vAlign w:val="center"/>
          </w:tcPr>
          <w:p>
            <w:pPr>
              <w:rPr>
                <w:rFonts w:hint="eastAsia" w:ascii="仿宋" w:hAnsi="仿宋" w:eastAsia="仿宋" w:cs="仿宋"/>
                <w:color w:val="auto"/>
                <w:sz w:val="21"/>
                <w:szCs w:val="21"/>
                <w:highlight w:val="none"/>
              </w:rPr>
            </w:pPr>
          </w:p>
        </w:tc>
        <w:tc>
          <w:tcPr>
            <w:tcW w:w="3118" w:type="dxa"/>
            <w:noWrap w:val="0"/>
            <w:vAlign w:val="center"/>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6.法律、行政法规规定的其他条件</w:t>
            </w:r>
          </w:p>
        </w:tc>
        <w:tc>
          <w:tcPr>
            <w:tcW w:w="4984" w:type="dxa"/>
            <w:noWrap w:val="0"/>
            <w:vAlign w:val="center"/>
          </w:tcPr>
          <w:p>
            <w:pPr>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817" w:type="dxa"/>
            <w:vMerge w:val="continue"/>
            <w:noWrap w:val="0"/>
            <w:vAlign w:val="center"/>
          </w:tcPr>
          <w:p>
            <w:pPr>
              <w:jc w:val="center"/>
              <w:rPr>
                <w:rFonts w:hint="eastAsia" w:ascii="仿宋" w:hAnsi="仿宋" w:eastAsia="仿宋" w:cs="仿宋"/>
                <w:color w:val="auto"/>
                <w:sz w:val="21"/>
                <w:szCs w:val="21"/>
                <w:highlight w:val="none"/>
              </w:rPr>
            </w:pPr>
          </w:p>
        </w:tc>
        <w:tc>
          <w:tcPr>
            <w:tcW w:w="709" w:type="dxa"/>
            <w:vMerge w:val="continue"/>
            <w:noWrap w:val="0"/>
            <w:vAlign w:val="center"/>
          </w:tcPr>
          <w:p>
            <w:pPr>
              <w:rPr>
                <w:rFonts w:hint="eastAsia" w:ascii="仿宋" w:hAnsi="仿宋" w:eastAsia="仿宋" w:cs="仿宋"/>
                <w:color w:val="auto"/>
                <w:sz w:val="21"/>
                <w:szCs w:val="21"/>
                <w:highlight w:val="none"/>
              </w:rPr>
            </w:pPr>
          </w:p>
        </w:tc>
        <w:tc>
          <w:tcPr>
            <w:tcW w:w="3118" w:type="dxa"/>
            <w:noWrap w:val="0"/>
            <w:vAlign w:val="center"/>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7.本项目的特定资格要求</w:t>
            </w:r>
          </w:p>
        </w:tc>
        <w:tc>
          <w:tcPr>
            <w:tcW w:w="4984" w:type="dxa"/>
            <w:noWrap w:val="0"/>
            <w:vAlign w:val="center"/>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按“第一篇三、供应商资格要求（三）本项目的特定资格要求”的要求提交（如果有）。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（二）</w:t>
            </w:r>
          </w:p>
        </w:tc>
        <w:tc>
          <w:tcPr>
            <w:tcW w:w="3827" w:type="dxa"/>
            <w:gridSpan w:val="2"/>
            <w:noWrap w:val="0"/>
            <w:vAlign w:val="center"/>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落实政府采购政策需满足的资格要求</w:t>
            </w:r>
          </w:p>
        </w:tc>
        <w:tc>
          <w:tcPr>
            <w:tcW w:w="4984" w:type="dxa"/>
            <w:noWrap w:val="0"/>
            <w:vAlign w:val="center"/>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按“第一篇三、供应商资格要求（二）落实政府采购政策需满足的资格要求”的要求提交（如果有）。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三</w:t>
            </w:r>
            <w:r>
              <w:rPr>
                <w:rFonts w:hint="eastAsia" w:ascii="仿宋" w:hAnsi="仿宋" w:eastAsia="仿宋" w:cs="仿宋"/>
                <w:color w:val="auto"/>
                <w:sz w:val="21"/>
                <w:szCs w:val="21"/>
                <w:highlight w:val="none"/>
                <w:lang w:eastAsia="zh-CN"/>
              </w:rPr>
              <w:t>）</w:t>
            </w:r>
          </w:p>
        </w:tc>
        <w:tc>
          <w:tcPr>
            <w:tcW w:w="3827" w:type="dxa"/>
            <w:gridSpan w:val="2"/>
            <w:noWrap w:val="0"/>
            <w:vAlign w:val="center"/>
          </w:tcPr>
          <w:p>
            <w:pP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磋商保证金</w:t>
            </w:r>
          </w:p>
        </w:tc>
        <w:tc>
          <w:tcPr>
            <w:tcW w:w="4984" w:type="dxa"/>
            <w:noWrap w:val="0"/>
            <w:vAlign w:val="center"/>
          </w:tcPr>
          <w:p>
            <w:pPr>
              <w:rPr>
                <w:rFonts w:hint="eastAsia" w:ascii="仿宋" w:hAnsi="仿宋" w:eastAsia="仿宋" w:cs="仿宋"/>
                <w:color w:val="auto"/>
                <w:sz w:val="21"/>
                <w:szCs w:val="21"/>
                <w:highlight w:val="none"/>
              </w:rPr>
            </w:pPr>
            <w:r>
              <w:rPr>
                <w:rFonts w:hint="eastAsia" w:ascii="仿宋" w:hAnsi="仿宋" w:eastAsia="仿宋"/>
                <w:sz w:val="21"/>
                <w:szCs w:val="21"/>
              </w:rPr>
              <w:t>按照</w:t>
            </w:r>
            <w:r>
              <w:rPr>
                <w:rFonts w:hint="eastAsia" w:ascii="仿宋" w:hAnsi="仿宋" w:eastAsia="仿宋"/>
                <w:sz w:val="21"/>
                <w:szCs w:val="21"/>
                <w:lang w:val="en-US" w:eastAsia="zh-CN"/>
              </w:rPr>
              <w:t>磋商</w:t>
            </w:r>
            <w:r>
              <w:rPr>
                <w:rFonts w:hint="eastAsia" w:ascii="仿宋" w:hAnsi="仿宋" w:eastAsia="仿宋"/>
                <w:sz w:val="21"/>
                <w:szCs w:val="21"/>
              </w:rPr>
              <w:t>文件要求足额交纳</w:t>
            </w:r>
            <w:r>
              <w:rPr>
                <w:rFonts w:hint="eastAsia" w:ascii="仿宋" w:hAnsi="仿宋" w:eastAsia="仿宋"/>
                <w:sz w:val="21"/>
                <w:szCs w:val="21"/>
                <w:lang w:val="en-US" w:eastAsia="zh-CN"/>
              </w:rPr>
              <w:t>磋商</w:t>
            </w:r>
            <w:r>
              <w:rPr>
                <w:rFonts w:hint="eastAsia" w:ascii="仿宋" w:hAnsi="仿宋" w:eastAsia="仿宋"/>
                <w:sz w:val="21"/>
                <w:szCs w:val="21"/>
              </w:rPr>
              <w:t>保证金。</w:t>
            </w:r>
          </w:p>
        </w:tc>
      </w:tr>
    </w:tbl>
    <w:p>
      <w:pPr>
        <w:snapToGrid w:val="0"/>
        <w:spacing w:line="400" w:lineRule="exact"/>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注：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按照“财政部关于《中华人民共和国政府采购法实施条例》第十九条第一款“较大数额罚款”具体适用问题的意见（财库〔2022〕3 号）”执行。供应商可于响应文件递交截止时间前通过 “信用中国”网站(www.creditchina.gov.cn)、"中国政府采购网"(www.ccgp.gov.cn)等渠道查询信用记录。</w:t>
      </w:r>
    </w:p>
    <w:p>
      <w:pPr>
        <w:snapToGrid w:val="0"/>
        <w:spacing w:line="400" w:lineRule="exact"/>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2.符合性审查。依据竞争性磋商文件的规定，从响应文件的有效性、完整性和对竞争性磋商文件的响应程度进行审查，以确定是否对竞争性磋商文件的实质性要求作出响应。符合性审查资料表如下：</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0"/>
        <w:gridCol w:w="1984"/>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675" w:type="dxa"/>
            <w:noWrap w:val="0"/>
            <w:vAlign w:val="center"/>
          </w:tcPr>
          <w:p>
            <w:pPr>
              <w:jc w:val="center"/>
              <w:rPr>
                <w:rFonts w:hint="eastAsia" w:ascii="仿宋" w:hAnsi="仿宋" w:eastAsia="仿宋" w:cs="仿宋"/>
                <w:b/>
                <w:color w:val="auto"/>
                <w:kern w:val="0"/>
                <w:sz w:val="21"/>
                <w:szCs w:val="21"/>
                <w:highlight w:val="none"/>
              </w:rPr>
            </w:pPr>
            <w:r>
              <w:rPr>
                <w:rFonts w:hint="eastAsia" w:ascii="仿宋" w:hAnsi="仿宋" w:eastAsia="仿宋" w:cs="仿宋"/>
                <w:b/>
                <w:color w:val="auto"/>
                <w:kern w:val="0"/>
                <w:sz w:val="21"/>
                <w:szCs w:val="21"/>
                <w:highlight w:val="none"/>
              </w:rPr>
              <w:t>序号</w:t>
            </w:r>
          </w:p>
        </w:tc>
        <w:tc>
          <w:tcPr>
            <w:tcW w:w="3544" w:type="dxa"/>
            <w:gridSpan w:val="2"/>
            <w:noWrap w:val="0"/>
            <w:vAlign w:val="center"/>
          </w:tcPr>
          <w:p>
            <w:pPr>
              <w:jc w:val="center"/>
              <w:rPr>
                <w:rFonts w:hint="eastAsia" w:ascii="仿宋" w:hAnsi="仿宋" w:eastAsia="仿宋" w:cs="仿宋"/>
                <w:b/>
                <w:color w:val="auto"/>
                <w:kern w:val="0"/>
                <w:sz w:val="21"/>
                <w:szCs w:val="21"/>
                <w:highlight w:val="none"/>
              </w:rPr>
            </w:pPr>
            <w:r>
              <w:rPr>
                <w:rFonts w:hint="eastAsia" w:ascii="仿宋" w:hAnsi="仿宋" w:eastAsia="仿宋" w:cs="仿宋"/>
                <w:b/>
                <w:color w:val="auto"/>
                <w:kern w:val="0"/>
                <w:sz w:val="21"/>
                <w:szCs w:val="21"/>
                <w:highlight w:val="none"/>
              </w:rPr>
              <w:t>评审因素</w:t>
            </w:r>
          </w:p>
        </w:tc>
        <w:tc>
          <w:tcPr>
            <w:tcW w:w="5409" w:type="dxa"/>
            <w:noWrap w:val="0"/>
            <w:vAlign w:val="center"/>
          </w:tcPr>
          <w:p>
            <w:pPr>
              <w:jc w:val="center"/>
              <w:rPr>
                <w:rFonts w:hint="eastAsia" w:ascii="仿宋" w:hAnsi="仿宋" w:eastAsia="仿宋" w:cs="仿宋"/>
                <w:b/>
                <w:color w:val="auto"/>
                <w:kern w:val="0"/>
                <w:sz w:val="21"/>
                <w:szCs w:val="21"/>
                <w:highlight w:val="none"/>
              </w:rPr>
            </w:pPr>
            <w:r>
              <w:rPr>
                <w:rFonts w:hint="eastAsia" w:ascii="仿宋" w:hAnsi="仿宋" w:eastAsia="仿宋" w:cs="仿宋"/>
                <w:b/>
                <w:color w:val="auto"/>
                <w:kern w:val="0"/>
                <w:sz w:val="21"/>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675" w:type="dxa"/>
            <w:vMerge w:val="restart"/>
            <w:noWrap w:val="0"/>
            <w:vAlign w:val="center"/>
          </w:tcPr>
          <w:p>
            <w:pPr>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1</w:t>
            </w:r>
          </w:p>
        </w:tc>
        <w:tc>
          <w:tcPr>
            <w:tcW w:w="1560" w:type="dxa"/>
            <w:vMerge w:val="restart"/>
            <w:noWrap w:val="0"/>
            <w:vAlign w:val="center"/>
          </w:tcPr>
          <w:p>
            <w:pP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有效性审查</w:t>
            </w:r>
          </w:p>
        </w:tc>
        <w:tc>
          <w:tcPr>
            <w:tcW w:w="1984" w:type="dxa"/>
            <w:noWrap w:val="0"/>
            <w:vAlign w:val="center"/>
          </w:tcPr>
          <w:p>
            <w:pPr>
              <w:rPr>
                <w:rFonts w:hint="eastAsia" w:ascii="仿宋" w:hAnsi="仿宋" w:eastAsia="仿宋" w:cs="仿宋"/>
                <w:color w:val="auto"/>
                <w:kern w:val="0"/>
                <w:sz w:val="21"/>
                <w:szCs w:val="21"/>
                <w:highlight w:val="none"/>
              </w:rPr>
            </w:pPr>
            <w:r>
              <w:rPr>
                <w:rFonts w:hint="eastAsia" w:ascii="仿宋" w:hAnsi="仿宋" w:eastAsia="仿宋" w:cs="仿宋"/>
                <w:color w:val="auto"/>
                <w:sz w:val="21"/>
                <w:szCs w:val="21"/>
                <w:highlight w:val="none"/>
              </w:rPr>
              <w:t>响应文件签署或盖章</w:t>
            </w:r>
          </w:p>
        </w:tc>
        <w:tc>
          <w:tcPr>
            <w:tcW w:w="5409" w:type="dxa"/>
            <w:noWrap w:val="0"/>
            <w:vAlign w:val="center"/>
          </w:tcPr>
          <w:p>
            <w:pPr>
              <w:rPr>
                <w:rFonts w:hint="eastAsia" w:ascii="仿宋" w:hAnsi="仿宋" w:eastAsia="仿宋" w:cs="仿宋"/>
                <w:color w:val="auto"/>
                <w:kern w:val="0"/>
                <w:sz w:val="21"/>
                <w:szCs w:val="21"/>
                <w:highlight w:val="none"/>
              </w:rPr>
            </w:pPr>
            <w:r>
              <w:rPr>
                <w:rFonts w:hint="eastAsia" w:ascii="仿宋" w:hAnsi="仿宋" w:eastAsia="仿宋" w:cs="仿宋"/>
                <w:color w:val="auto"/>
                <w:sz w:val="21"/>
                <w:szCs w:val="21"/>
                <w:highlight w:val="none"/>
              </w:rPr>
              <w:t>按竞争性磋商文件“第七篇响应文件编制要求”要求签署或盖章。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675" w:type="dxa"/>
            <w:vMerge w:val="continue"/>
            <w:noWrap w:val="0"/>
            <w:vAlign w:val="center"/>
          </w:tcPr>
          <w:p>
            <w:pPr>
              <w:jc w:val="center"/>
              <w:rPr>
                <w:rFonts w:hint="eastAsia" w:ascii="仿宋" w:hAnsi="仿宋" w:eastAsia="仿宋" w:cs="仿宋"/>
                <w:color w:val="auto"/>
                <w:kern w:val="0"/>
                <w:sz w:val="21"/>
                <w:szCs w:val="21"/>
                <w:highlight w:val="none"/>
              </w:rPr>
            </w:pPr>
          </w:p>
        </w:tc>
        <w:tc>
          <w:tcPr>
            <w:tcW w:w="1560" w:type="dxa"/>
            <w:vMerge w:val="continue"/>
            <w:noWrap w:val="0"/>
            <w:vAlign w:val="center"/>
          </w:tcPr>
          <w:p>
            <w:pPr>
              <w:rPr>
                <w:rFonts w:hint="eastAsia" w:ascii="仿宋" w:hAnsi="仿宋" w:eastAsia="仿宋" w:cs="仿宋"/>
                <w:color w:val="auto"/>
                <w:kern w:val="0"/>
                <w:sz w:val="21"/>
                <w:szCs w:val="21"/>
                <w:highlight w:val="none"/>
              </w:rPr>
            </w:pPr>
          </w:p>
        </w:tc>
        <w:tc>
          <w:tcPr>
            <w:tcW w:w="1984" w:type="dxa"/>
            <w:noWrap w:val="0"/>
            <w:vAlign w:val="center"/>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法定代表人身份证明及授权委托书</w:t>
            </w:r>
          </w:p>
        </w:tc>
        <w:tc>
          <w:tcPr>
            <w:tcW w:w="5409" w:type="dxa"/>
            <w:noWrap w:val="0"/>
            <w:vAlign w:val="center"/>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法定代表人身份证明及授权委托书有效，符合竞争性磋商文件规定的格式，签署或盖章齐全。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675" w:type="dxa"/>
            <w:vMerge w:val="continue"/>
            <w:noWrap w:val="0"/>
            <w:vAlign w:val="center"/>
          </w:tcPr>
          <w:p>
            <w:pPr>
              <w:jc w:val="center"/>
              <w:rPr>
                <w:rFonts w:hint="eastAsia" w:ascii="仿宋" w:hAnsi="仿宋" w:eastAsia="仿宋" w:cs="仿宋"/>
                <w:color w:val="auto"/>
                <w:kern w:val="0"/>
                <w:sz w:val="21"/>
                <w:szCs w:val="21"/>
                <w:highlight w:val="none"/>
              </w:rPr>
            </w:pPr>
          </w:p>
        </w:tc>
        <w:tc>
          <w:tcPr>
            <w:tcW w:w="1560" w:type="dxa"/>
            <w:vMerge w:val="continue"/>
            <w:noWrap w:val="0"/>
            <w:vAlign w:val="center"/>
          </w:tcPr>
          <w:p>
            <w:pPr>
              <w:rPr>
                <w:rFonts w:hint="eastAsia" w:ascii="仿宋" w:hAnsi="仿宋" w:eastAsia="仿宋" w:cs="仿宋"/>
                <w:color w:val="auto"/>
                <w:kern w:val="0"/>
                <w:sz w:val="21"/>
                <w:szCs w:val="21"/>
                <w:highlight w:val="none"/>
              </w:rPr>
            </w:pPr>
          </w:p>
        </w:tc>
        <w:tc>
          <w:tcPr>
            <w:tcW w:w="1984" w:type="dxa"/>
            <w:noWrap w:val="0"/>
            <w:vAlign w:val="center"/>
          </w:tcPr>
          <w:p>
            <w:pPr>
              <w:rPr>
                <w:rFonts w:hint="eastAsia"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rPr>
              <w:t>响应</w:t>
            </w:r>
            <w:r>
              <w:rPr>
                <w:rFonts w:hint="eastAsia" w:ascii="仿宋" w:hAnsi="仿宋" w:eastAsia="仿宋" w:cs="仿宋"/>
                <w:color w:val="auto"/>
                <w:sz w:val="21"/>
                <w:szCs w:val="21"/>
                <w:highlight w:val="none"/>
                <w:lang w:val="zh-CN"/>
              </w:rPr>
              <w:t>方案</w:t>
            </w:r>
          </w:p>
        </w:tc>
        <w:tc>
          <w:tcPr>
            <w:tcW w:w="5409" w:type="dxa"/>
            <w:noWrap w:val="0"/>
            <w:vAlign w:val="center"/>
          </w:tcPr>
          <w:p>
            <w:pPr>
              <w:rPr>
                <w:rFonts w:hint="eastAsia" w:ascii="仿宋" w:hAnsi="仿宋" w:eastAsia="仿宋" w:cs="仿宋"/>
                <w:color w:val="auto"/>
                <w:kern w:val="0"/>
                <w:sz w:val="21"/>
                <w:szCs w:val="21"/>
                <w:highlight w:val="none"/>
              </w:rPr>
            </w:pPr>
            <w:r>
              <w:rPr>
                <w:rFonts w:hint="eastAsia" w:ascii="仿宋" w:hAnsi="仿宋" w:eastAsia="仿宋" w:cs="仿宋"/>
                <w:color w:val="auto"/>
                <w:sz w:val="21"/>
                <w:szCs w:val="21"/>
                <w:highlight w:val="none"/>
                <w:lang w:val="zh-CN"/>
              </w:rPr>
              <w:t>每个包只能有一个</w:t>
            </w:r>
            <w:r>
              <w:rPr>
                <w:rFonts w:hint="eastAsia" w:ascii="仿宋" w:hAnsi="仿宋" w:eastAsia="仿宋" w:cs="仿宋"/>
                <w:color w:val="auto"/>
                <w:sz w:val="21"/>
                <w:szCs w:val="21"/>
                <w:highlight w:val="none"/>
              </w:rPr>
              <w:t>响应</w:t>
            </w:r>
            <w:r>
              <w:rPr>
                <w:rFonts w:hint="eastAsia" w:ascii="仿宋" w:hAnsi="仿宋" w:eastAsia="仿宋" w:cs="仿宋"/>
                <w:color w:val="auto"/>
                <w:sz w:val="21"/>
                <w:szCs w:val="21"/>
                <w:highlight w:val="none"/>
                <w:lang w:val="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75" w:type="dxa"/>
            <w:vMerge w:val="continue"/>
            <w:noWrap w:val="0"/>
            <w:vAlign w:val="center"/>
          </w:tcPr>
          <w:p>
            <w:pPr>
              <w:jc w:val="center"/>
              <w:rPr>
                <w:rFonts w:hint="eastAsia" w:ascii="仿宋" w:hAnsi="仿宋" w:eastAsia="仿宋" w:cs="仿宋"/>
                <w:color w:val="auto"/>
                <w:kern w:val="0"/>
                <w:sz w:val="21"/>
                <w:szCs w:val="21"/>
                <w:highlight w:val="none"/>
              </w:rPr>
            </w:pPr>
          </w:p>
        </w:tc>
        <w:tc>
          <w:tcPr>
            <w:tcW w:w="1560" w:type="dxa"/>
            <w:vMerge w:val="continue"/>
            <w:noWrap w:val="0"/>
            <w:vAlign w:val="center"/>
          </w:tcPr>
          <w:p>
            <w:pPr>
              <w:rPr>
                <w:rFonts w:hint="eastAsia" w:ascii="仿宋" w:hAnsi="仿宋" w:eastAsia="仿宋" w:cs="仿宋"/>
                <w:color w:val="auto"/>
                <w:kern w:val="0"/>
                <w:sz w:val="21"/>
                <w:szCs w:val="21"/>
                <w:highlight w:val="none"/>
              </w:rPr>
            </w:pPr>
          </w:p>
        </w:tc>
        <w:tc>
          <w:tcPr>
            <w:tcW w:w="1984" w:type="dxa"/>
            <w:noWrap w:val="0"/>
            <w:vAlign w:val="center"/>
          </w:tcPr>
          <w:p>
            <w:pPr>
              <w:rPr>
                <w:rFonts w:hint="eastAsia"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rPr>
              <w:t>报价唯一</w:t>
            </w:r>
          </w:p>
        </w:tc>
        <w:tc>
          <w:tcPr>
            <w:tcW w:w="5409" w:type="dxa"/>
            <w:noWrap w:val="0"/>
            <w:vAlign w:val="center"/>
          </w:tcPr>
          <w:p>
            <w:pPr>
              <w:rPr>
                <w:rFonts w:hint="eastAsia" w:ascii="仿宋" w:hAnsi="仿宋" w:eastAsia="仿宋" w:cs="仿宋"/>
                <w:color w:val="auto"/>
                <w:kern w:val="0"/>
                <w:sz w:val="21"/>
                <w:szCs w:val="21"/>
                <w:highlight w:val="none"/>
              </w:rPr>
            </w:pPr>
            <w:r>
              <w:rPr>
                <w:rFonts w:hint="eastAsia" w:ascii="仿宋" w:hAnsi="仿宋" w:eastAsia="仿宋" w:cs="仿宋"/>
                <w:color w:val="auto"/>
                <w:sz w:val="21"/>
                <w:szCs w:val="21"/>
                <w:highlight w:val="none"/>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675" w:type="dxa"/>
            <w:noWrap w:val="0"/>
            <w:vAlign w:val="center"/>
          </w:tcPr>
          <w:p>
            <w:pPr>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2</w:t>
            </w:r>
          </w:p>
        </w:tc>
        <w:tc>
          <w:tcPr>
            <w:tcW w:w="1560" w:type="dxa"/>
            <w:noWrap w:val="0"/>
            <w:vAlign w:val="center"/>
          </w:tcPr>
          <w:p>
            <w:pP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完整性审查</w:t>
            </w:r>
          </w:p>
        </w:tc>
        <w:tc>
          <w:tcPr>
            <w:tcW w:w="1984" w:type="dxa"/>
            <w:noWrap w:val="0"/>
            <w:vAlign w:val="center"/>
          </w:tcPr>
          <w:p>
            <w:pPr>
              <w:rPr>
                <w:rFonts w:hint="eastAsia" w:ascii="仿宋" w:hAnsi="仿宋" w:eastAsia="仿宋" w:cs="仿宋"/>
                <w:color w:val="auto"/>
                <w:kern w:val="0"/>
                <w:sz w:val="21"/>
                <w:szCs w:val="21"/>
                <w:highlight w:val="none"/>
              </w:rPr>
            </w:pPr>
            <w:r>
              <w:rPr>
                <w:rFonts w:hint="eastAsia" w:ascii="仿宋" w:hAnsi="仿宋" w:eastAsia="仿宋" w:cs="仿宋"/>
                <w:color w:val="auto"/>
                <w:sz w:val="21"/>
                <w:szCs w:val="21"/>
                <w:highlight w:val="none"/>
              </w:rPr>
              <w:t>响应</w:t>
            </w:r>
            <w:r>
              <w:rPr>
                <w:rFonts w:hint="eastAsia" w:ascii="仿宋" w:hAnsi="仿宋" w:eastAsia="仿宋" w:cs="仿宋"/>
                <w:color w:val="auto"/>
                <w:sz w:val="21"/>
                <w:szCs w:val="21"/>
                <w:highlight w:val="none"/>
                <w:lang w:val="zh-CN"/>
              </w:rPr>
              <w:t>文件份数</w:t>
            </w:r>
          </w:p>
        </w:tc>
        <w:tc>
          <w:tcPr>
            <w:tcW w:w="5409" w:type="dxa"/>
            <w:noWrap w:val="0"/>
            <w:vAlign w:val="center"/>
          </w:tcPr>
          <w:p>
            <w:pPr>
              <w:rPr>
                <w:rFonts w:hint="eastAsia" w:ascii="仿宋" w:hAnsi="仿宋" w:eastAsia="仿宋" w:cs="仿宋"/>
                <w:color w:val="auto"/>
                <w:kern w:val="0"/>
                <w:sz w:val="21"/>
                <w:szCs w:val="21"/>
                <w:highlight w:val="none"/>
              </w:rPr>
            </w:pPr>
            <w:r>
              <w:rPr>
                <w:rFonts w:hint="eastAsia" w:ascii="仿宋" w:hAnsi="仿宋" w:eastAsia="仿宋" w:cs="仿宋"/>
                <w:color w:val="auto"/>
                <w:sz w:val="21"/>
                <w:szCs w:val="21"/>
                <w:highlight w:val="none"/>
              </w:rPr>
              <w:t>响应</w:t>
            </w:r>
            <w:r>
              <w:rPr>
                <w:rFonts w:hint="eastAsia" w:ascii="仿宋" w:hAnsi="仿宋" w:eastAsia="仿宋" w:cs="仿宋"/>
                <w:color w:val="auto"/>
                <w:sz w:val="21"/>
                <w:szCs w:val="21"/>
                <w:highlight w:val="none"/>
                <w:lang w:val="zh-CN"/>
              </w:rPr>
              <w:t>文件正、副本数量（含电子文档）符合</w:t>
            </w:r>
            <w:r>
              <w:rPr>
                <w:rFonts w:hint="eastAsia" w:ascii="仿宋" w:hAnsi="仿宋" w:eastAsia="仿宋" w:cs="仿宋"/>
                <w:color w:val="auto"/>
                <w:sz w:val="21"/>
                <w:szCs w:val="21"/>
                <w:highlight w:val="none"/>
              </w:rPr>
              <w:t>竞争性磋商</w:t>
            </w:r>
            <w:r>
              <w:rPr>
                <w:rFonts w:hint="eastAsia" w:ascii="仿宋" w:hAnsi="仿宋" w:eastAsia="仿宋" w:cs="仿宋"/>
                <w:color w:val="auto"/>
                <w:sz w:val="21"/>
                <w:szCs w:val="21"/>
                <w:highlight w:val="none"/>
                <w:lang w:val="zh-CN"/>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75" w:type="dxa"/>
            <w:vMerge w:val="restart"/>
            <w:noWrap w:val="0"/>
            <w:vAlign w:val="center"/>
          </w:tcPr>
          <w:p>
            <w:pPr>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3</w:t>
            </w:r>
          </w:p>
        </w:tc>
        <w:tc>
          <w:tcPr>
            <w:tcW w:w="1560" w:type="dxa"/>
            <w:vMerge w:val="restart"/>
            <w:noWrap w:val="0"/>
            <w:vAlign w:val="center"/>
          </w:tcPr>
          <w:p>
            <w:pPr>
              <w:rPr>
                <w:rFonts w:hint="eastAsia" w:ascii="仿宋" w:hAnsi="仿宋" w:eastAsia="仿宋" w:cs="仿宋"/>
                <w:color w:val="auto"/>
                <w:sz w:val="21"/>
                <w:szCs w:val="21"/>
                <w:highlight w:val="none"/>
                <w:lang w:val="zh-CN"/>
              </w:rPr>
            </w:pPr>
            <w:r>
              <w:rPr>
                <w:rFonts w:hint="eastAsia" w:ascii="仿宋" w:hAnsi="仿宋" w:eastAsia="仿宋" w:cs="仿宋"/>
                <w:color w:val="auto"/>
                <w:kern w:val="0"/>
                <w:sz w:val="21"/>
                <w:szCs w:val="21"/>
                <w:highlight w:val="none"/>
              </w:rPr>
              <w:t>响应程度审查</w:t>
            </w:r>
          </w:p>
        </w:tc>
        <w:tc>
          <w:tcPr>
            <w:tcW w:w="1984" w:type="dxa"/>
            <w:noWrap w:val="0"/>
            <w:vAlign w:val="center"/>
          </w:tcPr>
          <w:p>
            <w:pP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实质性响应</w:t>
            </w:r>
          </w:p>
        </w:tc>
        <w:tc>
          <w:tcPr>
            <w:tcW w:w="5409" w:type="dxa"/>
            <w:noWrap w:val="0"/>
            <w:vAlign w:val="center"/>
          </w:tcPr>
          <w:p>
            <w:pPr>
              <w:pStyle w:val="6"/>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竞争性磋商文件第二篇“</w:t>
            </w:r>
            <w:r>
              <w:rPr>
                <w:rFonts w:hint="eastAsia" w:ascii="仿宋" w:hAnsi="仿宋" w:eastAsia="仿宋" w:cs="仿宋"/>
                <w:color w:val="auto"/>
                <w:sz w:val="24"/>
                <w:szCs w:val="24"/>
                <w:highlight w:val="none"/>
              </w:rPr>
              <w:t>※</w:t>
            </w:r>
            <w:r>
              <w:rPr>
                <w:rFonts w:hint="eastAsia" w:ascii="仿宋" w:hAnsi="仿宋" w:eastAsia="仿宋" w:cs="仿宋"/>
                <w:color w:val="auto"/>
                <w:kern w:val="0"/>
                <w:sz w:val="21"/>
                <w:szCs w:val="21"/>
                <w:highlight w:val="none"/>
              </w:rPr>
              <w:t>”、第三篇“</w:t>
            </w:r>
            <w:r>
              <w:rPr>
                <w:rFonts w:hint="eastAsia" w:ascii="仿宋" w:hAnsi="仿宋" w:eastAsia="仿宋" w:cs="仿宋"/>
                <w:color w:val="auto"/>
                <w:sz w:val="24"/>
                <w:szCs w:val="24"/>
                <w:highlight w:val="none"/>
              </w:rPr>
              <w:t>※</w:t>
            </w:r>
            <w:r>
              <w:rPr>
                <w:rFonts w:hint="eastAsia" w:ascii="仿宋" w:hAnsi="仿宋" w:eastAsia="仿宋" w:cs="仿宋"/>
                <w:color w:val="auto"/>
                <w:kern w:val="0"/>
                <w:sz w:val="21"/>
                <w:szCs w:val="21"/>
                <w:highlight w:val="none"/>
              </w:rPr>
              <w:t>”标注部分。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675" w:type="dxa"/>
            <w:vMerge w:val="continue"/>
            <w:noWrap w:val="0"/>
            <w:vAlign w:val="center"/>
          </w:tcPr>
          <w:p>
            <w:pPr>
              <w:jc w:val="center"/>
              <w:rPr>
                <w:rFonts w:hint="eastAsia" w:ascii="仿宋" w:hAnsi="仿宋" w:eastAsia="仿宋" w:cs="仿宋"/>
                <w:color w:val="auto"/>
                <w:kern w:val="0"/>
                <w:sz w:val="21"/>
                <w:szCs w:val="21"/>
                <w:highlight w:val="none"/>
              </w:rPr>
            </w:pPr>
          </w:p>
        </w:tc>
        <w:tc>
          <w:tcPr>
            <w:tcW w:w="1560" w:type="dxa"/>
            <w:vMerge w:val="continue"/>
            <w:noWrap w:val="0"/>
            <w:vAlign w:val="center"/>
          </w:tcPr>
          <w:p>
            <w:pPr>
              <w:rPr>
                <w:rFonts w:hint="eastAsia" w:ascii="仿宋" w:hAnsi="仿宋" w:eastAsia="仿宋" w:cs="仿宋"/>
                <w:color w:val="auto"/>
                <w:sz w:val="21"/>
                <w:szCs w:val="21"/>
                <w:highlight w:val="none"/>
                <w:lang w:val="zh-CN"/>
              </w:rPr>
            </w:pPr>
          </w:p>
        </w:tc>
        <w:tc>
          <w:tcPr>
            <w:tcW w:w="1984" w:type="dxa"/>
            <w:noWrap w:val="0"/>
            <w:vAlign w:val="center"/>
          </w:tcPr>
          <w:p>
            <w:pP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磋商有效期</w:t>
            </w:r>
          </w:p>
        </w:tc>
        <w:tc>
          <w:tcPr>
            <w:tcW w:w="5409" w:type="dxa"/>
            <w:noWrap w:val="0"/>
            <w:vAlign w:val="center"/>
          </w:tcPr>
          <w:p>
            <w:pP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响应文件及有关承诺文件有效期为提交响应文件截止时间起90天。</w:t>
            </w:r>
          </w:p>
        </w:tc>
      </w:tr>
    </w:tbl>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澄清有关问题。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磋商小组要求供应商澄清、说明或者更正响应文件应当以书面形式作出。供应商的澄清、说明或者更正应当由法定代表人（或其授权代表）或自然人（供应商为自然人）签署或者加盖公章。由授权代表签署的，应当附法定代表人授权书。供应商为自然人的，应当由本人签署并附身份证明。</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（五）在磋商过程中磋商的任何一方不得向他人透露与磋商有关的服务资料、价格或其他信息。</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六）在磋商过程中，磋商小组可以根据竞争性磋商文件和磋商情况实质性变动采购需求中的服务、商务要求以及合同草案条款，但不得变动竞争性磋商文件中的其他内容。实质性变动的内容，须经采购人代表确认。对竞争性磋商文件作出的实质性变动是竞争性磋商文件的有效组成部分，磋商小组应当及时以书面形式同时通知所有参加磋商的供应商。</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（七）供应商在磋商时作出的所有书面承诺须由法定代表人（或其授权代表）或自然人（供应商为自然人）签署。</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八）经磋商确定最终采购需求且磋商结束后，供应商应当按照竞争性磋商文件的变动情况和磋商小组的要求重新提交响应文件或重新做出相关的书面承诺，最后书面提交最后报价及有关承诺（《最后报价表》在磋商现场向供应商提供）。已提交响应文件但未在规定时间内进行最后报价的供应商，视为放弃最后报价，以供应商响应文件中的报价为准。</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（九）磋商小组采用综合评分法对提交最后报价的供应商的响应文件和最后报价（含有效书面承诺）进行综合评分。</w:t>
      </w:r>
      <w:r>
        <w:rPr>
          <w:rFonts w:hint="eastAsia" w:ascii="仿宋" w:hAnsi="仿宋" w:eastAsia="仿宋" w:cs="仿宋"/>
          <w:color w:val="auto"/>
          <w:kern w:val="0"/>
          <w:sz w:val="24"/>
          <w:szCs w:val="24"/>
          <w:highlight w:val="none"/>
        </w:rPr>
        <w:t>综合评分法，是指响应文件满足竞争性磋商文件全部实质性要求且按照评审因素的量化指标评审得分最高的供应商为成交候选供应商的评审方法。供应商总得分为价格、服务、商务等评定因素分别按照相应权重值计算分项得分后相加，满分为100分</w:t>
      </w:r>
      <w:r>
        <w:rPr>
          <w:rFonts w:hint="eastAsia" w:ascii="仿宋" w:hAnsi="仿宋" w:eastAsia="仿宋" w:cs="仿宋"/>
          <w:color w:val="auto"/>
          <w:sz w:val="24"/>
          <w:szCs w:val="24"/>
          <w:highlight w:val="none"/>
        </w:rPr>
        <w:t>。</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（十）磋商小组各成员独立对每个有效响应（通过资格性审查、</w:t>
      </w:r>
      <w:r>
        <w:rPr>
          <w:rFonts w:hint="eastAsia" w:ascii="仿宋" w:hAnsi="仿宋" w:eastAsia="仿宋" w:cs="仿宋"/>
          <w:color w:val="auto"/>
          <w:kern w:val="0"/>
          <w:sz w:val="24"/>
          <w:szCs w:val="24"/>
          <w:highlight w:val="none"/>
        </w:rPr>
        <w:t>符合性审查的供应商</w:t>
      </w:r>
      <w:r>
        <w:rPr>
          <w:rFonts w:hint="eastAsia" w:ascii="仿宋" w:hAnsi="仿宋" w:eastAsia="仿宋" w:cs="仿宋"/>
          <w:color w:val="auto"/>
          <w:sz w:val="24"/>
          <w:szCs w:val="24"/>
          <w:highlight w:val="none"/>
        </w:rPr>
        <w:t>）的文件进行评价、打分，然后汇总每个供应商每项评分因素的得分，并根据综合评分情况按照评审得分由高到低顺序推荐3名以上成交候选供应商，并编写评审报告。若供应商的评审得分相同的，按照最后报价由低到高的顺序排列推荐。评审得分且最后报价相同的，按照服务指标优劣顺序排列推荐。以上都相同的，按商务条款的优劣顺序排列推荐。（</w:t>
      </w:r>
      <w:r>
        <w:rPr>
          <w:rFonts w:hint="eastAsia" w:ascii="仿宋" w:hAnsi="仿宋" w:eastAsia="仿宋" w:cs="仿宋"/>
          <w:color w:val="auto"/>
          <w:sz w:val="24"/>
          <w:szCs w:val="24"/>
          <w:highlight w:val="none"/>
          <w:lang w:val="en-US" w:eastAsia="zh-CN"/>
        </w:rPr>
        <w:t>不</w:t>
      </w:r>
      <w:r>
        <w:rPr>
          <w:rFonts w:hint="eastAsia" w:ascii="仿宋" w:hAnsi="仿宋" w:eastAsia="仿宋" w:cs="仿宋"/>
          <w:color w:val="auto"/>
          <w:sz w:val="24"/>
          <w:szCs w:val="24"/>
          <w:highlight w:val="none"/>
        </w:rPr>
        <w:t>推荐服务部分得分为0分的供应商成为成交候选供应商。）</w:t>
      </w:r>
    </w:p>
    <w:p>
      <w:pPr>
        <w:pStyle w:val="2"/>
        <w:adjustRightInd w:val="0"/>
        <w:snapToGrid w:val="0"/>
        <w:spacing w:before="0" w:after="0" w:line="400" w:lineRule="exact"/>
        <w:ind w:firstLine="482" w:firstLineChars="200"/>
        <w:rPr>
          <w:rFonts w:hint="eastAsia" w:ascii="仿宋" w:hAnsi="仿宋" w:eastAsia="仿宋" w:cs="仿宋"/>
          <w:color w:val="auto"/>
          <w:sz w:val="24"/>
          <w:highlight w:val="none"/>
        </w:rPr>
      </w:pPr>
      <w:bookmarkStart w:id="62" w:name="_Toc13894"/>
      <w:bookmarkStart w:id="63" w:name="_Toc76462334"/>
      <w:r>
        <w:rPr>
          <w:rFonts w:hint="eastAsia" w:ascii="仿宋" w:hAnsi="仿宋" w:eastAsia="仿宋" w:cs="仿宋"/>
          <w:color w:val="auto"/>
          <w:sz w:val="24"/>
          <w:highlight w:val="none"/>
        </w:rPr>
        <w:t>二、</w:t>
      </w:r>
      <w:bookmarkStart w:id="64" w:name="_Toc102227320"/>
      <w:bookmarkStart w:id="65" w:name="_Toc342913394"/>
      <w:r>
        <w:rPr>
          <w:rFonts w:hint="eastAsia" w:ascii="仿宋" w:hAnsi="仿宋" w:eastAsia="仿宋" w:cs="仿宋"/>
          <w:color w:val="auto"/>
          <w:sz w:val="24"/>
          <w:highlight w:val="none"/>
        </w:rPr>
        <w:t>评审标准</w:t>
      </w:r>
      <w:bookmarkEnd w:id="62"/>
      <w:bookmarkEnd w:id="63"/>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hint="eastAsia" w:ascii="仿宋" w:hAnsi="仿宋" w:eastAsia="仿宋" w:cs="仿宋"/>
          <w:color w:val="auto"/>
          <w:sz w:val="21"/>
          <w:szCs w:val="21"/>
          <w:highlight w:val="none"/>
          <w:lang w:val="en-US" w:eastAsia="zh-CN"/>
        </w:rPr>
      </w:pPr>
      <w:bookmarkStart w:id="66" w:name="_Toc149560762"/>
      <w:r>
        <w:rPr>
          <w:rFonts w:hint="eastAsia" w:ascii="仿宋" w:hAnsi="仿宋" w:eastAsia="仿宋" w:cs="仿宋"/>
          <w:color w:val="auto"/>
          <w:sz w:val="21"/>
          <w:szCs w:val="21"/>
          <w:highlight w:val="none"/>
          <w:lang w:val="en-US" w:eastAsia="zh-CN"/>
        </w:rPr>
        <w:t>（一）评审因素</w:t>
      </w:r>
      <w:bookmarkEnd w:id="66"/>
    </w:p>
    <w:tbl>
      <w:tblPr>
        <w:tblStyle w:val="12"/>
        <w:tblW w:w="97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1478"/>
        <w:gridCol w:w="762"/>
        <w:gridCol w:w="4182"/>
        <w:gridCol w:w="2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28"/>
              <w:jc w:val="center"/>
              <w:textAlignment w:val="auto"/>
              <w:rPr>
                <w:rFonts w:hint="eastAsia" w:ascii="仿宋" w:hAnsi="仿宋" w:eastAsia="仿宋" w:cs="仿宋"/>
                <w:b/>
                <w:color w:val="auto"/>
                <w:sz w:val="21"/>
                <w:szCs w:val="21"/>
                <w:highlight w:val="none"/>
              </w:rPr>
            </w:pPr>
            <w:r>
              <w:rPr>
                <w:rFonts w:hint="eastAsia" w:ascii="仿宋" w:hAnsi="仿宋" w:eastAsia="仿宋" w:cs="仿宋"/>
                <w:b/>
                <w:color w:val="auto"/>
                <w:sz w:val="21"/>
                <w:szCs w:val="21"/>
                <w:highlight w:val="none"/>
              </w:rPr>
              <w:t>序号</w:t>
            </w:r>
          </w:p>
        </w:tc>
        <w:tc>
          <w:tcPr>
            <w:tcW w:w="147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28"/>
              <w:jc w:val="center"/>
              <w:textAlignment w:val="auto"/>
              <w:rPr>
                <w:rFonts w:hint="eastAsia" w:ascii="仿宋" w:hAnsi="仿宋" w:eastAsia="仿宋" w:cs="仿宋"/>
                <w:b/>
                <w:color w:val="auto"/>
                <w:sz w:val="21"/>
                <w:szCs w:val="21"/>
                <w:highlight w:val="none"/>
              </w:rPr>
            </w:pPr>
            <w:r>
              <w:rPr>
                <w:rFonts w:hint="eastAsia" w:ascii="仿宋" w:hAnsi="仿宋" w:eastAsia="仿宋" w:cs="仿宋"/>
                <w:b/>
                <w:color w:val="auto"/>
                <w:sz w:val="21"/>
                <w:szCs w:val="21"/>
                <w:highlight w:val="none"/>
              </w:rPr>
              <w:t>评分因素及权值</w:t>
            </w:r>
          </w:p>
        </w:tc>
        <w:tc>
          <w:tcPr>
            <w:tcW w:w="7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28"/>
              <w:jc w:val="center"/>
              <w:textAlignment w:val="auto"/>
              <w:rPr>
                <w:rFonts w:hint="eastAsia" w:ascii="仿宋" w:hAnsi="仿宋" w:eastAsia="仿宋" w:cs="仿宋"/>
                <w:b/>
                <w:color w:val="auto"/>
                <w:sz w:val="21"/>
                <w:szCs w:val="21"/>
                <w:highlight w:val="none"/>
              </w:rPr>
            </w:pPr>
            <w:r>
              <w:rPr>
                <w:rFonts w:hint="eastAsia" w:ascii="仿宋" w:hAnsi="仿宋" w:eastAsia="仿宋" w:cs="仿宋"/>
                <w:b/>
                <w:color w:val="auto"/>
                <w:sz w:val="21"/>
                <w:szCs w:val="21"/>
                <w:highlight w:val="none"/>
              </w:rPr>
              <w:t>分值</w:t>
            </w:r>
          </w:p>
        </w:tc>
        <w:tc>
          <w:tcPr>
            <w:tcW w:w="418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28"/>
              <w:jc w:val="center"/>
              <w:textAlignment w:val="auto"/>
              <w:rPr>
                <w:rFonts w:hint="eastAsia" w:ascii="仿宋" w:hAnsi="仿宋" w:eastAsia="仿宋" w:cs="仿宋"/>
                <w:b/>
                <w:color w:val="auto"/>
                <w:sz w:val="21"/>
                <w:szCs w:val="21"/>
                <w:highlight w:val="none"/>
              </w:rPr>
            </w:pPr>
            <w:r>
              <w:rPr>
                <w:rFonts w:hint="eastAsia" w:ascii="仿宋" w:hAnsi="仿宋" w:eastAsia="仿宋" w:cs="仿宋"/>
                <w:b/>
                <w:color w:val="auto"/>
                <w:sz w:val="21"/>
                <w:szCs w:val="21"/>
                <w:highlight w:val="none"/>
              </w:rPr>
              <w:t>评分标准</w:t>
            </w:r>
          </w:p>
        </w:tc>
        <w:tc>
          <w:tcPr>
            <w:tcW w:w="2469" w:type="dxa"/>
            <w:noWrap w:val="0"/>
            <w:vAlign w:val="center"/>
          </w:tcPr>
          <w:p>
            <w:pPr>
              <w:pStyle w:val="16"/>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28"/>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147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28"/>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磋商报价</w:t>
            </w:r>
          </w:p>
          <w:p>
            <w:pPr>
              <w:keepNext w:val="0"/>
              <w:keepLines w:val="0"/>
              <w:pageBreakBefore w:val="0"/>
              <w:widowControl w:val="0"/>
              <w:kinsoku/>
              <w:wordWrap/>
              <w:overflowPunct/>
              <w:topLinePunct w:val="0"/>
              <w:autoSpaceDE/>
              <w:autoSpaceDN/>
              <w:bidi w:val="0"/>
              <w:adjustRightInd/>
              <w:snapToGrid/>
              <w:spacing w:line="240" w:lineRule="auto"/>
              <w:ind w:left="0" w:firstLine="28"/>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w:t>
            </w:r>
            <w:r>
              <w:rPr>
                <w:rFonts w:hint="eastAsia" w:ascii="仿宋" w:hAnsi="仿宋" w:eastAsia="仿宋" w:cs="仿宋"/>
                <w:color w:val="auto"/>
                <w:sz w:val="21"/>
                <w:szCs w:val="21"/>
                <w:highlight w:val="none"/>
                <w:lang w:val="en-US" w:eastAsia="zh-CN"/>
              </w:rPr>
              <w:t>10</w:t>
            </w:r>
            <w:r>
              <w:rPr>
                <w:rFonts w:hint="eastAsia" w:ascii="仿宋" w:hAnsi="仿宋" w:eastAsia="仿宋" w:cs="仿宋"/>
                <w:color w:val="auto"/>
                <w:sz w:val="21"/>
                <w:szCs w:val="21"/>
                <w:highlight w:val="none"/>
              </w:rPr>
              <w:t>%）</w:t>
            </w:r>
          </w:p>
        </w:tc>
        <w:tc>
          <w:tcPr>
            <w:tcW w:w="7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10分</w:t>
            </w:r>
          </w:p>
        </w:tc>
        <w:tc>
          <w:tcPr>
            <w:tcW w:w="418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评标基准价计算方法：所有通过资格审查和符合性审查的供应商填报的磋商最后报价去掉六分之一（不能整除的按小数点前整数取整，不足六家报价则不去掉）的最低价和相同家数的最高价后的算术平均值为磋商报价评标基准价。</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以上计算取小数点后两位，第三位四舍五入。</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2、所有通过资格审查和符合性审查的供应商磋商最后报价得分先得相应的满分</w:t>
            </w:r>
            <w:r>
              <w:rPr>
                <w:rFonts w:hint="eastAsia" w:ascii="仿宋" w:hAnsi="仿宋" w:eastAsia="仿宋" w:cs="仿宋"/>
                <w:color w:val="auto"/>
                <w:sz w:val="21"/>
                <w:szCs w:val="21"/>
                <w:highlight w:val="none"/>
                <w:lang w:val="en-US" w:eastAsia="zh-CN"/>
              </w:rPr>
              <w:t>10</w:t>
            </w:r>
            <w:r>
              <w:rPr>
                <w:rFonts w:hint="eastAsia" w:ascii="仿宋" w:hAnsi="仿宋" w:eastAsia="仿宋" w:cs="仿宋"/>
                <w:color w:val="auto"/>
                <w:sz w:val="21"/>
                <w:szCs w:val="21"/>
                <w:highlight w:val="none"/>
              </w:rPr>
              <w:t>分。在此基础上，最后报价与评标准基准价相比，每增加1%扣0.2分，每减少1%扣0.1分，扣完为止。按插入法计算得分。</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以上计算取小数点后两位，第三位四舍五入。</w:t>
            </w:r>
          </w:p>
        </w:tc>
        <w:tc>
          <w:tcPr>
            <w:tcW w:w="24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对小微企业的价格用扣除后的价格参与评审，详见“（二）关于小微企业报价扣除比例说明”。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28"/>
              <w:jc w:val="center"/>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w:t>
            </w:r>
          </w:p>
        </w:tc>
        <w:tc>
          <w:tcPr>
            <w:tcW w:w="147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28"/>
              <w:jc w:val="center"/>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服务方案（70%）</w:t>
            </w:r>
          </w:p>
        </w:tc>
        <w:tc>
          <w:tcPr>
            <w:tcW w:w="762"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15分</w:t>
            </w:r>
          </w:p>
        </w:tc>
        <w:tc>
          <w:tcPr>
            <w:tcW w:w="4182"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rPr>
              <w:t>针对本项目的工作范围、目标、依据及原则</w:t>
            </w:r>
            <w:r>
              <w:rPr>
                <w:rFonts w:hint="eastAsia" w:ascii="仿宋" w:hAnsi="仿宋" w:eastAsia="仿宋" w:cs="仿宋"/>
                <w:color w:val="auto"/>
                <w:sz w:val="21"/>
                <w:szCs w:val="21"/>
                <w:highlight w:val="none"/>
                <w:lang w:val="en-US" w:eastAsia="zh-CN"/>
              </w:rPr>
              <w:t>编制方案</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15分</w:t>
            </w:r>
            <w:r>
              <w:rPr>
                <w:rFonts w:hint="eastAsia" w:ascii="仿宋" w:hAnsi="仿宋" w:eastAsia="仿宋" w:cs="仿宋"/>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1</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方案</w:t>
            </w:r>
            <w:r>
              <w:rPr>
                <w:rFonts w:hint="eastAsia" w:ascii="仿宋" w:hAnsi="仿宋" w:eastAsia="仿宋" w:cs="仿宋"/>
                <w:color w:val="auto"/>
                <w:sz w:val="21"/>
                <w:szCs w:val="21"/>
                <w:highlight w:val="none"/>
                <w:lang w:eastAsia="zh-CN"/>
              </w:rPr>
              <w:t>内容明确、</w:t>
            </w:r>
            <w:r>
              <w:rPr>
                <w:rFonts w:hint="eastAsia" w:ascii="仿宋" w:hAnsi="仿宋" w:eastAsia="仿宋" w:cs="仿宋"/>
                <w:color w:val="auto"/>
                <w:sz w:val="21"/>
                <w:szCs w:val="21"/>
                <w:highlight w:val="none"/>
                <w:lang w:val="en-US" w:eastAsia="zh-CN"/>
              </w:rPr>
              <w:t>合理</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可行的，</w:t>
            </w:r>
            <w:r>
              <w:rPr>
                <w:rFonts w:hint="eastAsia" w:ascii="仿宋" w:hAnsi="仿宋" w:eastAsia="仿宋" w:cs="仿宋"/>
                <w:color w:val="auto"/>
                <w:sz w:val="21"/>
                <w:szCs w:val="21"/>
                <w:highlight w:val="none"/>
                <w:lang w:eastAsia="zh-CN"/>
              </w:rPr>
              <w:t>得</w:t>
            </w:r>
            <w:r>
              <w:rPr>
                <w:rFonts w:hint="eastAsia" w:ascii="仿宋" w:hAnsi="仿宋" w:eastAsia="仿宋" w:cs="仿宋"/>
                <w:color w:val="auto"/>
                <w:sz w:val="21"/>
                <w:szCs w:val="21"/>
                <w:highlight w:val="none"/>
              </w:rPr>
              <w:t>1</w:t>
            </w:r>
            <w:r>
              <w:rPr>
                <w:rFonts w:hint="eastAsia" w:ascii="仿宋" w:hAnsi="仿宋" w:eastAsia="仿宋" w:cs="仿宋"/>
                <w:color w:val="auto"/>
                <w:sz w:val="21"/>
                <w:szCs w:val="21"/>
                <w:highlight w:val="none"/>
                <w:lang w:val="en-US" w:eastAsia="zh-CN"/>
              </w:rPr>
              <w:t>5</w:t>
            </w:r>
            <w:r>
              <w:rPr>
                <w:rFonts w:hint="eastAsia" w:ascii="仿宋" w:hAnsi="仿宋" w:eastAsia="仿宋" w:cs="仿宋"/>
                <w:color w:val="auto"/>
                <w:sz w:val="21"/>
                <w:szCs w:val="21"/>
                <w:highlight w:val="none"/>
              </w:rPr>
              <w:t>分；</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2</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方案</w:t>
            </w:r>
            <w:r>
              <w:rPr>
                <w:rFonts w:hint="eastAsia" w:ascii="仿宋" w:hAnsi="仿宋" w:eastAsia="仿宋" w:cs="仿宋"/>
                <w:color w:val="auto"/>
                <w:sz w:val="21"/>
                <w:szCs w:val="21"/>
                <w:highlight w:val="none"/>
                <w:lang w:eastAsia="zh-CN"/>
              </w:rPr>
              <w:t>内容</w:t>
            </w:r>
            <w:r>
              <w:rPr>
                <w:rFonts w:hint="eastAsia" w:ascii="仿宋" w:hAnsi="仿宋" w:eastAsia="仿宋" w:cs="仿宋"/>
                <w:color w:val="auto"/>
                <w:sz w:val="21"/>
                <w:szCs w:val="21"/>
                <w:highlight w:val="none"/>
                <w:lang w:val="en-US" w:eastAsia="zh-CN"/>
              </w:rPr>
              <w:t>较</w:t>
            </w:r>
            <w:r>
              <w:rPr>
                <w:rFonts w:hint="eastAsia" w:ascii="仿宋" w:hAnsi="仿宋" w:eastAsia="仿宋" w:cs="仿宋"/>
                <w:color w:val="auto"/>
                <w:sz w:val="21"/>
                <w:szCs w:val="21"/>
                <w:highlight w:val="none"/>
                <w:lang w:eastAsia="zh-CN"/>
              </w:rPr>
              <w:t>明确、</w:t>
            </w:r>
            <w:r>
              <w:rPr>
                <w:rFonts w:hint="eastAsia" w:ascii="仿宋" w:hAnsi="仿宋" w:eastAsia="仿宋" w:cs="仿宋"/>
                <w:color w:val="auto"/>
                <w:sz w:val="21"/>
                <w:szCs w:val="21"/>
                <w:highlight w:val="none"/>
                <w:lang w:val="en-US" w:eastAsia="zh-CN"/>
              </w:rPr>
              <w:t>较合理</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较可行的</w:t>
            </w:r>
            <w:r>
              <w:rPr>
                <w:rFonts w:hint="eastAsia" w:ascii="仿宋" w:hAnsi="仿宋" w:eastAsia="仿宋" w:cs="仿宋"/>
                <w:color w:val="auto"/>
                <w:sz w:val="21"/>
                <w:szCs w:val="21"/>
                <w:highlight w:val="none"/>
              </w:rPr>
              <w:t>，</w:t>
            </w:r>
            <w:r>
              <w:rPr>
                <w:rFonts w:hint="eastAsia" w:ascii="仿宋" w:hAnsi="仿宋" w:eastAsia="仿宋" w:cs="仿宋"/>
                <w:color w:val="auto"/>
                <w:sz w:val="21"/>
                <w:szCs w:val="21"/>
                <w:highlight w:val="none"/>
                <w:lang w:eastAsia="zh-CN"/>
              </w:rPr>
              <w:t>得</w:t>
            </w:r>
            <w:r>
              <w:rPr>
                <w:rFonts w:hint="eastAsia" w:ascii="仿宋" w:hAnsi="仿宋" w:eastAsia="仿宋" w:cs="仿宋"/>
                <w:color w:val="auto"/>
                <w:sz w:val="21"/>
                <w:szCs w:val="21"/>
                <w:highlight w:val="none"/>
                <w:lang w:val="en-US" w:eastAsia="zh-CN"/>
              </w:rPr>
              <w:t>10</w:t>
            </w:r>
            <w:r>
              <w:rPr>
                <w:rFonts w:hint="eastAsia" w:ascii="仿宋" w:hAnsi="仿宋" w:eastAsia="仿宋" w:cs="仿宋"/>
                <w:color w:val="auto"/>
                <w:sz w:val="21"/>
                <w:szCs w:val="21"/>
                <w:highlight w:val="none"/>
              </w:rPr>
              <w:t>分；</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3</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方案</w:t>
            </w:r>
            <w:r>
              <w:rPr>
                <w:rFonts w:hint="eastAsia" w:ascii="仿宋" w:hAnsi="仿宋" w:eastAsia="仿宋" w:cs="仿宋"/>
                <w:color w:val="auto"/>
                <w:sz w:val="21"/>
                <w:szCs w:val="21"/>
                <w:highlight w:val="none"/>
                <w:lang w:eastAsia="zh-CN"/>
              </w:rPr>
              <w:t>内容</w:t>
            </w:r>
            <w:r>
              <w:rPr>
                <w:rFonts w:hint="eastAsia" w:ascii="仿宋" w:hAnsi="仿宋" w:eastAsia="仿宋" w:cs="仿宋"/>
                <w:color w:val="auto"/>
                <w:sz w:val="21"/>
                <w:szCs w:val="21"/>
                <w:highlight w:val="none"/>
                <w:lang w:val="en-US" w:eastAsia="zh-CN"/>
              </w:rPr>
              <w:t>不</w:t>
            </w:r>
            <w:r>
              <w:rPr>
                <w:rFonts w:hint="eastAsia" w:ascii="仿宋" w:hAnsi="仿宋" w:eastAsia="仿宋" w:cs="仿宋"/>
                <w:color w:val="auto"/>
                <w:sz w:val="21"/>
                <w:szCs w:val="21"/>
                <w:highlight w:val="none"/>
                <w:lang w:eastAsia="zh-CN"/>
              </w:rPr>
              <w:t>明确、</w:t>
            </w:r>
            <w:r>
              <w:rPr>
                <w:rFonts w:hint="eastAsia" w:ascii="仿宋" w:hAnsi="仿宋" w:eastAsia="仿宋" w:cs="仿宋"/>
                <w:color w:val="auto"/>
                <w:sz w:val="21"/>
                <w:szCs w:val="21"/>
                <w:highlight w:val="none"/>
                <w:lang w:val="en-US" w:eastAsia="zh-CN"/>
              </w:rPr>
              <w:t>不合理</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不可行的</w:t>
            </w:r>
            <w:r>
              <w:rPr>
                <w:rFonts w:hint="eastAsia" w:ascii="仿宋" w:hAnsi="仿宋" w:eastAsia="仿宋" w:cs="仿宋"/>
                <w:color w:val="auto"/>
                <w:sz w:val="21"/>
                <w:szCs w:val="21"/>
                <w:highlight w:val="none"/>
              </w:rPr>
              <w:t>，</w:t>
            </w:r>
            <w:r>
              <w:rPr>
                <w:rFonts w:hint="eastAsia" w:ascii="仿宋" w:hAnsi="仿宋" w:eastAsia="仿宋" w:cs="仿宋"/>
                <w:color w:val="auto"/>
                <w:sz w:val="21"/>
                <w:szCs w:val="21"/>
                <w:highlight w:val="none"/>
                <w:lang w:eastAsia="zh-CN"/>
              </w:rPr>
              <w:t>得</w:t>
            </w:r>
            <w:r>
              <w:rPr>
                <w:rFonts w:hint="eastAsia" w:ascii="仿宋" w:hAnsi="仿宋" w:eastAsia="仿宋" w:cs="仿宋"/>
                <w:color w:val="auto"/>
                <w:sz w:val="21"/>
                <w:szCs w:val="21"/>
                <w:highlight w:val="none"/>
                <w:lang w:val="en-US" w:eastAsia="zh-CN"/>
              </w:rPr>
              <w:t>5</w:t>
            </w:r>
            <w:r>
              <w:rPr>
                <w:rFonts w:hint="eastAsia" w:ascii="仿宋" w:hAnsi="仿宋" w:eastAsia="仿宋" w:cs="仿宋"/>
                <w:color w:val="auto"/>
                <w:sz w:val="21"/>
                <w:szCs w:val="21"/>
                <w:highlight w:val="none"/>
              </w:rPr>
              <w:t>分；</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4</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未提供</w:t>
            </w:r>
            <w:r>
              <w:rPr>
                <w:rFonts w:hint="eastAsia" w:ascii="仿宋" w:hAnsi="仿宋" w:eastAsia="仿宋" w:cs="仿宋"/>
                <w:color w:val="auto"/>
                <w:sz w:val="21"/>
                <w:szCs w:val="21"/>
                <w:highlight w:val="none"/>
                <w:lang w:val="en-US" w:eastAsia="zh-CN"/>
              </w:rPr>
              <w:t>不</w:t>
            </w:r>
            <w:r>
              <w:rPr>
                <w:rFonts w:hint="eastAsia" w:ascii="仿宋" w:hAnsi="仿宋" w:eastAsia="仿宋" w:cs="仿宋"/>
                <w:color w:val="auto"/>
                <w:sz w:val="21"/>
                <w:szCs w:val="21"/>
                <w:highlight w:val="none"/>
              </w:rPr>
              <w:t>得分</w:t>
            </w:r>
            <w:r>
              <w:rPr>
                <w:rFonts w:hint="eastAsia" w:ascii="仿宋" w:hAnsi="仿宋" w:eastAsia="仿宋" w:cs="仿宋"/>
                <w:color w:val="auto"/>
                <w:sz w:val="21"/>
                <w:szCs w:val="21"/>
                <w:highlight w:val="none"/>
                <w:lang w:eastAsia="zh-CN"/>
              </w:rPr>
              <w:t>。</w:t>
            </w:r>
          </w:p>
        </w:tc>
        <w:tc>
          <w:tcPr>
            <w:tcW w:w="2469"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28"/>
              <w:jc w:val="center"/>
              <w:textAlignment w:val="auto"/>
              <w:rPr>
                <w:rFonts w:hint="eastAsia" w:ascii="仿宋" w:hAnsi="仿宋" w:eastAsia="仿宋" w:cs="仿宋"/>
                <w:color w:val="auto"/>
                <w:sz w:val="21"/>
                <w:szCs w:val="21"/>
                <w:highlight w:val="none"/>
              </w:rPr>
            </w:pPr>
          </w:p>
        </w:tc>
        <w:tc>
          <w:tcPr>
            <w:tcW w:w="14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28"/>
              <w:jc w:val="center"/>
              <w:textAlignment w:val="auto"/>
              <w:rPr>
                <w:rFonts w:hint="eastAsia" w:ascii="仿宋" w:hAnsi="仿宋" w:eastAsia="仿宋" w:cs="仿宋"/>
                <w:color w:val="auto"/>
                <w:sz w:val="21"/>
                <w:szCs w:val="21"/>
                <w:highlight w:val="none"/>
              </w:rPr>
            </w:pPr>
          </w:p>
        </w:tc>
        <w:tc>
          <w:tcPr>
            <w:tcW w:w="7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15分</w:t>
            </w:r>
          </w:p>
        </w:tc>
        <w:tc>
          <w:tcPr>
            <w:tcW w:w="41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rPr>
              <w:t>针对本项目重难点问题提出处置措施</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15分</w:t>
            </w:r>
            <w:r>
              <w:rPr>
                <w:rFonts w:hint="eastAsia" w:ascii="仿宋" w:hAnsi="仿宋" w:eastAsia="仿宋" w:cs="仿宋"/>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1</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处置措施</w:t>
            </w:r>
            <w:r>
              <w:rPr>
                <w:rFonts w:hint="eastAsia" w:ascii="仿宋" w:hAnsi="仿宋" w:eastAsia="仿宋" w:cs="仿宋"/>
                <w:color w:val="auto"/>
                <w:sz w:val="21"/>
                <w:szCs w:val="21"/>
                <w:highlight w:val="none"/>
                <w:lang w:eastAsia="zh-CN"/>
              </w:rPr>
              <w:t>合理、</w:t>
            </w:r>
            <w:r>
              <w:rPr>
                <w:rFonts w:hint="eastAsia" w:ascii="仿宋" w:hAnsi="仿宋" w:eastAsia="仿宋" w:cs="仿宋"/>
                <w:color w:val="auto"/>
                <w:sz w:val="21"/>
                <w:szCs w:val="21"/>
                <w:highlight w:val="none"/>
              </w:rPr>
              <w:t>可行</w:t>
            </w:r>
            <w:r>
              <w:rPr>
                <w:rFonts w:hint="eastAsia" w:ascii="仿宋" w:hAnsi="仿宋" w:eastAsia="仿宋" w:cs="仿宋"/>
                <w:color w:val="auto"/>
                <w:sz w:val="21"/>
                <w:szCs w:val="21"/>
                <w:highlight w:val="none"/>
                <w:lang w:eastAsia="zh-CN"/>
              </w:rPr>
              <w:t>，符合</w:t>
            </w:r>
            <w:r>
              <w:rPr>
                <w:rFonts w:hint="eastAsia" w:ascii="仿宋" w:hAnsi="仿宋" w:eastAsia="仿宋" w:cs="仿宋"/>
                <w:color w:val="auto"/>
                <w:sz w:val="21"/>
                <w:szCs w:val="21"/>
                <w:highlight w:val="none"/>
                <w:lang w:val="en-US" w:eastAsia="zh-CN"/>
              </w:rPr>
              <w:t>项目</w:t>
            </w:r>
            <w:r>
              <w:rPr>
                <w:rFonts w:hint="eastAsia" w:ascii="仿宋" w:hAnsi="仿宋" w:eastAsia="仿宋" w:cs="仿宋"/>
                <w:color w:val="auto"/>
                <w:sz w:val="21"/>
                <w:szCs w:val="21"/>
                <w:highlight w:val="none"/>
                <w:lang w:eastAsia="zh-CN"/>
              </w:rPr>
              <w:t>要求</w:t>
            </w:r>
            <w:r>
              <w:rPr>
                <w:rFonts w:hint="eastAsia" w:ascii="仿宋" w:hAnsi="仿宋" w:eastAsia="仿宋" w:cs="仿宋"/>
                <w:color w:val="auto"/>
                <w:sz w:val="21"/>
                <w:szCs w:val="21"/>
                <w:highlight w:val="none"/>
                <w:lang w:val="en-US" w:eastAsia="zh-CN"/>
              </w:rPr>
              <w:t>的</w:t>
            </w:r>
            <w:r>
              <w:rPr>
                <w:rFonts w:hint="eastAsia" w:ascii="仿宋" w:hAnsi="仿宋" w:eastAsia="仿宋" w:cs="仿宋"/>
                <w:color w:val="auto"/>
                <w:sz w:val="21"/>
                <w:szCs w:val="21"/>
                <w:highlight w:val="none"/>
              </w:rPr>
              <w:t>，</w:t>
            </w:r>
            <w:r>
              <w:rPr>
                <w:rFonts w:hint="eastAsia" w:ascii="仿宋" w:hAnsi="仿宋" w:eastAsia="仿宋" w:cs="仿宋"/>
                <w:color w:val="auto"/>
                <w:sz w:val="21"/>
                <w:szCs w:val="21"/>
                <w:highlight w:val="none"/>
                <w:lang w:eastAsia="zh-CN"/>
              </w:rPr>
              <w:t>得</w:t>
            </w:r>
            <w:r>
              <w:rPr>
                <w:rFonts w:hint="eastAsia" w:ascii="仿宋" w:hAnsi="仿宋" w:eastAsia="仿宋" w:cs="仿宋"/>
                <w:color w:val="auto"/>
                <w:sz w:val="21"/>
                <w:szCs w:val="21"/>
                <w:highlight w:val="none"/>
              </w:rPr>
              <w:t>1</w:t>
            </w:r>
            <w:r>
              <w:rPr>
                <w:rFonts w:hint="eastAsia" w:ascii="仿宋" w:hAnsi="仿宋" w:eastAsia="仿宋" w:cs="仿宋"/>
                <w:color w:val="auto"/>
                <w:sz w:val="21"/>
                <w:szCs w:val="21"/>
                <w:highlight w:val="none"/>
                <w:lang w:val="en-US" w:eastAsia="zh-CN"/>
              </w:rPr>
              <w:t>5</w:t>
            </w:r>
            <w:r>
              <w:rPr>
                <w:rFonts w:hint="eastAsia" w:ascii="仿宋" w:hAnsi="仿宋" w:eastAsia="仿宋" w:cs="仿宋"/>
                <w:color w:val="auto"/>
                <w:sz w:val="21"/>
                <w:szCs w:val="21"/>
                <w:highlight w:val="none"/>
              </w:rPr>
              <w:t>分；</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2</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处置措施</w:t>
            </w:r>
            <w:r>
              <w:rPr>
                <w:rFonts w:hint="eastAsia" w:ascii="仿宋" w:hAnsi="仿宋" w:eastAsia="仿宋" w:cs="仿宋"/>
                <w:color w:val="auto"/>
                <w:sz w:val="21"/>
                <w:szCs w:val="21"/>
                <w:highlight w:val="none"/>
                <w:lang w:val="en-US" w:eastAsia="zh-CN"/>
              </w:rPr>
              <w:t>较</w:t>
            </w:r>
            <w:r>
              <w:rPr>
                <w:rFonts w:hint="eastAsia" w:ascii="仿宋" w:hAnsi="仿宋" w:eastAsia="仿宋" w:cs="仿宋"/>
                <w:color w:val="auto"/>
                <w:sz w:val="21"/>
                <w:szCs w:val="21"/>
                <w:highlight w:val="none"/>
                <w:lang w:eastAsia="zh-CN"/>
              </w:rPr>
              <w:t>合理、</w:t>
            </w:r>
            <w:r>
              <w:rPr>
                <w:rFonts w:hint="eastAsia" w:ascii="仿宋" w:hAnsi="仿宋" w:eastAsia="仿宋" w:cs="仿宋"/>
                <w:color w:val="auto"/>
                <w:sz w:val="21"/>
                <w:szCs w:val="21"/>
                <w:highlight w:val="none"/>
                <w:lang w:val="en-US" w:eastAsia="zh-CN"/>
              </w:rPr>
              <w:t>较</w:t>
            </w:r>
            <w:r>
              <w:rPr>
                <w:rFonts w:hint="eastAsia" w:ascii="仿宋" w:hAnsi="仿宋" w:eastAsia="仿宋" w:cs="仿宋"/>
                <w:color w:val="auto"/>
                <w:sz w:val="21"/>
                <w:szCs w:val="21"/>
                <w:highlight w:val="none"/>
              </w:rPr>
              <w:t>可行</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较</w:t>
            </w:r>
            <w:r>
              <w:rPr>
                <w:rFonts w:hint="eastAsia" w:ascii="仿宋" w:hAnsi="仿宋" w:eastAsia="仿宋" w:cs="仿宋"/>
                <w:color w:val="auto"/>
                <w:sz w:val="21"/>
                <w:szCs w:val="21"/>
                <w:highlight w:val="none"/>
                <w:lang w:eastAsia="zh-CN"/>
              </w:rPr>
              <w:t>符合</w:t>
            </w:r>
            <w:r>
              <w:rPr>
                <w:rFonts w:hint="eastAsia" w:ascii="仿宋" w:hAnsi="仿宋" w:eastAsia="仿宋" w:cs="仿宋"/>
                <w:color w:val="auto"/>
                <w:sz w:val="21"/>
                <w:szCs w:val="21"/>
                <w:highlight w:val="none"/>
                <w:lang w:val="en-US" w:eastAsia="zh-CN"/>
              </w:rPr>
              <w:t>项目</w:t>
            </w:r>
            <w:r>
              <w:rPr>
                <w:rFonts w:hint="eastAsia" w:ascii="仿宋" w:hAnsi="仿宋" w:eastAsia="仿宋" w:cs="仿宋"/>
                <w:color w:val="auto"/>
                <w:sz w:val="21"/>
                <w:szCs w:val="21"/>
                <w:highlight w:val="none"/>
                <w:lang w:eastAsia="zh-CN"/>
              </w:rPr>
              <w:t>要求</w:t>
            </w:r>
            <w:r>
              <w:rPr>
                <w:rFonts w:hint="eastAsia" w:ascii="仿宋" w:hAnsi="仿宋" w:eastAsia="仿宋" w:cs="仿宋"/>
                <w:color w:val="auto"/>
                <w:sz w:val="21"/>
                <w:szCs w:val="21"/>
                <w:highlight w:val="none"/>
                <w:lang w:val="en-US" w:eastAsia="zh-CN"/>
              </w:rPr>
              <w:t>的</w:t>
            </w:r>
            <w:r>
              <w:rPr>
                <w:rFonts w:hint="eastAsia" w:ascii="仿宋" w:hAnsi="仿宋" w:eastAsia="仿宋" w:cs="仿宋"/>
                <w:color w:val="auto"/>
                <w:sz w:val="21"/>
                <w:szCs w:val="21"/>
                <w:highlight w:val="none"/>
              </w:rPr>
              <w:t>，</w:t>
            </w:r>
            <w:r>
              <w:rPr>
                <w:rFonts w:hint="eastAsia" w:ascii="仿宋" w:hAnsi="仿宋" w:eastAsia="仿宋" w:cs="仿宋"/>
                <w:color w:val="auto"/>
                <w:sz w:val="21"/>
                <w:szCs w:val="21"/>
                <w:highlight w:val="none"/>
                <w:lang w:eastAsia="zh-CN"/>
              </w:rPr>
              <w:t>得</w:t>
            </w:r>
            <w:r>
              <w:rPr>
                <w:rFonts w:hint="eastAsia" w:ascii="仿宋" w:hAnsi="仿宋" w:eastAsia="仿宋" w:cs="仿宋"/>
                <w:color w:val="auto"/>
                <w:sz w:val="21"/>
                <w:szCs w:val="21"/>
                <w:highlight w:val="none"/>
                <w:lang w:val="en-US" w:eastAsia="zh-CN"/>
              </w:rPr>
              <w:t>10</w:t>
            </w:r>
            <w:r>
              <w:rPr>
                <w:rFonts w:hint="eastAsia" w:ascii="仿宋" w:hAnsi="仿宋" w:eastAsia="仿宋" w:cs="仿宋"/>
                <w:color w:val="auto"/>
                <w:sz w:val="21"/>
                <w:szCs w:val="21"/>
                <w:highlight w:val="none"/>
              </w:rPr>
              <w:t>分；</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3</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处置措施</w:t>
            </w:r>
            <w:r>
              <w:rPr>
                <w:rFonts w:hint="eastAsia" w:ascii="仿宋" w:hAnsi="仿宋" w:eastAsia="仿宋" w:cs="仿宋"/>
                <w:color w:val="auto"/>
                <w:sz w:val="21"/>
                <w:szCs w:val="21"/>
                <w:highlight w:val="none"/>
                <w:lang w:val="en-US" w:eastAsia="zh-CN"/>
              </w:rPr>
              <w:t>不</w:t>
            </w:r>
            <w:r>
              <w:rPr>
                <w:rFonts w:hint="eastAsia" w:ascii="仿宋" w:hAnsi="仿宋" w:eastAsia="仿宋" w:cs="仿宋"/>
                <w:color w:val="auto"/>
                <w:sz w:val="21"/>
                <w:szCs w:val="21"/>
                <w:highlight w:val="none"/>
                <w:lang w:eastAsia="zh-CN"/>
              </w:rPr>
              <w:t>合理、</w:t>
            </w:r>
            <w:r>
              <w:rPr>
                <w:rFonts w:hint="eastAsia" w:ascii="仿宋" w:hAnsi="仿宋" w:eastAsia="仿宋" w:cs="仿宋"/>
                <w:color w:val="auto"/>
                <w:sz w:val="21"/>
                <w:szCs w:val="21"/>
                <w:highlight w:val="none"/>
                <w:lang w:val="en-US" w:eastAsia="zh-CN"/>
              </w:rPr>
              <w:t>不</w:t>
            </w:r>
            <w:r>
              <w:rPr>
                <w:rFonts w:hint="eastAsia" w:ascii="仿宋" w:hAnsi="仿宋" w:eastAsia="仿宋" w:cs="仿宋"/>
                <w:color w:val="auto"/>
                <w:sz w:val="21"/>
                <w:szCs w:val="21"/>
                <w:highlight w:val="none"/>
              </w:rPr>
              <w:t>可行</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不</w:t>
            </w:r>
            <w:r>
              <w:rPr>
                <w:rFonts w:hint="eastAsia" w:ascii="仿宋" w:hAnsi="仿宋" w:eastAsia="仿宋" w:cs="仿宋"/>
                <w:color w:val="auto"/>
                <w:sz w:val="21"/>
                <w:szCs w:val="21"/>
                <w:highlight w:val="none"/>
                <w:lang w:eastAsia="zh-CN"/>
              </w:rPr>
              <w:t>符合</w:t>
            </w:r>
            <w:r>
              <w:rPr>
                <w:rFonts w:hint="eastAsia" w:ascii="仿宋" w:hAnsi="仿宋" w:eastAsia="仿宋" w:cs="仿宋"/>
                <w:color w:val="auto"/>
                <w:sz w:val="21"/>
                <w:szCs w:val="21"/>
                <w:highlight w:val="none"/>
                <w:lang w:val="en-US" w:eastAsia="zh-CN"/>
              </w:rPr>
              <w:t>项目</w:t>
            </w:r>
            <w:r>
              <w:rPr>
                <w:rFonts w:hint="eastAsia" w:ascii="仿宋" w:hAnsi="仿宋" w:eastAsia="仿宋" w:cs="仿宋"/>
                <w:color w:val="auto"/>
                <w:sz w:val="21"/>
                <w:szCs w:val="21"/>
                <w:highlight w:val="none"/>
                <w:lang w:eastAsia="zh-CN"/>
              </w:rPr>
              <w:t>要求</w:t>
            </w:r>
            <w:r>
              <w:rPr>
                <w:rFonts w:hint="eastAsia" w:ascii="仿宋" w:hAnsi="仿宋" w:eastAsia="仿宋" w:cs="仿宋"/>
                <w:color w:val="auto"/>
                <w:sz w:val="21"/>
                <w:szCs w:val="21"/>
                <w:highlight w:val="none"/>
                <w:lang w:val="en-US" w:eastAsia="zh-CN"/>
              </w:rPr>
              <w:t>的</w:t>
            </w:r>
            <w:r>
              <w:rPr>
                <w:rFonts w:hint="eastAsia" w:ascii="仿宋" w:hAnsi="仿宋" w:eastAsia="仿宋" w:cs="仿宋"/>
                <w:color w:val="auto"/>
                <w:sz w:val="21"/>
                <w:szCs w:val="21"/>
                <w:highlight w:val="none"/>
              </w:rPr>
              <w:t>，</w:t>
            </w:r>
            <w:r>
              <w:rPr>
                <w:rFonts w:hint="eastAsia" w:ascii="仿宋" w:hAnsi="仿宋" w:eastAsia="仿宋" w:cs="仿宋"/>
                <w:color w:val="auto"/>
                <w:sz w:val="21"/>
                <w:szCs w:val="21"/>
                <w:highlight w:val="none"/>
                <w:lang w:eastAsia="zh-CN"/>
              </w:rPr>
              <w:t>得</w:t>
            </w:r>
            <w:r>
              <w:rPr>
                <w:rFonts w:hint="eastAsia" w:ascii="仿宋" w:hAnsi="仿宋" w:eastAsia="仿宋" w:cs="仿宋"/>
                <w:color w:val="auto"/>
                <w:sz w:val="21"/>
                <w:szCs w:val="21"/>
                <w:highlight w:val="none"/>
                <w:lang w:val="en-US" w:eastAsia="zh-CN"/>
              </w:rPr>
              <w:t>5</w:t>
            </w:r>
            <w:r>
              <w:rPr>
                <w:rFonts w:hint="eastAsia" w:ascii="仿宋" w:hAnsi="仿宋" w:eastAsia="仿宋" w:cs="仿宋"/>
                <w:color w:val="auto"/>
                <w:sz w:val="21"/>
                <w:szCs w:val="21"/>
                <w:highlight w:val="none"/>
              </w:rPr>
              <w:t>分；</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4</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未提供</w:t>
            </w:r>
            <w:r>
              <w:rPr>
                <w:rFonts w:hint="eastAsia" w:ascii="仿宋" w:hAnsi="仿宋" w:eastAsia="仿宋" w:cs="仿宋"/>
                <w:color w:val="auto"/>
                <w:sz w:val="21"/>
                <w:szCs w:val="21"/>
                <w:highlight w:val="none"/>
                <w:lang w:val="en-US" w:eastAsia="zh-CN"/>
              </w:rPr>
              <w:t>不</w:t>
            </w:r>
            <w:r>
              <w:rPr>
                <w:rFonts w:hint="eastAsia" w:ascii="仿宋" w:hAnsi="仿宋" w:eastAsia="仿宋" w:cs="仿宋"/>
                <w:color w:val="auto"/>
                <w:sz w:val="21"/>
                <w:szCs w:val="21"/>
                <w:highlight w:val="none"/>
              </w:rPr>
              <w:t>得分</w:t>
            </w:r>
            <w:r>
              <w:rPr>
                <w:rFonts w:hint="eastAsia" w:ascii="仿宋" w:hAnsi="仿宋" w:eastAsia="仿宋" w:cs="仿宋"/>
                <w:color w:val="auto"/>
                <w:sz w:val="21"/>
                <w:szCs w:val="21"/>
                <w:highlight w:val="none"/>
                <w:lang w:eastAsia="zh-CN"/>
              </w:rPr>
              <w:t>。</w:t>
            </w:r>
          </w:p>
        </w:tc>
        <w:tc>
          <w:tcPr>
            <w:tcW w:w="24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28"/>
              <w:jc w:val="center"/>
              <w:textAlignment w:val="auto"/>
              <w:rPr>
                <w:rFonts w:hint="eastAsia" w:ascii="仿宋" w:hAnsi="仿宋" w:eastAsia="仿宋" w:cs="仿宋"/>
                <w:color w:val="auto"/>
                <w:sz w:val="21"/>
                <w:szCs w:val="21"/>
                <w:highlight w:val="none"/>
              </w:rPr>
            </w:pPr>
          </w:p>
        </w:tc>
        <w:tc>
          <w:tcPr>
            <w:tcW w:w="14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28"/>
              <w:jc w:val="center"/>
              <w:textAlignment w:val="auto"/>
              <w:rPr>
                <w:rFonts w:hint="eastAsia" w:ascii="仿宋" w:hAnsi="仿宋" w:eastAsia="仿宋" w:cs="仿宋"/>
                <w:color w:val="auto"/>
                <w:sz w:val="21"/>
                <w:szCs w:val="21"/>
                <w:highlight w:val="none"/>
              </w:rPr>
            </w:pPr>
          </w:p>
        </w:tc>
        <w:tc>
          <w:tcPr>
            <w:tcW w:w="7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15分</w:t>
            </w:r>
          </w:p>
        </w:tc>
        <w:tc>
          <w:tcPr>
            <w:tcW w:w="41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rPr>
              <w:t>针对本项目咨询</w:t>
            </w:r>
            <w:r>
              <w:rPr>
                <w:rFonts w:hint="eastAsia" w:ascii="仿宋" w:hAnsi="仿宋" w:eastAsia="仿宋" w:cs="仿宋"/>
                <w:color w:val="auto"/>
                <w:sz w:val="21"/>
                <w:szCs w:val="21"/>
                <w:highlight w:val="none"/>
                <w:lang w:val="en-US" w:eastAsia="zh-CN"/>
              </w:rPr>
              <w:t>方</w:t>
            </w:r>
            <w:r>
              <w:rPr>
                <w:rFonts w:hint="eastAsia" w:ascii="仿宋" w:hAnsi="仿宋" w:eastAsia="仿宋" w:cs="仿宋"/>
                <w:color w:val="auto"/>
                <w:sz w:val="21"/>
                <w:szCs w:val="21"/>
                <w:highlight w:val="none"/>
              </w:rPr>
              <w:t>技术力量配</w:t>
            </w:r>
            <w:r>
              <w:rPr>
                <w:rFonts w:hint="eastAsia" w:ascii="仿宋" w:hAnsi="仿宋" w:eastAsia="仿宋" w:cs="仿宋"/>
                <w:color w:val="auto"/>
                <w:sz w:val="21"/>
                <w:szCs w:val="21"/>
                <w:highlight w:val="none"/>
                <w:lang w:val="en-US" w:eastAsia="zh-CN"/>
              </w:rPr>
              <w:t>备</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分工</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项目</w:t>
            </w:r>
            <w:r>
              <w:rPr>
                <w:rFonts w:hint="eastAsia" w:ascii="仿宋" w:hAnsi="仿宋" w:eastAsia="仿宋" w:cs="仿宋"/>
                <w:color w:val="auto"/>
                <w:sz w:val="21"/>
                <w:szCs w:val="21"/>
                <w:highlight w:val="none"/>
                <w:lang w:val="en-US" w:eastAsia="zh-CN"/>
              </w:rPr>
              <w:t>造价</w:t>
            </w:r>
            <w:r>
              <w:rPr>
                <w:rFonts w:hint="eastAsia" w:ascii="仿宋" w:hAnsi="仿宋" w:eastAsia="仿宋" w:cs="仿宋"/>
                <w:color w:val="auto"/>
                <w:sz w:val="21"/>
                <w:szCs w:val="21"/>
                <w:highlight w:val="none"/>
              </w:rPr>
              <w:t>咨询人员岗位职责及制度</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专业人员配置满足项目需求</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15分</w:t>
            </w:r>
            <w:r>
              <w:rPr>
                <w:rFonts w:hint="eastAsia" w:ascii="仿宋" w:hAnsi="仿宋" w:eastAsia="仿宋" w:cs="仿宋"/>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（1）内容合理、明确、健全、满足项目</w:t>
            </w:r>
            <w:r>
              <w:rPr>
                <w:rFonts w:hint="eastAsia" w:ascii="仿宋" w:hAnsi="仿宋" w:eastAsia="仿宋" w:cs="仿宋"/>
                <w:color w:val="auto"/>
                <w:sz w:val="21"/>
                <w:szCs w:val="21"/>
                <w:highlight w:val="none"/>
                <w:lang w:eastAsia="zh-CN"/>
              </w:rPr>
              <w:t>要求</w:t>
            </w:r>
            <w:r>
              <w:rPr>
                <w:rFonts w:hint="eastAsia" w:ascii="仿宋" w:hAnsi="仿宋" w:eastAsia="仿宋" w:cs="仿宋"/>
                <w:color w:val="auto"/>
                <w:sz w:val="21"/>
                <w:szCs w:val="21"/>
                <w:highlight w:val="none"/>
                <w:lang w:val="en-US" w:eastAsia="zh-CN"/>
              </w:rPr>
              <w:t>的，得15分；</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hint="eastAsia" w:ascii="仿宋" w:hAnsi="仿宋" w:eastAsia="仿宋" w:cs="仿宋"/>
                <w:color w:val="auto"/>
                <w:sz w:val="21"/>
                <w:szCs w:val="21"/>
                <w:highlight w:val="none"/>
                <w:lang w:val="en-US"/>
              </w:rPr>
            </w:pPr>
            <w:r>
              <w:rPr>
                <w:rFonts w:hint="eastAsia" w:ascii="仿宋" w:hAnsi="仿宋" w:eastAsia="仿宋" w:cs="仿宋"/>
                <w:color w:val="auto"/>
                <w:sz w:val="21"/>
                <w:szCs w:val="21"/>
                <w:highlight w:val="none"/>
                <w:lang w:val="en-US" w:eastAsia="zh-CN"/>
              </w:rPr>
              <w:t>（2）内容较合理、较明确、较健全、较满足项目</w:t>
            </w:r>
            <w:r>
              <w:rPr>
                <w:rFonts w:hint="eastAsia" w:ascii="仿宋" w:hAnsi="仿宋" w:eastAsia="仿宋" w:cs="仿宋"/>
                <w:color w:val="auto"/>
                <w:sz w:val="21"/>
                <w:szCs w:val="21"/>
                <w:highlight w:val="none"/>
                <w:lang w:eastAsia="zh-CN"/>
              </w:rPr>
              <w:t>要求</w:t>
            </w:r>
            <w:r>
              <w:rPr>
                <w:rFonts w:hint="eastAsia" w:ascii="仿宋" w:hAnsi="仿宋" w:eastAsia="仿宋" w:cs="仿宋"/>
                <w:color w:val="auto"/>
                <w:sz w:val="21"/>
                <w:szCs w:val="21"/>
                <w:highlight w:val="none"/>
                <w:lang w:val="en-US" w:eastAsia="zh-CN"/>
              </w:rPr>
              <w:t>的，得10分；</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（3）内容不合理、不明确、不健全、不满足项目</w:t>
            </w:r>
            <w:r>
              <w:rPr>
                <w:rFonts w:hint="eastAsia" w:ascii="仿宋" w:hAnsi="仿宋" w:eastAsia="仿宋" w:cs="仿宋"/>
                <w:color w:val="auto"/>
                <w:sz w:val="21"/>
                <w:szCs w:val="21"/>
                <w:highlight w:val="none"/>
                <w:lang w:eastAsia="zh-CN"/>
              </w:rPr>
              <w:t>要求</w:t>
            </w:r>
            <w:r>
              <w:rPr>
                <w:rFonts w:hint="eastAsia" w:ascii="仿宋" w:hAnsi="仿宋" w:eastAsia="仿宋" w:cs="仿宋"/>
                <w:color w:val="auto"/>
                <w:sz w:val="21"/>
                <w:szCs w:val="21"/>
                <w:highlight w:val="none"/>
                <w:lang w:val="en-US" w:eastAsia="zh-CN"/>
              </w:rPr>
              <w:t>的，得5分；</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hint="eastAsia" w:ascii="仿宋" w:hAnsi="仿宋" w:eastAsia="仿宋" w:cs="仿宋"/>
                <w:color w:val="auto"/>
                <w:sz w:val="21"/>
                <w:szCs w:val="21"/>
                <w:highlight w:val="none"/>
                <w:lang w:val="en-US"/>
              </w:rPr>
            </w:pP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4</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未提供</w:t>
            </w:r>
            <w:r>
              <w:rPr>
                <w:rFonts w:hint="eastAsia" w:ascii="仿宋" w:hAnsi="仿宋" w:eastAsia="仿宋" w:cs="仿宋"/>
                <w:color w:val="auto"/>
                <w:sz w:val="21"/>
                <w:szCs w:val="21"/>
                <w:highlight w:val="none"/>
                <w:lang w:val="en-US" w:eastAsia="zh-CN"/>
              </w:rPr>
              <w:t>不</w:t>
            </w:r>
            <w:r>
              <w:rPr>
                <w:rFonts w:hint="eastAsia" w:ascii="仿宋" w:hAnsi="仿宋" w:eastAsia="仿宋" w:cs="仿宋"/>
                <w:color w:val="auto"/>
                <w:sz w:val="21"/>
                <w:szCs w:val="21"/>
                <w:highlight w:val="none"/>
              </w:rPr>
              <w:t>得分</w:t>
            </w:r>
            <w:r>
              <w:rPr>
                <w:rFonts w:hint="eastAsia" w:ascii="仿宋" w:hAnsi="仿宋" w:eastAsia="仿宋" w:cs="仿宋"/>
                <w:color w:val="auto"/>
                <w:sz w:val="21"/>
                <w:szCs w:val="21"/>
                <w:highlight w:val="none"/>
                <w:lang w:eastAsia="zh-CN"/>
              </w:rPr>
              <w:t>。</w:t>
            </w:r>
          </w:p>
        </w:tc>
        <w:tc>
          <w:tcPr>
            <w:tcW w:w="24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28"/>
              <w:jc w:val="center"/>
              <w:textAlignment w:val="auto"/>
              <w:rPr>
                <w:rFonts w:hint="eastAsia" w:ascii="仿宋" w:hAnsi="仿宋" w:eastAsia="仿宋" w:cs="仿宋"/>
                <w:color w:val="auto"/>
                <w:sz w:val="21"/>
                <w:szCs w:val="21"/>
                <w:highlight w:val="none"/>
              </w:rPr>
            </w:pPr>
          </w:p>
        </w:tc>
        <w:tc>
          <w:tcPr>
            <w:tcW w:w="14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28"/>
              <w:jc w:val="center"/>
              <w:textAlignment w:val="auto"/>
              <w:rPr>
                <w:rFonts w:hint="eastAsia" w:ascii="仿宋" w:hAnsi="仿宋" w:eastAsia="仿宋" w:cs="仿宋"/>
                <w:color w:val="auto"/>
                <w:sz w:val="21"/>
                <w:szCs w:val="21"/>
                <w:highlight w:val="none"/>
              </w:rPr>
            </w:pPr>
          </w:p>
        </w:tc>
        <w:tc>
          <w:tcPr>
            <w:tcW w:w="7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15分</w:t>
            </w:r>
          </w:p>
        </w:tc>
        <w:tc>
          <w:tcPr>
            <w:tcW w:w="41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rPr>
              <w:t>针对本项目</w:t>
            </w:r>
            <w:r>
              <w:rPr>
                <w:rFonts w:hint="eastAsia" w:ascii="仿宋" w:hAnsi="仿宋" w:eastAsia="仿宋" w:cs="仿宋"/>
                <w:color w:val="auto"/>
                <w:sz w:val="21"/>
                <w:szCs w:val="21"/>
                <w:highlight w:val="none"/>
                <w:lang w:val="en-US" w:eastAsia="zh-CN"/>
              </w:rPr>
              <w:t>制定</w:t>
            </w:r>
            <w:r>
              <w:rPr>
                <w:rFonts w:hint="eastAsia" w:ascii="仿宋" w:hAnsi="仿宋" w:eastAsia="仿宋" w:cs="仿宋"/>
                <w:color w:val="auto"/>
                <w:sz w:val="21"/>
                <w:szCs w:val="21"/>
                <w:highlight w:val="none"/>
              </w:rPr>
              <w:t>质量保证措施和</w:t>
            </w:r>
            <w:r>
              <w:rPr>
                <w:rFonts w:hint="eastAsia" w:ascii="仿宋" w:hAnsi="仿宋" w:eastAsia="仿宋" w:cs="仿宋"/>
                <w:color w:val="auto"/>
                <w:sz w:val="21"/>
                <w:szCs w:val="21"/>
                <w:highlight w:val="none"/>
                <w:lang w:val="en-US" w:eastAsia="zh-CN"/>
              </w:rPr>
              <w:t>进度管理措施（15分）</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1</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措施</w:t>
            </w:r>
            <w:r>
              <w:rPr>
                <w:rFonts w:hint="eastAsia" w:ascii="仿宋" w:hAnsi="仿宋" w:eastAsia="仿宋" w:cs="仿宋"/>
                <w:color w:val="auto"/>
                <w:sz w:val="21"/>
                <w:szCs w:val="21"/>
                <w:highlight w:val="none"/>
                <w:lang w:eastAsia="zh-CN"/>
              </w:rPr>
              <w:t>合理、</w:t>
            </w:r>
            <w:r>
              <w:rPr>
                <w:rFonts w:hint="eastAsia" w:ascii="仿宋" w:hAnsi="仿宋" w:eastAsia="仿宋" w:cs="仿宋"/>
                <w:color w:val="auto"/>
                <w:sz w:val="21"/>
                <w:szCs w:val="21"/>
                <w:highlight w:val="none"/>
              </w:rPr>
              <w:t>可行</w:t>
            </w:r>
            <w:r>
              <w:rPr>
                <w:rFonts w:hint="eastAsia" w:ascii="仿宋" w:hAnsi="仿宋" w:eastAsia="仿宋" w:cs="仿宋"/>
                <w:color w:val="auto"/>
                <w:sz w:val="21"/>
                <w:szCs w:val="21"/>
                <w:highlight w:val="none"/>
                <w:lang w:eastAsia="zh-CN"/>
              </w:rPr>
              <w:t>，符合</w:t>
            </w:r>
            <w:r>
              <w:rPr>
                <w:rFonts w:hint="eastAsia" w:ascii="仿宋" w:hAnsi="仿宋" w:eastAsia="仿宋" w:cs="仿宋"/>
                <w:color w:val="auto"/>
                <w:sz w:val="21"/>
                <w:szCs w:val="21"/>
                <w:highlight w:val="none"/>
                <w:lang w:val="en-US" w:eastAsia="zh-CN"/>
              </w:rPr>
              <w:t>项目</w:t>
            </w:r>
            <w:r>
              <w:rPr>
                <w:rFonts w:hint="eastAsia" w:ascii="仿宋" w:hAnsi="仿宋" w:eastAsia="仿宋" w:cs="仿宋"/>
                <w:color w:val="auto"/>
                <w:sz w:val="21"/>
                <w:szCs w:val="21"/>
                <w:highlight w:val="none"/>
                <w:lang w:eastAsia="zh-CN"/>
              </w:rPr>
              <w:t>要求</w:t>
            </w:r>
            <w:r>
              <w:rPr>
                <w:rFonts w:hint="eastAsia" w:ascii="仿宋" w:hAnsi="仿宋" w:eastAsia="仿宋" w:cs="仿宋"/>
                <w:color w:val="auto"/>
                <w:sz w:val="21"/>
                <w:szCs w:val="21"/>
                <w:highlight w:val="none"/>
                <w:lang w:val="en-US" w:eastAsia="zh-CN"/>
              </w:rPr>
              <w:t>的</w:t>
            </w:r>
            <w:r>
              <w:rPr>
                <w:rFonts w:hint="eastAsia" w:ascii="仿宋" w:hAnsi="仿宋" w:eastAsia="仿宋" w:cs="仿宋"/>
                <w:color w:val="auto"/>
                <w:sz w:val="21"/>
                <w:szCs w:val="21"/>
                <w:highlight w:val="none"/>
              </w:rPr>
              <w:t>，</w:t>
            </w:r>
            <w:r>
              <w:rPr>
                <w:rFonts w:hint="eastAsia" w:ascii="仿宋" w:hAnsi="仿宋" w:eastAsia="仿宋" w:cs="仿宋"/>
                <w:color w:val="auto"/>
                <w:sz w:val="21"/>
                <w:szCs w:val="21"/>
                <w:highlight w:val="none"/>
                <w:lang w:eastAsia="zh-CN"/>
              </w:rPr>
              <w:t>得</w:t>
            </w:r>
            <w:r>
              <w:rPr>
                <w:rFonts w:hint="eastAsia" w:ascii="仿宋" w:hAnsi="仿宋" w:eastAsia="仿宋" w:cs="仿宋"/>
                <w:color w:val="auto"/>
                <w:sz w:val="21"/>
                <w:szCs w:val="21"/>
                <w:highlight w:val="none"/>
                <w:lang w:val="en-US" w:eastAsia="zh-CN"/>
              </w:rPr>
              <w:t>15</w:t>
            </w:r>
            <w:r>
              <w:rPr>
                <w:rFonts w:hint="eastAsia" w:ascii="仿宋" w:hAnsi="仿宋" w:eastAsia="仿宋" w:cs="仿宋"/>
                <w:color w:val="auto"/>
                <w:sz w:val="21"/>
                <w:szCs w:val="21"/>
                <w:highlight w:val="none"/>
              </w:rPr>
              <w:t>分；</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2</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措施</w:t>
            </w:r>
            <w:r>
              <w:rPr>
                <w:rFonts w:hint="eastAsia" w:ascii="仿宋" w:hAnsi="仿宋" w:eastAsia="仿宋" w:cs="仿宋"/>
                <w:color w:val="auto"/>
                <w:sz w:val="21"/>
                <w:szCs w:val="21"/>
                <w:highlight w:val="none"/>
                <w:lang w:val="en-US" w:eastAsia="zh-CN"/>
              </w:rPr>
              <w:t>较</w:t>
            </w:r>
            <w:r>
              <w:rPr>
                <w:rFonts w:hint="eastAsia" w:ascii="仿宋" w:hAnsi="仿宋" w:eastAsia="仿宋" w:cs="仿宋"/>
                <w:color w:val="auto"/>
                <w:sz w:val="21"/>
                <w:szCs w:val="21"/>
                <w:highlight w:val="none"/>
                <w:lang w:eastAsia="zh-CN"/>
              </w:rPr>
              <w:t>合理、</w:t>
            </w:r>
            <w:r>
              <w:rPr>
                <w:rFonts w:hint="eastAsia" w:ascii="仿宋" w:hAnsi="仿宋" w:eastAsia="仿宋" w:cs="仿宋"/>
                <w:color w:val="auto"/>
                <w:sz w:val="21"/>
                <w:szCs w:val="21"/>
                <w:highlight w:val="none"/>
                <w:lang w:val="en-US" w:eastAsia="zh-CN"/>
              </w:rPr>
              <w:t>较</w:t>
            </w:r>
            <w:r>
              <w:rPr>
                <w:rFonts w:hint="eastAsia" w:ascii="仿宋" w:hAnsi="仿宋" w:eastAsia="仿宋" w:cs="仿宋"/>
                <w:color w:val="auto"/>
                <w:sz w:val="21"/>
                <w:szCs w:val="21"/>
                <w:highlight w:val="none"/>
              </w:rPr>
              <w:t>可行</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较</w:t>
            </w:r>
            <w:r>
              <w:rPr>
                <w:rFonts w:hint="eastAsia" w:ascii="仿宋" w:hAnsi="仿宋" w:eastAsia="仿宋" w:cs="仿宋"/>
                <w:color w:val="auto"/>
                <w:sz w:val="21"/>
                <w:szCs w:val="21"/>
                <w:highlight w:val="none"/>
                <w:lang w:eastAsia="zh-CN"/>
              </w:rPr>
              <w:t>符合</w:t>
            </w:r>
            <w:r>
              <w:rPr>
                <w:rFonts w:hint="eastAsia" w:ascii="仿宋" w:hAnsi="仿宋" w:eastAsia="仿宋" w:cs="仿宋"/>
                <w:color w:val="auto"/>
                <w:sz w:val="21"/>
                <w:szCs w:val="21"/>
                <w:highlight w:val="none"/>
                <w:lang w:val="en-US" w:eastAsia="zh-CN"/>
              </w:rPr>
              <w:t>项目</w:t>
            </w:r>
            <w:r>
              <w:rPr>
                <w:rFonts w:hint="eastAsia" w:ascii="仿宋" w:hAnsi="仿宋" w:eastAsia="仿宋" w:cs="仿宋"/>
                <w:color w:val="auto"/>
                <w:sz w:val="21"/>
                <w:szCs w:val="21"/>
                <w:highlight w:val="none"/>
                <w:lang w:eastAsia="zh-CN"/>
              </w:rPr>
              <w:t>要求</w:t>
            </w:r>
            <w:r>
              <w:rPr>
                <w:rFonts w:hint="eastAsia" w:ascii="仿宋" w:hAnsi="仿宋" w:eastAsia="仿宋" w:cs="仿宋"/>
                <w:color w:val="auto"/>
                <w:sz w:val="21"/>
                <w:szCs w:val="21"/>
                <w:highlight w:val="none"/>
                <w:lang w:val="en-US" w:eastAsia="zh-CN"/>
              </w:rPr>
              <w:t>的</w:t>
            </w:r>
            <w:r>
              <w:rPr>
                <w:rFonts w:hint="eastAsia" w:ascii="仿宋" w:hAnsi="仿宋" w:eastAsia="仿宋" w:cs="仿宋"/>
                <w:color w:val="auto"/>
                <w:sz w:val="21"/>
                <w:szCs w:val="21"/>
                <w:highlight w:val="none"/>
              </w:rPr>
              <w:t>，</w:t>
            </w:r>
            <w:r>
              <w:rPr>
                <w:rFonts w:hint="eastAsia" w:ascii="仿宋" w:hAnsi="仿宋" w:eastAsia="仿宋" w:cs="仿宋"/>
                <w:color w:val="auto"/>
                <w:sz w:val="21"/>
                <w:szCs w:val="21"/>
                <w:highlight w:val="none"/>
                <w:lang w:eastAsia="zh-CN"/>
              </w:rPr>
              <w:t>得</w:t>
            </w:r>
            <w:r>
              <w:rPr>
                <w:rFonts w:hint="eastAsia" w:ascii="仿宋" w:hAnsi="仿宋" w:eastAsia="仿宋" w:cs="仿宋"/>
                <w:color w:val="auto"/>
                <w:sz w:val="21"/>
                <w:szCs w:val="21"/>
                <w:highlight w:val="none"/>
                <w:lang w:val="en-US" w:eastAsia="zh-CN"/>
              </w:rPr>
              <w:t>10</w:t>
            </w:r>
            <w:r>
              <w:rPr>
                <w:rFonts w:hint="eastAsia" w:ascii="仿宋" w:hAnsi="仿宋" w:eastAsia="仿宋" w:cs="仿宋"/>
                <w:color w:val="auto"/>
                <w:sz w:val="21"/>
                <w:szCs w:val="21"/>
                <w:highlight w:val="none"/>
              </w:rPr>
              <w:t>分；</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3</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措施</w:t>
            </w:r>
            <w:r>
              <w:rPr>
                <w:rFonts w:hint="eastAsia" w:ascii="仿宋" w:hAnsi="仿宋" w:eastAsia="仿宋" w:cs="仿宋"/>
                <w:color w:val="auto"/>
                <w:sz w:val="21"/>
                <w:szCs w:val="21"/>
                <w:highlight w:val="none"/>
                <w:lang w:val="en-US" w:eastAsia="zh-CN"/>
              </w:rPr>
              <w:t>不</w:t>
            </w:r>
            <w:r>
              <w:rPr>
                <w:rFonts w:hint="eastAsia" w:ascii="仿宋" w:hAnsi="仿宋" w:eastAsia="仿宋" w:cs="仿宋"/>
                <w:color w:val="auto"/>
                <w:sz w:val="21"/>
                <w:szCs w:val="21"/>
                <w:highlight w:val="none"/>
                <w:lang w:eastAsia="zh-CN"/>
              </w:rPr>
              <w:t>合理、</w:t>
            </w:r>
            <w:r>
              <w:rPr>
                <w:rFonts w:hint="eastAsia" w:ascii="仿宋" w:hAnsi="仿宋" w:eastAsia="仿宋" w:cs="仿宋"/>
                <w:color w:val="auto"/>
                <w:sz w:val="21"/>
                <w:szCs w:val="21"/>
                <w:highlight w:val="none"/>
                <w:lang w:val="en-US" w:eastAsia="zh-CN"/>
              </w:rPr>
              <w:t>不</w:t>
            </w:r>
            <w:r>
              <w:rPr>
                <w:rFonts w:hint="eastAsia" w:ascii="仿宋" w:hAnsi="仿宋" w:eastAsia="仿宋" w:cs="仿宋"/>
                <w:color w:val="auto"/>
                <w:sz w:val="21"/>
                <w:szCs w:val="21"/>
                <w:highlight w:val="none"/>
              </w:rPr>
              <w:t>可行</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不</w:t>
            </w:r>
            <w:r>
              <w:rPr>
                <w:rFonts w:hint="eastAsia" w:ascii="仿宋" w:hAnsi="仿宋" w:eastAsia="仿宋" w:cs="仿宋"/>
                <w:color w:val="auto"/>
                <w:sz w:val="21"/>
                <w:szCs w:val="21"/>
                <w:highlight w:val="none"/>
                <w:lang w:eastAsia="zh-CN"/>
              </w:rPr>
              <w:t>符合</w:t>
            </w:r>
            <w:r>
              <w:rPr>
                <w:rFonts w:hint="eastAsia" w:ascii="仿宋" w:hAnsi="仿宋" w:eastAsia="仿宋" w:cs="仿宋"/>
                <w:color w:val="auto"/>
                <w:sz w:val="21"/>
                <w:szCs w:val="21"/>
                <w:highlight w:val="none"/>
                <w:lang w:val="en-US" w:eastAsia="zh-CN"/>
              </w:rPr>
              <w:t>项目</w:t>
            </w:r>
            <w:r>
              <w:rPr>
                <w:rFonts w:hint="eastAsia" w:ascii="仿宋" w:hAnsi="仿宋" w:eastAsia="仿宋" w:cs="仿宋"/>
                <w:color w:val="auto"/>
                <w:sz w:val="21"/>
                <w:szCs w:val="21"/>
                <w:highlight w:val="none"/>
                <w:lang w:eastAsia="zh-CN"/>
              </w:rPr>
              <w:t>要求</w:t>
            </w:r>
            <w:r>
              <w:rPr>
                <w:rFonts w:hint="eastAsia" w:ascii="仿宋" w:hAnsi="仿宋" w:eastAsia="仿宋" w:cs="仿宋"/>
                <w:color w:val="auto"/>
                <w:sz w:val="21"/>
                <w:szCs w:val="21"/>
                <w:highlight w:val="none"/>
                <w:lang w:val="en-US" w:eastAsia="zh-CN"/>
              </w:rPr>
              <w:t>的</w:t>
            </w:r>
            <w:r>
              <w:rPr>
                <w:rFonts w:hint="eastAsia" w:ascii="仿宋" w:hAnsi="仿宋" w:eastAsia="仿宋" w:cs="仿宋"/>
                <w:color w:val="auto"/>
                <w:sz w:val="21"/>
                <w:szCs w:val="21"/>
                <w:highlight w:val="none"/>
              </w:rPr>
              <w:t>，</w:t>
            </w:r>
            <w:r>
              <w:rPr>
                <w:rFonts w:hint="eastAsia" w:ascii="仿宋" w:hAnsi="仿宋" w:eastAsia="仿宋" w:cs="仿宋"/>
                <w:color w:val="auto"/>
                <w:sz w:val="21"/>
                <w:szCs w:val="21"/>
                <w:highlight w:val="none"/>
                <w:lang w:eastAsia="zh-CN"/>
              </w:rPr>
              <w:t>得</w:t>
            </w:r>
            <w:r>
              <w:rPr>
                <w:rFonts w:hint="eastAsia" w:ascii="仿宋" w:hAnsi="仿宋" w:eastAsia="仿宋" w:cs="仿宋"/>
                <w:color w:val="auto"/>
                <w:sz w:val="21"/>
                <w:szCs w:val="21"/>
                <w:highlight w:val="none"/>
                <w:lang w:val="en-US" w:eastAsia="zh-CN"/>
              </w:rPr>
              <w:t>5</w:t>
            </w:r>
            <w:r>
              <w:rPr>
                <w:rFonts w:hint="eastAsia" w:ascii="仿宋" w:hAnsi="仿宋" w:eastAsia="仿宋" w:cs="仿宋"/>
                <w:color w:val="auto"/>
                <w:sz w:val="21"/>
                <w:szCs w:val="21"/>
                <w:highlight w:val="none"/>
              </w:rPr>
              <w:t>分；</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hint="eastAsia" w:ascii="仿宋" w:hAnsi="仿宋" w:eastAsia="仿宋" w:cs="仿宋"/>
                <w:color w:val="auto"/>
                <w:sz w:val="21"/>
                <w:szCs w:val="21"/>
                <w:highlight w:val="none"/>
                <w:lang w:val="en-US"/>
              </w:rPr>
            </w:pP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4</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未提供</w:t>
            </w:r>
            <w:r>
              <w:rPr>
                <w:rFonts w:hint="eastAsia" w:ascii="仿宋" w:hAnsi="仿宋" w:eastAsia="仿宋" w:cs="仿宋"/>
                <w:color w:val="auto"/>
                <w:sz w:val="21"/>
                <w:szCs w:val="21"/>
                <w:highlight w:val="none"/>
                <w:lang w:val="en-US" w:eastAsia="zh-CN"/>
              </w:rPr>
              <w:t>不</w:t>
            </w:r>
            <w:r>
              <w:rPr>
                <w:rFonts w:hint="eastAsia" w:ascii="仿宋" w:hAnsi="仿宋" w:eastAsia="仿宋" w:cs="仿宋"/>
                <w:color w:val="auto"/>
                <w:sz w:val="21"/>
                <w:szCs w:val="21"/>
                <w:highlight w:val="none"/>
              </w:rPr>
              <w:t>得分</w:t>
            </w:r>
            <w:r>
              <w:rPr>
                <w:rFonts w:hint="eastAsia" w:ascii="仿宋" w:hAnsi="仿宋" w:eastAsia="仿宋" w:cs="仿宋"/>
                <w:color w:val="auto"/>
                <w:sz w:val="21"/>
                <w:szCs w:val="21"/>
                <w:highlight w:val="none"/>
                <w:lang w:eastAsia="zh-CN"/>
              </w:rPr>
              <w:t>。</w:t>
            </w:r>
          </w:p>
        </w:tc>
        <w:tc>
          <w:tcPr>
            <w:tcW w:w="24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Merge w:val="continue"/>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28"/>
              <w:jc w:val="center"/>
              <w:textAlignment w:val="auto"/>
              <w:rPr>
                <w:rFonts w:hint="eastAsia" w:ascii="仿宋" w:hAnsi="仿宋" w:eastAsia="仿宋" w:cs="仿宋"/>
                <w:color w:val="auto"/>
                <w:sz w:val="21"/>
                <w:szCs w:val="21"/>
                <w:highlight w:val="none"/>
              </w:rPr>
            </w:pPr>
          </w:p>
        </w:tc>
        <w:tc>
          <w:tcPr>
            <w:tcW w:w="1478" w:type="dxa"/>
            <w:vMerge w:val="continue"/>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28"/>
              <w:jc w:val="center"/>
              <w:textAlignment w:val="auto"/>
              <w:rPr>
                <w:rFonts w:hint="eastAsia" w:ascii="仿宋" w:hAnsi="仿宋" w:eastAsia="仿宋" w:cs="仿宋"/>
                <w:color w:val="auto"/>
                <w:sz w:val="21"/>
                <w:szCs w:val="21"/>
                <w:highlight w:val="none"/>
              </w:rPr>
            </w:pPr>
          </w:p>
        </w:tc>
        <w:tc>
          <w:tcPr>
            <w:tcW w:w="7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10分</w:t>
            </w:r>
          </w:p>
        </w:tc>
        <w:tc>
          <w:tcPr>
            <w:tcW w:w="41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rPr>
              <w:t>针对本项目制定严格的廉政制度及良好的保障措施</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10分</w:t>
            </w:r>
            <w:r>
              <w:rPr>
                <w:rFonts w:hint="eastAsia" w:ascii="仿宋" w:hAnsi="仿宋" w:eastAsia="仿宋" w:cs="仿宋"/>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（1</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措施</w:t>
            </w:r>
            <w:r>
              <w:rPr>
                <w:rFonts w:hint="eastAsia" w:ascii="仿宋" w:hAnsi="仿宋" w:eastAsia="仿宋" w:cs="仿宋"/>
                <w:color w:val="auto"/>
                <w:sz w:val="21"/>
                <w:szCs w:val="21"/>
                <w:highlight w:val="none"/>
                <w:lang w:eastAsia="zh-CN"/>
              </w:rPr>
              <w:t>合理、</w:t>
            </w:r>
            <w:r>
              <w:rPr>
                <w:rFonts w:hint="eastAsia" w:ascii="仿宋" w:hAnsi="仿宋" w:eastAsia="仿宋" w:cs="仿宋"/>
                <w:color w:val="auto"/>
                <w:sz w:val="21"/>
                <w:szCs w:val="21"/>
                <w:highlight w:val="none"/>
              </w:rPr>
              <w:t>可行</w:t>
            </w:r>
            <w:r>
              <w:rPr>
                <w:rFonts w:hint="eastAsia" w:ascii="仿宋" w:hAnsi="仿宋" w:eastAsia="仿宋" w:cs="仿宋"/>
                <w:color w:val="auto"/>
                <w:sz w:val="21"/>
                <w:szCs w:val="21"/>
                <w:highlight w:val="none"/>
                <w:lang w:eastAsia="zh-CN"/>
              </w:rPr>
              <w:t>，符合</w:t>
            </w:r>
            <w:r>
              <w:rPr>
                <w:rFonts w:hint="eastAsia" w:ascii="仿宋" w:hAnsi="仿宋" w:eastAsia="仿宋" w:cs="仿宋"/>
                <w:color w:val="auto"/>
                <w:sz w:val="21"/>
                <w:szCs w:val="21"/>
                <w:highlight w:val="none"/>
                <w:lang w:val="en-US" w:eastAsia="zh-CN"/>
              </w:rPr>
              <w:t>项目</w:t>
            </w:r>
            <w:r>
              <w:rPr>
                <w:rFonts w:hint="eastAsia" w:ascii="仿宋" w:hAnsi="仿宋" w:eastAsia="仿宋" w:cs="仿宋"/>
                <w:color w:val="auto"/>
                <w:sz w:val="21"/>
                <w:szCs w:val="21"/>
                <w:highlight w:val="none"/>
                <w:lang w:eastAsia="zh-CN"/>
              </w:rPr>
              <w:t>要求</w:t>
            </w:r>
            <w:r>
              <w:rPr>
                <w:rFonts w:hint="eastAsia" w:ascii="仿宋" w:hAnsi="仿宋" w:eastAsia="仿宋" w:cs="仿宋"/>
                <w:color w:val="auto"/>
                <w:sz w:val="21"/>
                <w:szCs w:val="21"/>
                <w:highlight w:val="none"/>
                <w:lang w:val="en-US" w:eastAsia="zh-CN"/>
              </w:rPr>
              <w:t>的</w:t>
            </w:r>
            <w:r>
              <w:rPr>
                <w:rFonts w:hint="eastAsia" w:ascii="仿宋" w:hAnsi="仿宋" w:eastAsia="仿宋" w:cs="仿宋"/>
                <w:color w:val="auto"/>
                <w:sz w:val="21"/>
                <w:szCs w:val="21"/>
                <w:highlight w:val="none"/>
              </w:rPr>
              <w:t>，</w:t>
            </w:r>
            <w:r>
              <w:rPr>
                <w:rFonts w:hint="eastAsia" w:ascii="仿宋" w:hAnsi="仿宋" w:eastAsia="仿宋" w:cs="仿宋"/>
                <w:color w:val="auto"/>
                <w:sz w:val="21"/>
                <w:szCs w:val="21"/>
                <w:highlight w:val="none"/>
                <w:lang w:eastAsia="zh-CN"/>
              </w:rPr>
              <w:t>得</w:t>
            </w:r>
            <w:r>
              <w:rPr>
                <w:rFonts w:hint="eastAsia" w:ascii="仿宋" w:hAnsi="仿宋" w:eastAsia="仿宋" w:cs="仿宋"/>
                <w:color w:val="auto"/>
                <w:sz w:val="21"/>
                <w:szCs w:val="21"/>
                <w:highlight w:val="none"/>
                <w:lang w:val="en-US" w:eastAsia="zh-CN"/>
              </w:rPr>
              <w:t>10</w:t>
            </w:r>
            <w:r>
              <w:rPr>
                <w:rFonts w:hint="eastAsia" w:ascii="仿宋" w:hAnsi="仿宋" w:eastAsia="仿宋" w:cs="仿宋"/>
                <w:color w:val="auto"/>
                <w:sz w:val="21"/>
                <w:szCs w:val="21"/>
                <w:highlight w:val="none"/>
              </w:rPr>
              <w:t>分；</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2</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措施</w:t>
            </w:r>
            <w:r>
              <w:rPr>
                <w:rFonts w:hint="eastAsia" w:ascii="仿宋" w:hAnsi="仿宋" w:eastAsia="仿宋" w:cs="仿宋"/>
                <w:color w:val="auto"/>
                <w:sz w:val="21"/>
                <w:szCs w:val="21"/>
                <w:highlight w:val="none"/>
                <w:lang w:val="en-US" w:eastAsia="zh-CN"/>
              </w:rPr>
              <w:t>较</w:t>
            </w:r>
            <w:r>
              <w:rPr>
                <w:rFonts w:hint="eastAsia" w:ascii="仿宋" w:hAnsi="仿宋" w:eastAsia="仿宋" w:cs="仿宋"/>
                <w:color w:val="auto"/>
                <w:sz w:val="21"/>
                <w:szCs w:val="21"/>
                <w:highlight w:val="none"/>
                <w:lang w:eastAsia="zh-CN"/>
              </w:rPr>
              <w:t>合理、</w:t>
            </w:r>
            <w:r>
              <w:rPr>
                <w:rFonts w:hint="eastAsia" w:ascii="仿宋" w:hAnsi="仿宋" w:eastAsia="仿宋" w:cs="仿宋"/>
                <w:color w:val="auto"/>
                <w:sz w:val="21"/>
                <w:szCs w:val="21"/>
                <w:highlight w:val="none"/>
                <w:lang w:val="en-US" w:eastAsia="zh-CN"/>
              </w:rPr>
              <w:t>较</w:t>
            </w:r>
            <w:r>
              <w:rPr>
                <w:rFonts w:hint="eastAsia" w:ascii="仿宋" w:hAnsi="仿宋" w:eastAsia="仿宋" w:cs="仿宋"/>
                <w:color w:val="auto"/>
                <w:sz w:val="21"/>
                <w:szCs w:val="21"/>
                <w:highlight w:val="none"/>
              </w:rPr>
              <w:t>可行</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较</w:t>
            </w:r>
            <w:r>
              <w:rPr>
                <w:rFonts w:hint="eastAsia" w:ascii="仿宋" w:hAnsi="仿宋" w:eastAsia="仿宋" w:cs="仿宋"/>
                <w:color w:val="auto"/>
                <w:sz w:val="21"/>
                <w:szCs w:val="21"/>
                <w:highlight w:val="none"/>
                <w:lang w:eastAsia="zh-CN"/>
              </w:rPr>
              <w:t>符合</w:t>
            </w:r>
            <w:r>
              <w:rPr>
                <w:rFonts w:hint="eastAsia" w:ascii="仿宋" w:hAnsi="仿宋" w:eastAsia="仿宋" w:cs="仿宋"/>
                <w:color w:val="auto"/>
                <w:sz w:val="21"/>
                <w:szCs w:val="21"/>
                <w:highlight w:val="none"/>
                <w:lang w:val="en-US" w:eastAsia="zh-CN"/>
              </w:rPr>
              <w:t>项目</w:t>
            </w:r>
            <w:r>
              <w:rPr>
                <w:rFonts w:hint="eastAsia" w:ascii="仿宋" w:hAnsi="仿宋" w:eastAsia="仿宋" w:cs="仿宋"/>
                <w:color w:val="auto"/>
                <w:sz w:val="21"/>
                <w:szCs w:val="21"/>
                <w:highlight w:val="none"/>
                <w:lang w:eastAsia="zh-CN"/>
              </w:rPr>
              <w:t>要求</w:t>
            </w:r>
            <w:r>
              <w:rPr>
                <w:rFonts w:hint="eastAsia" w:ascii="仿宋" w:hAnsi="仿宋" w:eastAsia="仿宋" w:cs="仿宋"/>
                <w:color w:val="auto"/>
                <w:sz w:val="21"/>
                <w:szCs w:val="21"/>
                <w:highlight w:val="none"/>
                <w:lang w:val="en-US" w:eastAsia="zh-CN"/>
              </w:rPr>
              <w:t>的</w:t>
            </w:r>
            <w:r>
              <w:rPr>
                <w:rFonts w:hint="eastAsia" w:ascii="仿宋" w:hAnsi="仿宋" w:eastAsia="仿宋" w:cs="仿宋"/>
                <w:color w:val="auto"/>
                <w:sz w:val="21"/>
                <w:szCs w:val="21"/>
                <w:highlight w:val="none"/>
              </w:rPr>
              <w:t>，</w:t>
            </w:r>
            <w:r>
              <w:rPr>
                <w:rFonts w:hint="eastAsia" w:ascii="仿宋" w:hAnsi="仿宋" w:eastAsia="仿宋" w:cs="仿宋"/>
                <w:color w:val="auto"/>
                <w:sz w:val="21"/>
                <w:szCs w:val="21"/>
                <w:highlight w:val="none"/>
                <w:lang w:eastAsia="zh-CN"/>
              </w:rPr>
              <w:t>得</w:t>
            </w:r>
            <w:r>
              <w:rPr>
                <w:rFonts w:hint="eastAsia" w:ascii="仿宋" w:hAnsi="仿宋" w:eastAsia="仿宋" w:cs="仿宋"/>
                <w:color w:val="auto"/>
                <w:sz w:val="21"/>
                <w:szCs w:val="21"/>
                <w:highlight w:val="none"/>
                <w:lang w:val="en-US" w:eastAsia="zh-CN"/>
              </w:rPr>
              <w:t>7</w:t>
            </w:r>
            <w:r>
              <w:rPr>
                <w:rFonts w:hint="eastAsia" w:ascii="仿宋" w:hAnsi="仿宋" w:eastAsia="仿宋" w:cs="仿宋"/>
                <w:color w:val="auto"/>
                <w:sz w:val="21"/>
                <w:szCs w:val="21"/>
                <w:highlight w:val="none"/>
              </w:rPr>
              <w:t>分；</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3</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措施</w:t>
            </w:r>
            <w:r>
              <w:rPr>
                <w:rFonts w:hint="eastAsia" w:ascii="仿宋" w:hAnsi="仿宋" w:eastAsia="仿宋" w:cs="仿宋"/>
                <w:color w:val="auto"/>
                <w:sz w:val="21"/>
                <w:szCs w:val="21"/>
                <w:highlight w:val="none"/>
                <w:lang w:val="en-US" w:eastAsia="zh-CN"/>
              </w:rPr>
              <w:t>不</w:t>
            </w:r>
            <w:r>
              <w:rPr>
                <w:rFonts w:hint="eastAsia" w:ascii="仿宋" w:hAnsi="仿宋" w:eastAsia="仿宋" w:cs="仿宋"/>
                <w:color w:val="auto"/>
                <w:sz w:val="21"/>
                <w:szCs w:val="21"/>
                <w:highlight w:val="none"/>
                <w:lang w:eastAsia="zh-CN"/>
              </w:rPr>
              <w:t>合理、</w:t>
            </w:r>
            <w:r>
              <w:rPr>
                <w:rFonts w:hint="eastAsia" w:ascii="仿宋" w:hAnsi="仿宋" w:eastAsia="仿宋" w:cs="仿宋"/>
                <w:color w:val="auto"/>
                <w:sz w:val="21"/>
                <w:szCs w:val="21"/>
                <w:highlight w:val="none"/>
                <w:lang w:val="en-US" w:eastAsia="zh-CN"/>
              </w:rPr>
              <w:t>不</w:t>
            </w:r>
            <w:r>
              <w:rPr>
                <w:rFonts w:hint="eastAsia" w:ascii="仿宋" w:hAnsi="仿宋" w:eastAsia="仿宋" w:cs="仿宋"/>
                <w:color w:val="auto"/>
                <w:sz w:val="21"/>
                <w:szCs w:val="21"/>
                <w:highlight w:val="none"/>
              </w:rPr>
              <w:t>可行</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不</w:t>
            </w:r>
            <w:r>
              <w:rPr>
                <w:rFonts w:hint="eastAsia" w:ascii="仿宋" w:hAnsi="仿宋" w:eastAsia="仿宋" w:cs="仿宋"/>
                <w:color w:val="auto"/>
                <w:sz w:val="21"/>
                <w:szCs w:val="21"/>
                <w:highlight w:val="none"/>
                <w:lang w:eastAsia="zh-CN"/>
              </w:rPr>
              <w:t>符合</w:t>
            </w:r>
            <w:r>
              <w:rPr>
                <w:rFonts w:hint="eastAsia" w:ascii="仿宋" w:hAnsi="仿宋" w:eastAsia="仿宋" w:cs="仿宋"/>
                <w:color w:val="auto"/>
                <w:sz w:val="21"/>
                <w:szCs w:val="21"/>
                <w:highlight w:val="none"/>
                <w:lang w:val="en-US" w:eastAsia="zh-CN"/>
              </w:rPr>
              <w:t>项目</w:t>
            </w:r>
            <w:r>
              <w:rPr>
                <w:rFonts w:hint="eastAsia" w:ascii="仿宋" w:hAnsi="仿宋" w:eastAsia="仿宋" w:cs="仿宋"/>
                <w:color w:val="auto"/>
                <w:sz w:val="21"/>
                <w:szCs w:val="21"/>
                <w:highlight w:val="none"/>
                <w:lang w:eastAsia="zh-CN"/>
              </w:rPr>
              <w:t>要求</w:t>
            </w:r>
            <w:r>
              <w:rPr>
                <w:rFonts w:hint="eastAsia" w:ascii="仿宋" w:hAnsi="仿宋" w:eastAsia="仿宋" w:cs="仿宋"/>
                <w:color w:val="auto"/>
                <w:sz w:val="21"/>
                <w:szCs w:val="21"/>
                <w:highlight w:val="none"/>
                <w:lang w:val="en-US" w:eastAsia="zh-CN"/>
              </w:rPr>
              <w:t>的</w:t>
            </w:r>
            <w:r>
              <w:rPr>
                <w:rFonts w:hint="eastAsia" w:ascii="仿宋" w:hAnsi="仿宋" w:eastAsia="仿宋" w:cs="仿宋"/>
                <w:color w:val="auto"/>
                <w:sz w:val="21"/>
                <w:szCs w:val="21"/>
                <w:highlight w:val="none"/>
              </w:rPr>
              <w:t>，</w:t>
            </w:r>
            <w:r>
              <w:rPr>
                <w:rFonts w:hint="eastAsia" w:ascii="仿宋" w:hAnsi="仿宋" w:eastAsia="仿宋" w:cs="仿宋"/>
                <w:color w:val="auto"/>
                <w:sz w:val="21"/>
                <w:szCs w:val="21"/>
                <w:highlight w:val="none"/>
                <w:lang w:eastAsia="zh-CN"/>
              </w:rPr>
              <w:t>得</w:t>
            </w:r>
            <w:r>
              <w:rPr>
                <w:rFonts w:hint="eastAsia" w:ascii="仿宋" w:hAnsi="仿宋" w:eastAsia="仿宋" w:cs="仿宋"/>
                <w:color w:val="auto"/>
                <w:sz w:val="21"/>
                <w:szCs w:val="21"/>
                <w:highlight w:val="none"/>
                <w:lang w:val="en-US" w:eastAsia="zh-CN"/>
              </w:rPr>
              <w:t>4</w:t>
            </w:r>
            <w:r>
              <w:rPr>
                <w:rFonts w:hint="eastAsia" w:ascii="仿宋" w:hAnsi="仿宋" w:eastAsia="仿宋" w:cs="仿宋"/>
                <w:color w:val="auto"/>
                <w:sz w:val="21"/>
                <w:szCs w:val="21"/>
                <w:highlight w:val="none"/>
              </w:rPr>
              <w:t>分；</w:t>
            </w:r>
          </w:p>
          <w:p>
            <w:pPr>
              <w:pStyle w:val="3"/>
              <w:ind w:firstLine="420" w:firstLineChars="200"/>
              <w:rPr>
                <w:rFonts w:hint="eastAsia"/>
                <w:color w:val="auto"/>
                <w:highlight w:val="none"/>
                <w:lang w:eastAsia="zh-CN"/>
              </w:rPr>
            </w:pP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4</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未提供</w:t>
            </w:r>
            <w:r>
              <w:rPr>
                <w:rFonts w:hint="eastAsia" w:ascii="仿宋" w:hAnsi="仿宋" w:eastAsia="仿宋" w:cs="仿宋"/>
                <w:color w:val="auto"/>
                <w:sz w:val="21"/>
                <w:szCs w:val="21"/>
                <w:highlight w:val="none"/>
                <w:lang w:val="en-US" w:eastAsia="zh-CN"/>
              </w:rPr>
              <w:t>不</w:t>
            </w:r>
            <w:r>
              <w:rPr>
                <w:rFonts w:hint="eastAsia" w:ascii="仿宋" w:hAnsi="仿宋" w:eastAsia="仿宋" w:cs="仿宋"/>
                <w:color w:val="auto"/>
                <w:sz w:val="21"/>
                <w:szCs w:val="21"/>
                <w:highlight w:val="none"/>
              </w:rPr>
              <w:t>得分</w:t>
            </w:r>
            <w:r>
              <w:rPr>
                <w:rFonts w:hint="eastAsia" w:ascii="仿宋" w:hAnsi="仿宋" w:eastAsia="仿宋" w:cs="仿宋"/>
                <w:color w:val="auto"/>
                <w:sz w:val="21"/>
                <w:szCs w:val="21"/>
                <w:highlight w:val="none"/>
                <w:lang w:eastAsia="zh-CN"/>
              </w:rPr>
              <w:t>。</w:t>
            </w:r>
          </w:p>
        </w:tc>
        <w:tc>
          <w:tcPr>
            <w:tcW w:w="24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84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28"/>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w:t>
            </w:r>
          </w:p>
          <w:p>
            <w:pPr>
              <w:keepNext w:val="0"/>
              <w:keepLines w:val="0"/>
              <w:pageBreakBefore w:val="0"/>
              <w:widowControl w:val="0"/>
              <w:kinsoku/>
              <w:wordWrap/>
              <w:overflowPunct/>
              <w:topLinePunct w:val="0"/>
              <w:autoSpaceDE/>
              <w:autoSpaceDN/>
              <w:bidi w:val="0"/>
              <w:adjustRightInd/>
              <w:snapToGrid/>
              <w:spacing w:line="240" w:lineRule="auto"/>
              <w:ind w:left="0" w:firstLine="28"/>
              <w:jc w:val="center"/>
              <w:textAlignment w:val="auto"/>
              <w:rPr>
                <w:rFonts w:hint="eastAsia" w:ascii="仿宋" w:hAnsi="仿宋" w:eastAsia="仿宋" w:cs="仿宋"/>
                <w:color w:val="auto"/>
                <w:sz w:val="21"/>
                <w:szCs w:val="21"/>
                <w:highlight w:val="none"/>
              </w:rPr>
            </w:pPr>
          </w:p>
        </w:tc>
        <w:tc>
          <w:tcPr>
            <w:tcW w:w="1478"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28"/>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商务部分</w:t>
            </w:r>
          </w:p>
          <w:p>
            <w:pPr>
              <w:keepNext w:val="0"/>
              <w:keepLines w:val="0"/>
              <w:pageBreakBefore w:val="0"/>
              <w:widowControl w:val="0"/>
              <w:kinsoku/>
              <w:wordWrap/>
              <w:overflowPunct/>
              <w:topLinePunct w:val="0"/>
              <w:autoSpaceDE/>
              <w:autoSpaceDN/>
              <w:bidi w:val="0"/>
              <w:adjustRightInd/>
              <w:snapToGrid/>
              <w:spacing w:line="240" w:lineRule="auto"/>
              <w:ind w:left="0" w:firstLine="28"/>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w:t>
            </w:r>
            <w:r>
              <w:rPr>
                <w:rFonts w:hint="eastAsia" w:ascii="仿宋" w:hAnsi="仿宋" w:eastAsia="仿宋" w:cs="仿宋"/>
                <w:color w:val="auto"/>
                <w:sz w:val="21"/>
                <w:szCs w:val="21"/>
                <w:highlight w:val="none"/>
                <w:lang w:val="en-US" w:eastAsia="zh-CN"/>
              </w:rPr>
              <w:t>20</w:t>
            </w:r>
            <w:r>
              <w:rPr>
                <w:rFonts w:hint="eastAsia" w:ascii="仿宋" w:hAnsi="仿宋" w:eastAsia="仿宋" w:cs="仿宋"/>
                <w:color w:val="auto"/>
                <w:sz w:val="21"/>
                <w:szCs w:val="21"/>
                <w:highlight w:val="none"/>
              </w:rPr>
              <w:t>%）</w:t>
            </w:r>
          </w:p>
        </w:tc>
        <w:tc>
          <w:tcPr>
            <w:tcW w:w="7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28" w:firstLineChars="0"/>
              <w:jc w:val="center"/>
              <w:textAlignment w:val="auto"/>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10分</w:t>
            </w:r>
          </w:p>
        </w:tc>
        <w:tc>
          <w:tcPr>
            <w:tcW w:w="41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438" w:firstLineChars="209"/>
              <w:textAlignment w:val="auto"/>
              <w:rPr>
                <w:rFonts w:hint="eastAsia" w:ascii="仿宋" w:hAnsi="仿宋" w:eastAsia="仿宋"/>
                <w:color w:val="auto"/>
                <w:sz w:val="21"/>
                <w:szCs w:val="21"/>
                <w:highlight w:val="none"/>
              </w:rPr>
            </w:pPr>
            <w:r>
              <w:rPr>
                <w:rFonts w:hint="eastAsia" w:ascii="仿宋" w:hAnsi="仿宋" w:eastAsia="仿宋" w:cs="仿宋"/>
                <w:color w:val="auto"/>
                <w:sz w:val="21"/>
                <w:szCs w:val="21"/>
                <w:highlight w:val="none"/>
                <w:lang w:val="en-US" w:eastAsia="zh-CN"/>
              </w:rPr>
              <w:t>供应商</w:t>
            </w:r>
            <w:r>
              <w:rPr>
                <w:rFonts w:hint="eastAsia" w:ascii="仿宋" w:hAnsi="仿宋" w:eastAsia="仿宋" w:cs="仿宋"/>
                <w:color w:val="auto"/>
                <w:sz w:val="21"/>
                <w:szCs w:val="21"/>
                <w:highlight w:val="none"/>
                <w:lang w:val="zh-CN"/>
              </w:rPr>
              <w:t>拟派</w:t>
            </w:r>
            <w:r>
              <w:rPr>
                <w:rFonts w:hint="eastAsia" w:ascii="仿宋" w:hAnsi="仿宋" w:eastAsia="仿宋" w:cs="仿宋"/>
                <w:color w:val="auto"/>
                <w:sz w:val="21"/>
                <w:szCs w:val="21"/>
                <w:highlight w:val="none"/>
                <w:lang w:val="en-US" w:eastAsia="zh-CN"/>
              </w:rPr>
              <w:t>的团队成员（</w:t>
            </w:r>
            <w:r>
              <w:rPr>
                <w:rFonts w:hint="eastAsia" w:ascii="仿宋" w:hAnsi="仿宋" w:eastAsia="仿宋" w:cs="仿宋"/>
                <w:color w:val="auto"/>
                <w:sz w:val="21"/>
                <w:szCs w:val="21"/>
                <w:highlight w:val="none"/>
                <w:lang w:val="zh-CN"/>
              </w:rPr>
              <w:t>项目负责人</w:t>
            </w:r>
            <w:r>
              <w:rPr>
                <w:rFonts w:hint="eastAsia" w:ascii="仿宋" w:hAnsi="仿宋" w:eastAsia="仿宋" w:cs="仿宋"/>
                <w:color w:val="auto"/>
                <w:sz w:val="21"/>
                <w:szCs w:val="21"/>
                <w:highlight w:val="none"/>
                <w:lang w:val="en-US" w:eastAsia="zh-CN"/>
              </w:rPr>
              <w:t>除外）中</w:t>
            </w:r>
            <w:r>
              <w:rPr>
                <w:rFonts w:hint="eastAsia" w:ascii="仿宋" w:hAnsi="仿宋" w:eastAsia="仿宋" w:cs="仿宋"/>
                <w:color w:val="auto"/>
                <w:sz w:val="21"/>
                <w:szCs w:val="21"/>
                <w:highlight w:val="none"/>
                <w:lang w:val="zh-CN"/>
              </w:rPr>
              <w:t>具有</w:t>
            </w:r>
            <w:r>
              <w:rPr>
                <w:rFonts w:hint="eastAsia" w:ascii="仿宋" w:hAnsi="仿宋" w:eastAsia="仿宋" w:cs="仿宋"/>
                <w:color w:val="auto"/>
                <w:sz w:val="21"/>
                <w:szCs w:val="21"/>
                <w:highlight w:val="none"/>
                <w:lang w:val="en-US" w:eastAsia="zh-CN"/>
              </w:rPr>
              <w:t>工程类高级及以上职称的，</w:t>
            </w:r>
            <w:r>
              <w:rPr>
                <w:rFonts w:hint="eastAsia" w:ascii="仿宋" w:hAnsi="仿宋" w:eastAsia="仿宋"/>
                <w:color w:val="auto"/>
                <w:sz w:val="21"/>
                <w:szCs w:val="21"/>
                <w:highlight w:val="none"/>
              </w:rPr>
              <w:t>每有一人得</w:t>
            </w:r>
            <w:r>
              <w:rPr>
                <w:rFonts w:hint="eastAsia" w:ascii="仿宋" w:hAnsi="仿宋" w:eastAsia="仿宋"/>
                <w:color w:val="auto"/>
                <w:sz w:val="21"/>
                <w:szCs w:val="21"/>
                <w:highlight w:val="none"/>
                <w:lang w:val="en-US" w:eastAsia="zh-CN"/>
              </w:rPr>
              <w:t>5</w:t>
            </w:r>
            <w:r>
              <w:rPr>
                <w:rFonts w:ascii="仿宋" w:hAnsi="仿宋" w:eastAsia="仿宋"/>
                <w:color w:val="auto"/>
                <w:sz w:val="21"/>
                <w:szCs w:val="21"/>
                <w:highlight w:val="none"/>
              </w:rPr>
              <w:t>分</w:t>
            </w:r>
            <w:r>
              <w:rPr>
                <w:rFonts w:hint="eastAsia" w:ascii="仿宋" w:hAnsi="仿宋" w:eastAsia="仿宋"/>
                <w:color w:val="auto"/>
                <w:sz w:val="21"/>
                <w:szCs w:val="21"/>
                <w:highlight w:val="none"/>
                <w:lang w:eastAsia="zh-CN"/>
              </w:rPr>
              <w:t>。</w:t>
            </w:r>
            <w:r>
              <w:rPr>
                <w:rFonts w:hint="eastAsia" w:ascii="仿宋" w:hAnsi="仿宋" w:eastAsia="仿宋"/>
                <w:color w:val="auto"/>
                <w:sz w:val="21"/>
                <w:szCs w:val="21"/>
                <w:highlight w:val="none"/>
                <w:lang w:val="en-US" w:eastAsia="zh-CN"/>
              </w:rPr>
              <w:t>具有一级注册建造师（建筑工程专业）的，每有一人得5分</w:t>
            </w:r>
            <w:r>
              <w:rPr>
                <w:rFonts w:hint="eastAsia" w:ascii="仿宋" w:hAnsi="仿宋" w:eastAsia="仿宋"/>
                <w:color w:val="auto"/>
                <w:sz w:val="21"/>
                <w:szCs w:val="21"/>
                <w:highlight w:val="none"/>
                <w:lang w:eastAsia="zh-CN"/>
              </w:rPr>
              <w:t>。</w:t>
            </w:r>
            <w:r>
              <w:rPr>
                <w:rFonts w:hint="eastAsia" w:ascii="仿宋" w:hAnsi="仿宋" w:eastAsia="仿宋"/>
                <w:color w:val="auto"/>
                <w:sz w:val="21"/>
                <w:szCs w:val="21"/>
                <w:highlight w:val="none"/>
              </w:rPr>
              <w:t>本项最多得</w:t>
            </w:r>
            <w:r>
              <w:rPr>
                <w:rFonts w:hint="eastAsia" w:ascii="仿宋" w:hAnsi="仿宋" w:eastAsia="仿宋"/>
                <w:color w:val="auto"/>
                <w:sz w:val="21"/>
                <w:szCs w:val="21"/>
                <w:highlight w:val="none"/>
                <w:lang w:val="en-US" w:eastAsia="zh-CN"/>
              </w:rPr>
              <w:t>10</w:t>
            </w:r>
            <w:r>
              <w:rPr>
                <w:rFonts w:hint="eastAsia" w:ascii="仿宋" w:hAnsi="仿宋" w:eastAsia="仿宋"/>
                <w:color w:val="auto"/>
                <w:sz w:val="21"/>
                <w:szCs w:val="21"/>
                <w:highlight w:val="none"/>
              </w:rPr>
              <w:t>分。</w:t>
            </w:r>
          </w:p>
        </w:tc>
        <w:tc>
          <w:tcPr>
            <w:tcW w:w="24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提供职称证及注册证复印件并加盖供应商公章。</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textAlignment w:val="auto"/>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提供供应商为其缴纳的2023年5月-2023年10月连续社会保险参保证明，并加盖供应商公章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28"/>
              <w:jc w:val="center"/>
              <w:textAlignment w:val="auto"/>
              <w:rPr>
                <w:rFonts w:hint="eastAsia" w:ascii="仿宋" w:hAnsi="仿宋" w:eastAsia="仿宋" w:cs="仿宋"/>
                <w:color w:val="auto"/>
                <w:sz w:val="21"/>
                <w:szCs w:val="21"/>
                <w:highlight w:val="none"/>
              </w:rPr>
            </w:pPr>
          </w:p>
        </w:tc>
        <w:tc>
          <w:tcPr>
            <w:tcW w:w="1478"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28"/>
              <w:jc w:val="center"/>
              <w:textAlignment w:val="auto"/>
              <w:rPr>
                <w:rFonts w:hint="eastAsia" w:ascii="仿宋" w:hAnsi="仿宋" w:eastAsia="仿宋" w:cs="仿宋"/>
                <w:color w:val="auto"/>
                <w:sz w:val="21"/>
                <w:szCs w:val="21"/>
                <w:highlight w:val="none"/>
              </w:rPr>
            </w:pPr>
          </w:p>
        </w:tc>
        <w:tc>
          <w:tcPr>
            <w:tcW w:w="7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28" w:firstLineChars="0"/>
              <w:jc w:val="center"/>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10分</w:t>
            </w:r>
          </w:p>
        </w:tc>
        <w:tc>
          <w:tcPr>
            <w:tcW w:w="41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420" w:firstLineChars="200"/>
              <w:textAlignment w:val="auto"/>
              <w:rPr>
                <w:rFonts w:hint="default"/>
                <w:color w:val="auto"/>
                <w:highlight w:val="none"/>
                <w:lang w:val="en-US"/>
              </w:rPr>
            </w:pPr>
            <w:r>
              <w:rPr>
                <w:rFonts w:hint="eastAsia" w:ascii="仿宋" w:hAnsi="仿宋" w:eastAsia="仿宋" w:cs="仿宋"/>
                <w:color w:val="auto"/>
                <w:sz w:val="21"/>
                <w:szCs w:val="21"/>
                <w:highlight w:val="none"/>
                <w:lang w:eastAsia="zh-CN"/>
              </w:rPr>
              <w:t>2020年1月1日至磋商截止日止（以合同签订时间为准），</w:t>
            </w:r>
            <w:r>
              <w:rPr>
                <w:rFonts w:hint="eastAsia" w:ascii="仿宋" w:hAnsi="仿宋" w:eastAsia="仿宋" w:cs="仿宋"/>
                <w:color w:val="auto"/>
                <w:sz w:val="21"/>
                <w:szCs w:val="21"/>
                <w:highlight w:val="none"/>
                <w:lang w:val="en-US" w:eastAsia="zh-CN"/>
              </w:rPr>
              <w:t>供应商</w:t>
            </w:r>
            <w:r>
              <w:rPr>
                <w:rFonts w:hint="eastAsia" w:ascii="仿宋" w:hAnsi="仿宋" w:eastAsia="仿宋" w:cs="仿宋"/>
                <w:color w:val="auto"/>
                <w:sz w:val="21"/>
                <w:szCs w:val="21"/>
                <w:highlight w:val="none"/>
                <w:lang w:eastAsia="zh-CN"/>
              </w:rPr>
              <w:t>承接过</w:t>
            </w:r>
            <w:r>
              <w:rPr>
                <w:rFonts w:hint="eastAsia" w:ascii="仿宋" w:hAnsi="仿宋" w:eastAsia="仿宋" w:cs="仿宋"/>
                <w:color w:val="auto"/>
                <w:sz w:val="21"/>
                <w:szCs w:val="21"/>
                <w:highlight w:val="none"/>
                <w:lang w:val="en-US" w:eastAsia="zh-CN"/>
              </w:rPr>
              <w:t>建筑类</w:t>
            </w:r>
            <w:r>
              <w:rPr>
                <w:rFonts w:hint="eastAsia" w:ascii="仿宋" w:hAnsi="仿宋" w:eastAsia="仿宋" w:cs="仿宋"/>
                <w:color w:val="auto"/>
                <w:sz w:val="21"/>
                <w:szCs w:val="21"/>
                <w:highlight w:val="none"/>
                <w:lang w:eastAsia="zh-CN"/>
              </w:rPr>
              <w:t>预算咨询类业务的，每提供一个业绩得</w:t>
            </w:r>
            <w:r>
              <w:rPr>
                <w:rFonts w:hint="eastAsia" w:ascii="仿宋" w:hAnsi="仿宋" w:eastAsia="仿宋" w:cs="仿宋"/>
                <w:color w:val="auto"/>
                <w:sz w:val="21"/>
                <w:szCs w:val="21"/>
                <w:highlight w:val="none"/>
                <w:lang w:val="en-US" w:eastAsia="zh-CN"/>
              </w:rPr>
              <w:t>5</w:t>
            </w:r>
            <w:r>
              <w:rPr>
                <w:rFonts w:hint="eastAsia" w:ascii="仿宋" w:hAnsi="仿宋" w:eastAsia="仿宋" w:cs="仿宋"/>
                <w:color w:val="auto"/>
                <w:sz w:val="21"/>
                <w:szCs w:val="21"/>
                <w:highlight w:val="none"/>
                <w:lang w:eastAsia="zh-CN"/>
              </w:rPr>
              <w:t>分，本项最多得</w:t>
            </w:r>
            <w:r>
              <w:rPr>
                <w:rFonts w:hint="eastAsia" w:ascii="仿宋" w:hAnsi="仿宋" w:eastAsia="仿宋" w:cs="仿宋"/>
                <w:color w:val="auto"/>
                <w:sz w:val="21"/>
                <w:szCs w:val="21"/>
                <w:highlight w:val="none"/>
                <w:lang w:val="en-US" w:eastAsia="zh-CN"/>
              </w:rPr>
              <w:t>10</w:t>
            </w:r>
            <w:r>
              <w:rPr>
                <w:rFonts w:hint="eastAsia" w:ascii="仿宋" w:hAnsi="仿宋" w:eastAsia="仿宋" w:cs="仿宋"/>
                <w:color w:val="auto"/>
                <w:sz w:val="21"/>
                <w:szCs w:val="21"/>
                <w:highlight w:val="none"/>
                <w:lang w:eastAsia="zh-CN"/>
              </w:rPr>
              <w:t>分。</w:t>
            </w:r>
          </w:p>
        </w:tc>
        <w:tc>
          <w:tcPr>
            <w:tcW w:w="24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zh-CN" w:eastAsia="zh-CN"/>
              </w:rPr>
              <w:t>提供</w:t>
            </w:r>
            <w:r>
              <w:rPr>
                <w:rFonts w:hint="eastAsia" w:ascii="仿宋" w:hAnsi="仿宋" w:eastAsia="仿宋" w:cs="仿宋"/>
                <w:color w:val="auto"/>
                <w:sz w:val="21"/>
                <w:szCs w:val="21"/>
                <w:highlight w:val="none"/>
                <w:lang w:val="en-US" w:eastAsia="zh-CN"/>
              </w:rPr>
              <w:t>有效</w:t>
            </w:r>
            <w:r>
              <w:rPr>
                <w:rFonts w:hint="eastAsia" w:ascii="仿宋" w:hAnsi="仿宋" w:eastAsia="仿宋" w:cs="仿宋"/>
                <w:color w:val="auto"/>
                <w:sz w:val="21"/>
                <w:szCs w:val="21"/>
                <w:highlight w:val="none"/>
                <w:lang w:val="zh-CN" w:eastAsia="zh-CN"/>
              </w:rPr>
              <w:t>合同复印件</w:t>
            </w:r>
            <w:r>
              <w:rPr>
                <w:rFonts w:hint="eastAsia" w:ascii="仿宋" w:hAnsi="仿宋" w:eastAsia="仿宋" w:cs="仿宋"/>
                <w:color w:val="auto"/>
                <w:sz w:val="21"/>
                <w:szCs w:val="21"/>
                <w:highlight w:val="none"/>
                <w:lang w:val="en-US" w:eastAsia="zh-CN"/>
              </w:rPr>
              <w:t>并</w:t>
            </w:r>
            <w:r>
              <w:rPr>
                <w:rFonts w:hint="eastAsia" w:ascii="仿宋" w:hAnsi="仿宋" w:eastAsia="仿宋" w:cs="仿宋"/>
                <w:color w:val="auto"/>
                <w:sz w:val="21"/>
                <w:szCs w:val="21"/>
                <w:highlight w:val="none"/>
                <w:lang w:val="zh-CN" w:eastAsia="zh-CN"/>
              </w:rPr>
              <w:t>加盖供应商公章。</w:t>
            </w:r>
          </w:p>
        </w:tc>
      </w:tr>
    </w:tbl>
    <w:p>
      <w:pPr>
        <w:snapToGrid w:val="0"/>
        <w:spacing w:line="400" w:lineRule="exact"/>
        <w:ind w:firstLine="46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（二）关于小微企业报价扣除比例说明</w:t>
      </w:r>
    </w:p>
    <w:p>
      <w:pPr>
        <w:snapToGrid w:val="0"/>
        <w:spacing w:line="400" w:lineRule="exact"/>
        <w:ind w:firstLine="46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1.供应商为小微型企业</w:t>
      </w:r>
      <w:r>
        <w:rPr>
          <w:rFonts w:hint="eastAsia" w:ascii="仿宋" w:hAnsi="仿宋" w:eastAsia="仿宋" w:cs="仿宋"/>
          <w:color w:val="auto"/>
          <w:sz w:val="24"/>
          <w:szCs w:val="24"/>
          <w:highlight w:val="none"/>
          <w:lang w:val="en-US" w:eastAsia="zh-CN"/>
        </w:rPr>
        <w:t>的</w:t>
      </w:r>
      <w:r>
        <w:rPr>
          <w:rFonts w:hint="eastAsia" w:ascii="仿宋" w:hAnsi="仿宋" w:eastAsia="仿宋" w:cs="仿宋"/>
          <w:color w:val="auto"/>
          <w:sz w:val="24"/>
          <w:szCs w:val="24"/>
          <w:highlight w:val="none"/>
        </w:rPr>
        <w:t>给予</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%的扣除，以扣除后的报价参与评审。</w:t>
      </w:r>
    </w:p>
    <w:p>
      <w:pPr>
        <w:snapToGrid w:val="0"/>
        <w:spacing w:line="400" w:lineRule="exact"/>
        <w:ind w:firstLine="46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2.监狱企业、残疾人福利性单位视同小型、微型企业。</w:t>
      </w:r>
    </w:p>
    <w:p>
      <w:pPr>
        <w:snapToGrid w:val="0"/>
        <w:spacing w:line="400" w:lineRule="exact"/>
        <w:ind w:firstLine="46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服务部分得分取磋商小组打分的算术平均值。</w:t>
      </w:r>
    </w:p>
    <w:p>
      <w:pPr>
        <w:pStyle w:val="2"/>
        <w:adjustRightInd w:val="0"/>
        <w:snapToGrid w:val="0"/>
        <w:spacing w:before="0" w:after="0" w:line="400" w:lineRule="exact"/>
        <w:ind w:firstLine="482" w:firstLineChars="200"/>
        <w:rPr>
          <w:rFonts w:hint="eastAsia" w:ascii="仿宋" w:hAnsi="仿宋" w:eastAsia="仿宋" w:cs="仿宋"/>
          <w:color w:val="auto"/>
          <w:sz w:val="24"/>
          <w:highlight w:val="none"/>
        </w:rPr>
      </w:pPr>
      <w:bookmarkStart w:id="67" w:name="_Toc23702"/>
      <w:bookmarkStart w:id="68" w:name="_Toc76462335"/>
      <w:r>
        <w:rPr>
          <w:rFonts w:hint="eastAsia" w:ascii="仿宋" w:hAnsi="仿宋" w:eastAsia="仿宋" w:cs="仿宋"/>
          <w:color w:val="auto"/>
          <w:sz w:val="24"/>
          <w:highlight w:val="none"/>
        </w:rPr>
        <w:t>三、无效响应</w:t>
      </w:r>
      <w:bookmarkEnd w:id="67"/>
      <w:bookmarkEnd w:id="68"/>
    </w:p>
    <w:p>
      <w:pPr>
        <w:snapToGrid w:val="0"/>
        <w:spacing w:line="400" w:lineRule="exact"/>
        <w:ind w:firstLine="46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供应商发生以下条款情况之一者，视为无效响应，其响应文件将被拒绝：</w:t>
      </w:r>
    </w:p>
    <w:p>
      <w:pPr>
        <w:snapToGrid w:val="0"/>
        <w:spacing w:line="400" w:lineRule="exact"/>
        <w:ind w:firstLine="46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（一）供应商不符合规定的资格条件的；</w:t>
      </w:r>
    </w:p>
    <w:p>
      <w:pPr>
        <w:snapToGrid w:val="0"/>
        <w:spacing w:line="400" w:lineRule="exact"/>
        <w:ind w:firstLine="46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（二）供应商的法定代表人（或其授权代表）或自然人未参加磋商；</w:t>
      </w:r>
    </w:p>
    <w:p>
      <w:pPr>
        <w:snapToGrid w:val="0"/>
        <w:spacing w:line="400" w:lineRule="exact"/>
        <w:ind w:firstLine="46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（三）供应商所提交的响应文件不按“第七篇响应文件编制要求”要求签署或盖章；</w:t>
      </w:r>
    </w:p>
    <w:p>
      <w:pPr>
        <w:snapToGrid w:val="0"/>
        <w:spacing w:line="400" w:lineRule="exact"/>
        <w:ind w:firstLine="46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（四）供应商的最后报价超过采购预算或最高限价的；</w:t>
      </w:r>
    </w:p>
    <w:p>
      <w:pPr>
        <w:snapToGrid w:val="0"/>
        <w:spacing w:line="400" w:lineRule="exact"/>
        <w:ind w:firstLine="46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（五）法定代表人为同一个人的两个及两个以上法人，母公司、全资子公司及其控股公司，在同一包采购中同时参与磋商；</w:t>
      </w:r>
    </w:p>
    <w:p>
      <w:pPr>
        <w:snapToGrid w:val="0"/>
        <w:spacing w:line="400" w:lineRule="exact"/>
        <w:ind w:firstLine="46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（六）单位负责人为同一人或者存在直接控股、管理关系的不同供应商，参加同一合同项下的采购活动的；</w:t>
      </w:r>
    </w:p>
    <w:p>
      <w:pPr>
        <w:snapToGrid w:val="0"/>
        <w:spacing w:line="400" w:lineRule="exact"/>
        <w:ind w:firstLine="46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（七）为采购项目提供整体设计、规范编制或者项目管理、监理、检测等服务的供应商，再参加该采购项目的其他采购活动；</w:t>
      </w:r>
    </w:p>
    <w:p>
      <w:pPr>
        <w:snapToGrid w:val="0"/>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（八）供应商磋商有效期不满足竞争性磋商文件要求的；</w:t>
      </w:r>
    </w:p>
    <w:p>
      <w:pPr>
        <w:snapToGrid w:val="0"/>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（九）供应商响应文件内容有与国家现行法律法规相违背的内容，或附有采购人无法接受的条件；</w:t>
      </w:r>
    </w:p>
    <w:p>
      <w:pPr>
        <w:snapToGrid w:val="0"/>
        <w:spacing w:line="400" w:lineRule="exact"/>
        <w:ind w:firstLine="46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（十）法律、法规和竞争性磋商文件规定的其他无效情形。</w:t>
      </w:r>
    </w:p>
    <w:p>
      <w:pPr>
        <w:pStyle w:val="2"/>
        <w:adjustRightInd w:val="0"/>
        <w:snapToGrid w:val="0"/>
        <w:spacing w:before="0" w:after="0" w:line="400" w:lineRule="exact"/>
        <w:ind w:firstLine="482" w:firstLineChars="200"/>
        <w:rPr>
          <w:rFonts w:hint="eastAsia" w:ascii="仿宋" w:hAnsi="仿宋" w:eastAsia="仿宋" w:cs="仿宋"/>
          <w:color w:val="auto"/>
          <w:sz w:val="24"/>
          <w:highlight w:val="none"/>
        </w:rPr>
      </w:pPr>
      <w:bookmarkStart w:id="69" w:name="_Toc76462336"/>
      <w:bookmarkStart w:id="70" w:name="_Toc24974"/>
      <w:r>
        <w:rPr>
          <w:rFonts w:hint="eastAsia" w:ascii="仿宋" w:hAnsi="仿宋" w:eastAsia="仿宋" w:cs="仿宋"/>
          <w:color w:val="auto"/>
          <w:sz w:val="24"/>
          <w:highlight w:val="none"/>
        </w:rPr>
        <w:t>四、</w:t>
      </w:r>
      <w:bookmarkEnd w:id="64"/>
      <w:bookmarkEnd w:id="65"/>
      <w:r>
        <w:rPr>
          <w:rFonts w:hint="eastAsia" w:ascii="仿宋" w:hAnsi="仿宋" w:eastAsia="仿宋" w:cs="仿宋"/>
          <w:color w:val="auto"/>
          <w:sz w:val="24"/>
          <w:highlight w:val="none"/>
        </w:rPr>
        <w:t>采购终止</w:t>
      </w:r>
      <w:bookmarkEnd w:id="69"/>
      <w:bookmarkEnd w:id="70"/>
    </w:p>
    <w:p>
      <w:pPr>
        <w:snapToGrid w:val="0"/>
        <w:spacing w:line="400" w:lineRule="exact"/>
        <w:ind w:firstLine="46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出现下列情形之一的，采购人或者采购代理机构应当终止竞争性磋商采购活动，发布项目终止公告并说明原因，重新开展采购活动：</w:t>
      </w:r>
    </w:p>
    <w:p>
      <w:pPr>
        <w:snapToGrid w:val="0"/>
        <w:spacing w:line="400" w:lineRule="exact"/>
        <w:ind w:firstLine="46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（一）因情况变化，不再符合规定的竞争性磋商采购方式适用情形的；</w:t>
      </w:r>
    </w:p>
    <w:p>
      <w:pPr>
        <w:snapToGrid w:val="0"/>
        <w:spacing w:line="400" w:lineRule="exact"/>
        <w:ind w:firstLine="46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（二）出现影响采购公正的违法、违规行为的；</w:t>
      </w:r>
    </w:p>
    <w:p>
      <w:pPr>
        <w:snapToGrid w:val="0"/>
        <w:spacing w:line="400" w:lineRule="exact"/>
        <w:ind w:firstLine="46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（三）在采购过程中符合要求的供应商或者报价未超过采购预算的供应商不足3家的，但《政府采购竞争性磋商采购方式管理暂行办法》第二十一条第三款规定的情形除外。</w:t>
      </w:r>
    </w:p>
    <w:p>
      <w:pPr>
        <w:spacing w:line="400" w:lineRule="exact"/>
        <w:ind w:firstLine="480" w:firstLineChars="200"/>
        <w:rPr>
          <w:rFonts w:hint="eastAsia" w:ascii="仿宋" w:hAnsi="仿宋" w:eastAsia="仿宋" w:cs="仿宋"/>
          <w:color w:val="auto"/>
          <w:sz w:val="24"/>
          <w:szCs w:val="24"/>
          <w:highlight w:val="none"/>
        </w:rPr>
        <w:sectPr>
          <w:pgSz w:w="11907" w:h="16840"/>
          <w:pgMar w:top="1134" w:right="1191" w:bottom="1134" w:left="1304" w:header="964" w:footer="992" w:gutter="0"/>
          <w:pgNumType w:fmt="numberInDash"/>
          <w:cols w:space="720" w:num="1"/>
          <w:docGrid w:linePitch="312" w:charSpace="0"/>
        </w:sectPr>
      </w:pPr>
    </w:p>
    <w:p>
      <w:pPr>
        <w:pStyle w:val="2"/>
        <w:pageBreakBefore/>
        <w:spacing w:before="0" w:after="0" w:line="360" w:lineRule="auto"/>
        <w:jc w:val="center"/>
        <w:rPr>
          <w:rFonts w:hint="eastAsia" w:ascii="仿宋" w:hAnsi="仿宋" w:eastAsia="仿宋" w:cs="仿宋"/>
          <w:b w:val="0"/>
          <w:bCs/>
          <w:color w:val="auto"/>
          <w:sz w:val="36"/>
          <w:szCs w:val="30"/>
          <w:highlight w:val="none"/>
        </w:rPr>
      </w:pPr>
      <w:bookmarkStart w:id="71" w:name="_Toc76462337"/>
      <w:bookmarkStart w:id="72" w:name="_Toc31522"/>
      <w:bookmarkStart w:id="73" w:name="_Toc102227313"/>
      <w:r>
        <w:rPr>
          <w:rFonts w:hint="eastAsia" w:ascii="仿宋" w:hAnsi="仿宋" w:eastAsia="仿宋" w:cs="仿宋"/>
          <w:b w:val="0"/>
          <w:bCs/>
          <w:color w:val="auto"/>
          <w:sz w:val="36"/>
          <w:szCs w:val="30"/>
          <w:highlight w:val="none"/>
        </w:rPr>
        <w:t>第五篇  供应商须知</w:t>
      </w:r>
      <w:bookmarkEnd w:id="71"/>
      <w:bookmarkEnd w:id="72"/>
      <w:bookmarkEnd w:id="73"/>
    </w:p>
    <w:p>
      <w:pPr>
        <w:pStyle w:val="2"/>
        <w:adjustRightInd w:val="0"/>
        <w:snapToGrid w:val="0"/>
        <w:spacing w:before="0" w:after="0" w:line="400" w:lineRule="exact"/>
        <w:ind w:firstLine="482" w:firstLineChars="200"/>
        <w:rPr>
          <w:rFonts w:hint="eastAsia" w:ascii="仿宋" w:hAnsi="仿宋" w:eastAsia="仿宋" w:cs="仿宋"/>
          <w:color w:val="auto"/>
          <w:sz w:val="24"/>
          <w:highlight w:val="none"/>
        </w:rPr>
      </w:pPr>
      <w:bookmarkStart w:id="74" w:name="_Toc17503"/>
      <w:bookmarkStart w:id="75" w:name="_Toc76462338"/>
      <w:bookmarkStart w:id="76" w:name="_Toc342913389"/>
      <w:r>
        <w:rPr>
          <w:rFonts w:hint="eastAsia" w:ascii="仿宋" w:hAnsi="仿宋" w:eastAsia="仿宋" w:cs="仿宋"/>
          <w:color w:val="auto"/>
          <w:sz w:val="24"/>
          <w:highlight w:val="none"/>
        </w:rPr>
        <w:t>一、磋商费用</w:t>
      </w:r>
      <w:bookmarkEnd w:id="74"/>
      <w:bookmarkEnd w:id="75"/>
      <w:bookmarkEnd w:id="76"/>
    </w:p>
    <w:p>
      <w:pPr>
        <w:pStyle w:val="17"/>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参与磋商的供应商应承担其编制响应文件与递交响应文件所涉及的一切费用，不论磋商结果如何，采购人和采购代理机构在任何情况下无义务也无责任承担这些费用。</w:t>
      </w:r>
    </w:p>
    <w:p>
      <w:pPr>
        <w:pStyle w:val="2"/>
        <w:adjustRightInd w:val="0"/>
        <w:snapToGrid w:val="0"/>
        <w:spacing w:before="0" w:after="0" w:line="400" w:lineRule="exact"/>
        <w:ind w:firstLine="482" w:firstLineChars="200"/>
        <w:rPr>
          <w:rFonts w:hint="eastAsia" w:ascii="仿宋" w:hAnsi="仿宋" w:eastAsia="仿宋" w:cs="仿宋"/>
          <w:color w:val="auto"/>
          <w:sz w:val="24"/>
          <w:highlight w:val="none"/>
        </w:rPr>
      </w:pPr>
      <w:bookmarkStart w:id="77" w:name="_Toc76462339"/>
      <w:bookmarkStart w:id="78" w:name="_Toc342913391"/>
      <w:bookmarkStart w:id="79" w:name="_Toc14446"/>
      <w:r>
        <w:rPr>
          <w:rFonts w:hint="eastAsia" w:ascii="仿宋" w:hAnsi="仿宋" w:eastAsia="仿宋" w:cs="仿宋"/>
          <w:color w:val="auto"/>
          <w:sz w:val="24"/>
          <w:highlight w:val="none"/>
        </w:rPr>
        <w:t>二、竞争性磋商文件</w:t>
      </w:r>
      <w:bookmarkEnd w:id="77"/>
      <w:bookmarkEnd w:id="78"/>
      <w:bookmarkEnd w:id="79"/>
    </w:p>
    <w:p>
      <w:pPr>
        <w:snapToGrid w:val="0"/>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（一）竞争性磋商文件由采购邀请书、项目服务需求、供应商须知、项目商务需求、磋商程序及方法、评审标准、无效响应和采购终止、供应商须知</w:t>
      </w:r>
      <w:r>
        <w:rPr>
          <w:rFonts w:hint="eastAsia" w:ascii="仿宋" w:hAnsi="仿宋" w:eastAsia="仿宋" w:cs="仿宋"/>
          <w:b/>
          <w:color w:val="auto"/>
          <w:sz w:val="24"/>
          <w:szCs w:val="24"/>
          <w:highlight w:val="none"/>
        </w:rPr>
        <w:t>、</w:t>
      </w:r>
      <w:r>
        <w:rPr>
          <w:rFonts w:hint="eastAsia" w:ascii="仿宋" w:hAnsi="仿宋" w:eastAsia="仿宋" w:cs="仿宋"/>
          <w:color w:val="auto"/>
          <w:sz w:val="24"/>
          <w:szCs w:val="24"/>
          <w:highlight w:val="none"/>
        </w:rPr>
        <w:t>合同</w:t>
      </w:r>
      <w:r>
        <w:rPr>
          <w:rFonts w:hint="eastAsia" w:ascii="仿宋" w:hAnsi="仿宋" w:eastAsia="仿宋" w:cs="仿宋"/>
          <w:b/>
          <w:color w:val="auto"/>
          <w:sz w:val="24"/>
          <w:szCs w:val="24"/>
          <w:highlight w:val="none"/>
        </w:rPr>
        <w:t>、</w:t>
      </w:r>
      <w:r>
        <w:rPr>
          <w:rFonts w:hint="eastAsia" w:ascii="仿宋" w:hAnsi="仿宋" w:eastAsia="仿宋" w:cs="仿宋"/>
          <w:color w:val="auto"/>
          <w:sz w:val="24"/>
          <w:szCs w:val="24"/>
          <w:highlight w:val="none"/>
        </w:rPr>
        <w:t>响应文件编制要求七部分组成。</w:t>
      </w:r>
    </w:p>
    <w:p>
      <w:pPr>
        <w:snapToGrid w:val="0"/>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（二）采购人（或采购代理机构）所作的一切有效的书面通知、修改及补充，都是竞争性磋商文件不可分割的部分。</w:t>
      </w:r>
    </w:p>
    <w:p>
      <w:pPr>
        <w:snapToGrid w:val="0"/>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（三）竞争性磋商文件的解释</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如对竞争性磋商文件有疑问，必须以书面形式在提交响应文件截止时间3个工作日前向采购人（或采购代理机构）要求澄清，采购人（或采购代理机构）可视具体情况做出处理或答复。如供应商未提出疑问，视为完全理解并同意本竞争性磋商文件。一经进入磋商程序，即视为供应商已详细阅读全部文件资料，完全理解竞争性磋商文件所有条款内容并同意放弃对这方面有不明白及误解的权利。</w:t>
      </w:r>
      <w:bookmarkStart w:id="80" w:name="_Toc318159349"/>
      <w:bookmarkStart w:id="81" w:name="_Toc318166429"/>
      <w:bookmarkStart w:id="82" w:name="_Toc318159780"/>
      <w:bookmarkStart w:id="83" w:name="_Toc318159160"/>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（四）本竞争性磋商文件中，磋商小组根据与供应商进行磋商可能实质性变动的内容为竞争性磋商文件第二、三、六篇全部内容。</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（五）评审的依据为竞争性磋商文件和响应文件（含有效的书面承诺）。磋商小组判断响应文件对竞争性磋商文件的响应，仅基于响应文件本身而不靠外部证据。</w:t>
      </w:r>
    </w:p>
    <w:bookmarkEnd w:id="80"/>
    <w:bookmarkEnd w:id="81"/>
    <w:bookmarkEnd w:id="82"/>
    <w:bookmarkEnd w:id="83"/>
    <w:p>
      <w:pPr>
        <w:pStyle w:val="2"/>
        <w:adjustRightInd w:val="0"/>
        <w:snapToGrid w:val="0"/>
        <w:spacing w:before="0" w:after="0" w:line="400" w:lineRule="exact"/>
        <w:ind w:firstLine="482" w:firstLineChars="200"/>
        <w:rPr>
          <w:rFonts w:hint="eastAsia" w:ascii="仿宋" w:hAnsi="仿宋" w:eastAsia="仿宋" w:cs="仿宋"/>
          <w:color w:val="auto"/>
          <w:sz w:val="24"/>
          <w:highlight w:val="none"/>
        </w:rPr>
      </w:pPr>
      <w:bookmarkStart w:id="84" w:name="_Toc76462340"/>
      <w:bookmarkStart w:id="85" w:name="_Toc102227318"/>
      <w:bookmarkStart w:id="86" w:name="_Toc179714297"/>
      <w:bookmarkStart w:id="87" w:name="_Toc30686"/>
      <w:bookmarkStart w:id="88" w:name="_Toc342913392"/>
      <w:r>
        <w:rPr>
          <w:rFonts w:hint="eastAsia" w:ascii="仿宋" w:hAnsi="仿宋" w:eastAsia="仿宋" w:cs="仿宋"/>
          <w:color w:val="auto"/>
          <w:sz w:val="24"/>
          <w:highlight w:val="none"/>
        </w:rPr>
        <w:t>三、磋商要求</w:t>
      </w:r>
      <w:bookmarkEnd w:id="84"/>
      <w:bookmarkEnd w:id="85"/>
      <w:bookmarkEnd w:id="86"/>
      <w:bookmarkEnd w:id="87"/>
      <w:bookmarkEnd w:id="88"/>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（一）响应文件</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1.供应商应当按照竞争性磋商文件的要求编制响应文件，并对竞争性磋商文件提出的要求和条件作出实质性响应，响应文件原则上采用软面订本，同时应编制完整的页码、目录。</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2.响应文件组成</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响应文件由“第七篇响应文件编制要求”规定的部分和供应商所作的一切有效补充、修改和承诺等文件组成，供应商应按照“第七篇响应文件编制要求”规定的目录顺序组织编写和装订，也可在基本格式基础上对表格进行扩展，未规定格式的由供应商自定格式。</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（二）联合体</w:t>
      </w:r>
    </w:p>
    <w:p>
      <w:pPr>
        <w:spacing w:line="400" w:lineRule="exact"/>
        <w:ind w:firstLine="480" w:firstLineChars="200"/>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不接受联合体。</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（三）磋商有效期：响应文件及有关承诺文件有效期为提交响应文件截止时间起90天。</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（四）修正错误</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1.若供应商所递交的响应文件或最后报价中的价格出现大写金额和小写金额不一致的错误，以大写金额修正为准。</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2.磋商小组按上述修正错误的原则及方法修正供应商的报价，供应商同意并签字确认后，修正后的报价对供应商具有约束作用。如果供应商不接受修正后的价格，将失去成为成交供应商的资格。</w:t>
      </w:r>
    </w:p>
    <w:p>
      <w:pPr>
        <w:snapToGrid w:val="0"/>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（五）提交响应文件的份数和签署</w:t>
      </w:r>
    </w:p>
    <w:p>
      <w:pPr>
        <w:snapToGrid w:val="0"/>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1.响应文件一式</w:t>
      </w:r>
      <w:r>
        <w:rPr>
          <w:rFonts w:hint="eastAsia" w:ascii="仿宋" w:hAnsi="仿宋" w:eastAsia="仿宋" w:cs="仿宋"/>
          <w:color w:val="auto"/>
          <w:sz w:val="24"/>
          <w:szCs w:val="24"/>
          <w:highlight w:val="none"/>
          <w:lang w:val="en-US" w:eastAsia="zh-CN"/>
        </w:rPr>
        <w:t>三</w:t>
      </w:r>
      <w:r>
        <w:rPr>
          <w:rFonts w:hint="eastAsia" w:ascii="仿宋" w:hAnsi="仿宋" w:eastAsia="仿宋" w:cs="仿宋"/>
          <w:color w:val="auto"/>
          <w:sz w:val="24"/>
          <w:szCs w:val="24"/>
          <w:highlight w:val="none"/>
        </w:rPr>
        <w:t>份，其中正本一份，副本</w:t>
      </w:r>
      <w:r>
        <w:rPr>
          <w:rFonts w:hint="eastAsia" w:ascii="仿宋" w:hAnsi="仿宋" w:eastAsia="仿宋" w:cs="仿宋"/>
          <w:color w:val="auto"/>
          <w:sz w:val="24"/>
          <w:szCs w:val="24"/>
          <w:highlight w:val="none"/>
          <w:lang w:val="en-US" w:eastAsia="zh-CN"/>
        </w:rPr>
        <w:t>一</w:t>
      </w:r>
      <w:r>
        <w:rPr>
          <w:rFonts w:hint="eastAsia" w:ascii="仿宋" w:hAnsi="仿宋" w:eastAsia="仿宋" w:cs="仿宋"/>
          <w:color w:val="auto"/>
          <w:sz w:val="24"/>
          <w:szCs w:val="24"/>
          <w:highlight w:val="none"/>
        </w:rPr>
        <w:t>份，电子文档一份（电子文档内容应与纸质文件正本一致，如不一致以纸质文件正本为准。推荐采用光盘或U盘为电子文档载体）；副本可为正本的复印件，应与正本一致，如出现不一致情况以正本为准。</w:t>
      </w:r>
    </w:p>
    <w:p>
      <w:pPr>
        <w:snapToGrid w:val="0"/>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highlight w:val="none"/>
        </w:rPr>
        <w:t>响应文件按竞争性磋商文件“第七篇响应文件编制要求”要求签署或盖章。</w:t>
      </w:r>
    </w:p>
    <w:p>
      <w:pPr>
        <w:snapToGrid w:val="0"/>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（六）响应文件的递交</w:t>
      </w:r>
    </w:p>
    <w:p>
      <w:pPr>
        <w:pStyle w:val="5"/>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响应文件的正本、副本以及电子文档均应密封送达磋商地点，应在封套上注明磋商项目名称、供应商名称。若正本、副本以及电子文档分别进行密封的，还应在封套上注明“正本”、“副本”、“电子文档”字样。</w:t>
      </w:r>
    </w:p>
    <w:p>
      <w:pPr>
        <w:snapToGrid w:val="0"/>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（七）供应商参与人员</w:t>
      </w:r>
    </w:p>
    <w:p>
      <w:pPr>
        <w:snapToGrid w:val="0"/>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各个供应商应当派1-2名代表参与磋商，至少1人应为法定代表人（或其授权代表）或自然人（供应商为自然人）。</w:t>
      </w:r>
    </w:p>
    <w:p>
      <w:pPr>
        <w:pStyle w:val="2"/>
        <w:adjustRightInd w:val="0"/>
        <w:snapToGrid w:val="0"/>
        <w:spacing w:before="0" w:after="0" w:line="400" w:lineRule="exact"/>
        <w:ind w:firstLine="482" w:firstLineChars="200"/>
        <w:rPr>
          <w:rFonts w:hint="eastAsia" w:ascii="仿宋" w:hAnsi="仿宋" w:eastAsia="仿宋" w:cs="仿宋"/>
          <w:color w:val="auto"/>
          <w:sz w:val="24"/>
          <w:highlight w:val="none"/>
        </w:rPr>
      </w:pPr>
      <w:bookmarkStart w:id="89" w:name="_Toc1508"/>
      <w:bookmarkStart w:id="90" w:name="_Toc76462341"/>
      <w:r>
        <w:rPr>
          <w:rFonts w:hint="eastAsia" w:ascii="仿宋" w:hAnsi="仿宋" w:eastAsia="仿宋" w:cs="仿宋"/>
          <w:color w:val="auto"/>
          <w:sz w:val="24"/>
          <w:highlight w:val="none"/>
        </w:rPr>
        <w:t>四、成交供应商的确认和变更</w:t>
      </w:r>
      <w:bookmarkEnd w:id="89"/>
      <w:bookmarkEnd w:id="90"/>
    </w:p>
    <w:p>
      <w:pPr>
        <w:snapToGrid w:val="0"/>
        <w:spacing w:line="400" w:lineRule="exact"/>
        <w:ind w:firstLine="480" w:firstLineChars="200"/>
        <w:outlineLvl w:val="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（一）成交供应商的确认</w:t>
      </w:r>
    </w:p>
    <w:p>
      <w:pPr>
        <w:snapToGrid w:val="0"/>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代理机构应当在评审结束后2个工作日内将评审报告送采购人确认。采购人应当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snapToGrid w:val="0"/>
        <w:spacing w:line="400" w:lineRule="exact"/>
        <w:ind w:firstLine="480" w:firstLineChars="200"/>
        <w:outlineLvl w:val="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（二）成交供应商的变更</w:t>
      </w:r>
    </w:p>
    <w:p>
      <w:pPr>
        <w:snapToGrid w:val="0"/>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highlight w:val="none"/>
        </w:rPr>
        <w:t>成交供应商拒绝与采购人签订合同的，采购人可以按照评标报告推荐的成交候选供应商顺序，确定排名下一位的候选人为成交供应商，也可以重新开展采购活动。</w:t>
      </w:r>
    </w:p>
    <w:p>
      <w:pPr>
        <w:pStyle w:val="2"/>
        <w:adjustRightInd w:val="0"/>
        <w:snapToGrid w:val="0"/>
        <w:spacing w:before="0" w:after="0" w:line="400" w:lineRule="exact"/>
        <w:ind w:firstLine="482" w:firstLineChars="200"/>
        <w:rPr>
          <w:rFonts w:hint="eastAsia" w:ascii="仿宋" w:hAnsi="仿宋" w:eastAsia="仿宋" w:cs="仿宋"/>
          <w:color w:val="auto"/>
          <w:sz w:val="24"/>
          <w:highlight w:val="none"/>
        </w:rPr>
      </w:pPr>
      <w:bookmarkStart w:id="91" w:name="_Toc22849"/>
      <w:bookmarkStart w:id="92" w:name="_Toc76462342"/>
      <w:bookmarkStart w:id="93" w:name="_Toc342913395"/>
      <w:bookmarkStart w:id="94" w:name="_Toc102227321"/>
      <w:r>
        <w:rPr>
          <w:rFonts w:hint="eastAsia" w:ascii="仿宋" w:hAnsi="仿宋" w:eastAsia="仿宋" w:cs="仿宋"/>
          <w:color w:val="auto"/>
          <w:sz w:val="24"/>
          <w:highlight w:val="none"/>
        </w:rPr>
        <w:t>五、成交通知</w:t>
      </w:r>
      <w:bookmarkEnd w:id="91"/>
      <w:bookmarkEnd w:id="92"/>
      <w:bookmarkEnd w:id="93"/>
      <w:bookmarkEnd w:id="94"/>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（一）成交供应商确定后，采购代理机构将在</w:t>
      </w:r>
      <w:r>
        <w:rPr>
          <w:rFonts w:hint="eastAsia" w:ascii="仿宋" w:hAnsi="仿宋" w:eastAsia="仿宋" w:cs="仿宋"/>
          <w:color w:val="auto"/>
          <w:sz w:val="24"/>
          <w:szCs w:val="24"/>
          <w:highlight w:val="none"/>
          <w:lang w:val="en-US" w:eastAsia="zh-CN"/>
        </w:rPr>
        <w:t>建桥工业园（http://www.jqgyy.com/）</w:t>
      </w:r>
      <w:r>
        <w:rPr>
          <w:rFonts w:hint="eastAsia" w:ascii="仿宋" w:hAnsi="仿宋" w:eastAsia="仿宋" w:cs="仿宋"/>
          <w:color w:val="auto"/>
          <w:sz w:val="24"/>
          <w:szCs w:val="24"/>
          <w:highlight w:val="none"/>
        </w:rPr>
        <w:t>上发布成交结果公告。</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（二）结果公告发出同时，采购代理机构将以书面形式发出《成交通知书》。《成交通知书》一经发出即发生法律效力。</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（三）《成交通知书》将作为签订合同的依据。</w:t>
      </w:r>
    </w:p>
    <w:p>
      <w:pPr>
        <w:pStyle w:val="2"/>
        <w:adjustRightInd w:val="0"/>
        <w:snapToGrid w:val="0"/>
        <w:spacing w:before="0" w:after="0" w:line="400" w:lineRule="exact"/>
        <w:ind w:firstLine="482" w:firstLineChars="200"/>
        <w:rPr>
          <w:rFonts w:hint="eastAsia" w:ascii="仿宋" w:hAnsi="仿宋" w:eastAsia="仿宋" w:cs="仿宋"/>
          <w:color w:val="auto"/>
          <w:sz w:val="24"/>
          <w:highlight w:val="none"/>
        </w:rPr>
      </w:pPr>
      <w:bookmarkStart w:id="95" w:name="_Toc76462343"/>
      <w:bookmarkStart w:id="96" w:name="_Toc32655"/>
      <w:r>
        <w:rPr>
          <w:rFonts w:hint="eastAsia" w:ascii="仿宋" w:hAnsi="仿宋" w:eastAsia="仿宋" w:cs="仿宋"/>
          <w:color w:val="auto"/>
          <w:sz w:val="24"/>
          <w:highlight w:val="none"/>
        </w:rPr>
        <w:t>六、关于质疑和投诉</w:t>
      </w:r>
      <w:bookmarkEnd w:id="95"/>
      <w:bookmarkEnd w:id="96"/>
    </w:p>
    <w:p>
      <w:pPr>
        <w:spacing w:line="400" w:lineRule="exact"/>
        <w:ind w:firstLine="480" w:firstLineChars="200"/>
        <w:outlineLvl w:val="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（一）质疑</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供应商认为采购文件、采购过程和成交结果使自己的权益收到伤害的，可向采购人或采购代理机构以书面形式提出质疑。</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提出质疑的应当是参与所质疑项目采购活动的供应商。 </w:t>
      </w:r>
    </w:p>
    <w:p>
      <w:pPr>
        <w:spacing w:line="400" w:lineRule="exact"/>
        <w:ind w:right="12" w:firstLine="480"/>
        <w:outlineLvl w:val="2"/>
        <w:rPr>
          <w:rFonts w:hint="eastAsia" w:ascii="仿宋" w:hAnsi="仿宋" w:eastAsia="仿宋" w:cs="仿宋"/>
          <w:color w:val="auto"/>
          <w:sz w:val="24"/>
          <w:highlight w:val="none"/>
        </w:rPr>
      </w:pPr>
      <w:r>
        <w:rPr>
          <w:rFonts w:hint="eastAsia" w:ascii="仿宋" w:hAnsi="仿宋" w:eastAsia="仿宋" w:cs="仿宋"/>
          <w:color w:val="auto"/>
          <w:sz w:val="24"/>
          <w:highlight w:val="none"/>
        </w:rPr>
        <w:t>1.质疑时限、内容</w:t>
      </w:r>
    </w:p>
    <w:p>
      <w:pPr>
        <w:spacing w:line="400" w:lineRule="exact"/>
        <w:ind w:right="12"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供应商认为采购文件、采购过程、成交结果使自己的权益受到损害的，可以在知道或者应知其权益受到损害之日起7个工作日内，以书面形式向采购人、采购代理机构提出质疑。</w:t>
      </w:r>
    </w:p>
    <w:p>
      <w:pPr>
        <w:spacing w:line="400" w:lineRule="exact"/>
        <w:ind w:right="12"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1.2供应商提出质疑应当提交质疑函和必要的证明材料，质疑函应当包括下列内容：</w:t>
      </w:r>
    </w:p>
    <w:p>
      <w:pPr>
        <w:spacing w:line="400" w:lineRule="exact"/>
        <w:ind w:right="12"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1.2.1供应商的姓名或者名称、地址、邮编、联系人及联系电话；</w:t>
      </w:r>
    </w:p>
    <w:p>
      <w:pPr>
        <w:spacing w:line="400" w:lineRule="exact"/>
        <w:ind w:right="12"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1.2.2质疑项目的名称、项目号以及采购执行编号；</w:t>
      </w:r>
    </w:p>
    <w:p>
      <w:pPr>
        <w:spacing w:line="400" w:lineRule="exact"/>
        <w:ind w:right="12"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1.2.3具体、明确的质疑事项和与质疑事项相关的请求；</w:t>
      </w:r>
    </w:p>
    <w:p>
      <w:pPr>
        <w:spacing w:line="400" w:lineRule="exact"/>
        <w:ind w:right="12"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1.2.4事实依据；</w:t>
      </w:r>
    </w:p>
    <w:p>
      <w:pPr>
        <w:spacing w:line="400" w:lineRule="exact"/>
        <w:ind w:right="12"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1.2.5必要的法律依据；</w:t>
      </w:r>
    </w:p>
    <w:p>
      <w:pPr>
        <w:spacing w:line="400" w:lineRule="exact"/>
        <w:ind w:right="12"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1.2.6提出质疑的日期；</w:t>
      </w:r>
    </w:p>
    <w:p>
      <w:pPr>
        <w:spacing w:line="400" w:lineRule="exact"/>
        <w:ind w:right="12"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1.2.7营业执照（或事业单位法人证书，或个体工商户营业执照或有效的自然人身份证明）复印件；</w:t>
      </w:r>
    </w:p>
    <w:p>
      <w:pPr>
        <w:spacing w:line="400" w:lineRule="exact"/>
        <w:ind w:right="12"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1.2.8法定代表人授权委托书原件、法定代表人身份证复印件和其授权代表的身份证复印件（供应商为自然人的提供自然人身份证复印件）；</w:t>
      </w:r>
    </w:p>
    <w:p>
      <w:pPr>
        <w:spacing w:line="400" w:lineRule="exact"/>
        <w:ind w:right="12"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1.3供应商为自然人的，质疑函应当由本人签字；供应商为法人或者其他组织的，质疑函应当由法定代表人、主要负责人，或者其授权代表签字或者盖章，并加盖公章。</w:t>
      </w:r>
    </w:p>
    <w:p>
      <w:pPr>
        <w:spacing w:line="400" w:lineRule="exact"/>
        <w:ind w:right="12" w:firstLine="480"/>
        <w:outlineLvl w:val="2"/>
        <w:rPr>
          <w:rFonts w:hint="eastAsia" w:ascii="仿宋" w:hAnsi="仿宋" w:eastAsia="仿宋" w:cs="仿宋"/>
          <w:color w:val="auto"/>
          <w:sz w:val="24"/>
          <w:highlight w:val="none"/>
        </w:rPr>
      </w:pPr>
      <w:r>
        <w:rPr>
          <w:rFonts w:hint="eastAsia" w:ascii="仿宋" w:hAnsi="仿宋" w:eastAsia="仿宋" w:cs="仿宋"/>
          <w:color w:val="auto"/>
          <w:sz w:val="24"/>
          <w:highlight w:val="none"/>
        </w:rPr>
        <w:t>2.质疑答复</w:t>
      </w:r>
    </w:p>
    <w:p>
      <w:pPr>
        <w:spacing w:line="400" w:lineRule="exact"/>
        <w:ind w:right="12"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采购人、采购代理机构应当在收到供应商的书面质疑后七个工作日内作出答复，并以书面形式通知质疑供应商和其他有关供应商。</w:t>
      </w:r>
    </w:p>
    <w:p>
      <w:pPr>
        <w:spacing w:line="400" w:lineRule="exact"/>
        <w:ind w:right="12" w:firstLine="480"/>
        <w:outlineLvl w:val="2"/>
        <w:rPr>
          <w:rFonts w:hint="eastAsia" w:ascii="仿宋" w:hAnsi="仿宋" w:eastAsia="仿宋" w:cs="仿宋"/>
          <w:color w:val="auto"/>
          <w:sz w:val="24"/>
          <w:highlight w:val="none"/>
        </w:rPr>
      </w:pPr>
      <w:r>
        <w:rPr>
          <w:rFonts w:hint="eastAsia" w:ascii="仿宋" w:hAnsi="仿宋" w:eastAsia="仿宋" w:cs="仿宋"/>
          <w:color w:val="auto"/>
          <w:sz w:val="24"/>
          <w:highlight w:val="none"/>
        </w:rPr>
        <w:t>3.其他</w:t>
      </w:r>
    </w:p>
    <w:p>
      <w:pPr>
        <w:spacing w:line="400" w:lineRule="exact"/>
        <w:ind w:right="12"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3.1供应商应按照《政府采购质疑和投诉办法》（财政部令第94号）及相关法律法规要求，在法定质疑期内一次性提出针对同一采购程序环节的质疑。</w:t>
      </w:r>
    </w:p>
    <w:p>
      <w:pPr>
        <w:spacing w:line="400" w:lineRule="exact"/>
        <w:ind w:right="12"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3.2质疑函范本可在财政部门户网站和中国政府采购网下载。</w:t>
      </w:r>
    </w:p>
    <w:p>
      <w:pPr>
        <w:spacing w:line="400" w:lineRule="exact"/>
        <w:ind w:right="12" w:firstLine="480"/>
        <w:outlineLvl w:val="2"/>
        <w:rPr>
          <w:rFonts w:hint="eastAsia" w:ascii="仿宋" w:hAnsi="仿宋" w:eastAsia="仿宋" w:cs="仿宋"/>
          <w:color w:val="auto"/>
          <w:sz w:val="24"/>
          <w:highlight w:val="none"/>
        </w:rPr>
      </w:pPr>
      <w:r>
        <w:rPr>
          <w:rFonts w:hint="eastAsia" w:ascii="仿宋" w:hAnsi="仿宋" w:eastAsia="仿宋" w:cs="仿宋"/>
          <w:color w:val="auto"/>
          <w:sz w:val="24"/>
          <w:highlight w:val="none"/>
        </w:rPr>
        <w:t>（二）投诉</w:t>
      </w:r>
    </w:p>
    <w:p>
      <w:pPr>
        <w:spacing w:line="400" w:lineRule="exact"/>
        <w:ind w:right="12"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1.供应商对采购人、采购代理机构的答复不满意，或者采购人、采购代理机构未在规定时间内作出答复的，可以在答复期满后15个工作日内按照相关法律法规向</w:t>
      </w:r>
      <w:r>
        <w:rPr>
          <w:rFonts w:hint="eastAsia" w:ascii="仿宋" w:hAnsi="仿宋" w:eastAsia="仿宋" w:cs="仿宋"/>
          <w:color w:val="auto"/>
          <w:sz w:val="24"/>
          <w:highlight w:val="none"/>
          <w:lang w:val="en-US" w:eastAsia="zh-CN"/>
        </w:rPr>
        <w:t>采购人监督部门</w:t>
      </w:r>
      <w:r>
        <w:rPr>
          <w:rFonts w:hint="eastAsia" w:ascii="仿宋" w:hAnsi="仿宋" w:eastAsia="仿宋" w:cs="仿宋"/>
          <w:color w:val="auto"/>
          <w:sz w:val="24"/>
          <w:highlight w:val="none"/>
        </w:rPr>
        <w:t>提起投诉。</w:t>
      </w:r>
    </w:p>
    <w:p>
      <w:pPr>
        <w:spacing w:line="400" w:lineRule="exact"/>
        <w:ind w:right="12"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2.供应商应按照《政府采购质疑和投诉办法》（财政部令第94号）及相关法律法规要求递交投诉书和必要的证明材料。投诉书范本可在财政部门户网站和中国政府采购网下载。</w:t>
      </w:r>
    </w:p>
    <w:p>
      <w:pPr>
        <w:spacing w:line="400" w:lineRule="exact"/>
        <w:ind w:right="12"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3.投诉书应当使用中文，相关当事人提供外文书证或者外国语视听资料的，应当附有中文译本，由翻译机构盖章或者翻译人员签名；相关当事人向采购人监督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highlight w:val="none"/>
        </w:rPr>
        <w:t>4.在确定受理投诉后，采购人监督部门自受理投诉之日起30个工作日内（需要检验、检测、鉴定、专家评审以及需要投诉人补正材料的，所需时间不计算在投诉处理期限内）对投诉事项做出处理决定。</w:t>
      </w:r>
    </w:p>
    <w:p>
      <w:pPr>
        <w:pStyle w:val="2"/>
        <w:adjustRightInd w:val="0"/>
        <w:snapToGrid w:val="0"/>
        <w:spacing w:before="0" w:after="0" w:line="400" w:lineRule="exact"/>
        <w:ind w:firstLine="482" w:firstLineChars="200"/>
        <w:rPr>
          <w:rFonts w:hint="eastAsia" w:ascii="仿宋" w:hAnsi="仿宋" w:eastAsia="仿宋" w:cs="仿宋"/>
          <w:color w:val="auto"/>
          <w:sz w:val="24"/>
          <w:highlight w:val="none"/>
        </w:rPr>
      </w:pPr>
      <w:bookmarkStart w:id="97" w:name="_Toc76462344"/>
      <w:bookmarkStart w:id="98" w:name="_Toc8551"/>
      <w:r>
        <w:rPr>
          <w:rFonts w:hint="eastAsia" w:ascii="仿宋" w:hAnsi="仿宋" w:eastAsia="仿宋" w:cs="仿宋"/>
          <w:color w:val="auto"/>
          <w:sz w:val="24"/>
          <w:highlight w:val="none"/>
        </w:rPr>
        <w:t>七、采购代理服务费</w:t>
      </w:r>
      <w:bookmarkEnd w:id="97"/>
      <w:bookmarkEnd w:id="98"/>
    </w:p>
    <w:p>
      <w:pPr>
        <w:pStyle w:val="2"/>
        <w:adjustRightInd w:val="0"/>
        <w:snapToGrid w:val="0"/>
        <w:spacing w:before="0" w:after="0" w:line="400" w:lineRule="exact"/>
        <w:ind w:firstLine="480" w:firstLineChars="200"/>
        <w:rPr>
          <w:rFonts w:hint="eastAsia" w:ascii="仿宋" w:hAnsi="仿宋" w:eastAsia="仿宋"/>
          <w:b w:val="0"/>
          <w:bCs/>
          <w:color w:val="auto"/>
          <w:sz w:val="24"/>
          <w:highlight w:val="none"/>
        </w:rPr>
      </w:pPr>
      <w:bookmarkStart w:id="99" w:name="OLE_LINK7"/>
      <w:bookmarkStart w:id="100" w:name="OLE_LINK8"/>
      <w:bookmarkStart w:id="101" w:name="_Toc32196"/>
      <w:bookmarkStart w:id="102" w:name="_Toc23497"/>
      <w:bookmarkStart w:id="103" w:name="_Toc76462345"/>
      <w:r>
        <w:rPr>
          <w:rFonts w:hint="eastAsia" w:ascii="仿宋" w:hAnsi="仿宋" w:eastAsia="仿宋"/>
          <w:b w:val="0"/>
          <w:bCs/>
          <w:color w:val="auto"/>
          <w:sz w:val="24"/>
          <w:highlight w:val="none"/>
        </w:rPr>
        <w:t>（一）供应商成交后向采购代理机构缴纳</w:t>
      </w:r>
      <w:r>
        <w:rPr>
          <w:rFonts w:hint="eastAsia" w:ascii="仿宋" w:hAnsi="仿宋" w:eastAsia="仿宋"/>
          <w:b w:val="0"/>
          <w:bCs/>
          <w:color w:val="auto"/>
          <w:sz w:val="24"/>
          <w:szCs w:val="24"/>
          <w:highlight w:val="none"/>
        </w:rPr>
        <w:t>采购</w:t>
      </w:r>
      <w:r>
        <w:rPr>
          <w:rFonts w:hint="eastAsia" w:ascii="仿宋" w:hAnsi="仿宋" w:eastAsia="仿宋"/>
          <w:b w:val="0"/>
          <w:bCs/>
          <w:color w:val="auto"/>
          <w:sz w:val="24"/>
          <w:highlight w:val="none"/>
        </w:rPr>
        <w:t>代理服务费，</w:t>
      </w:r>
      <w:r>
        <w:rPr>
          <w:rFonts w:hint="eastAsia" w:ascii="仿宋" w:hAnsi="仿宋" w:eastAsia="仿宋"/>
          <w:b w:val="0"/>
          <w:bCs/>
          <w:color w:val="auto"/>
          <w:sz w:val="24"/>
          <w:szCs w:val="24"/>
          <w:highlight w:val="none"/>
        </w:rPr>
        <w:t>采购</w:t>
      </w:r>
      <w:r>
        <w:rPr>
          <w:rFonts w:hint="eastAsia" w:ascii="仿宋" w:hAnsi="仿宋" w:eastAsia="仿宋"/>
          <w:b w:val="0"/>
          <w:bCs/>
          <w:color w:val="auto"/>
          <w:sz w:val="24"/>
          <w:highlight w:val="none"/>
        </w:rPr>
        <w:t>代理服务费</w:t>
      </w:r>
      <w:bookmarkEnd w:id="99"/>
      <w:bookmarkEnd w:id="100"/>
      <w:r>
        <w:rPr>
          <w:rFonts w:hint="eastAsia" w:ascii="仿宋" w:hAnsi="仿宋" w:eastAsia="仿宋"/>
          <w:b w:val="0"/>
          <w:bCs/>
          <w:color w:val="auto"/>
          <w:sz w:val="24"/>
          <w:highlight w:val="none"/>
        </w:rPr>
        <w:t>以项目中标金额为取费基数，</w:t>
      </w:r>
      <w:bookmarkEnd w:id="101"/>
      <w:bookmarkEnd w:id="102"/>
      <w:r>
        <w:rPr>
          <w:rFonts w:hint="eastAsia" w:ascii="仿宋" w:hAnsi="仿宋" w:eastAsia="仿宋"/>
          <w:b w:val="0"/>
          <w:bCs/>
          <w:color w:val="auto"/>
          <w:sz w:val="24"/>
          <w:highlight w:val="none"/>
        </w:rPr>
        <w:t>按中标金额的千分之五收取，不足1500元按1500元收取，超过3000元按3000元收取。</w:t>
      </w:r>
    </w:p>
    <w:p>
      <w:pPr>
        <w:spacing w:line="400" w:lineRule="exact"/>
        <w:ind w:firstLine="480" w:firstLineChars="200"/>
        <w:rPr>
          <w:rFonts w:ascii="仿宋" w:hAnsi="仿宋" w:eastAsia="仿宋" w:cs="仿宋"/>
          <w:b w:val="0"/>
          <w:bCs/>
          <w:color w:val="auto"/>
          <w:sz w:val="24"/>
          <w:highlight w:val="none"/>
        </w:rPr>
      </w:pPr>
      <w:r>
        <w:rPr>
          <w:rFonts w:hint="eastAsia" w:ascii="仿宋" w:hAnsi="仿宋" w:eastAsia="仿宋" w:cs="仿宋"/>
          <w:b w:val="0"/>
          <w:bCs/>
          <w:color w:val="auto"/>
          <w:sz w:val="24"/>
          <w:highlight w:val="none"/>
        </w:rPr>
        <w:t>（二）采购代理服务费缴纳账号：</w:t>
      </w:r>
    </w:p>
    <w:p>
      <w:pPr>
        <w:spacing w:line="400" w:lineRule="exact"/>
        <w:ind w:firstLine="480" w:firstLineChars="200"/>
        <w:rPr>
          <w:rFonts w:hint="eastAsia" w:ascii="仿宋" w:hAnsi="仿宋" w:eastAsia="仿宋" w:cs="仿宋"/>
          <w:b w:val="0"/>
          <w:bCs/>
          <w:color w:val="auto"/>
          <w:sz w:val="24"/>
          <w:highlight w:val="none"/>
          <w:lang w:eastAsia="zh-CN"/>
        </w:rPr>
      </w:pPr>
      <w:r>
        <w:rPr>
          <w:rFonts w:hint="eastAsia" w:ascii="仿宋" w:hAnsi="仿宋" w:eastAsia="仿宋" w:cs="仿宋"/>
          <w:b w:val="0"/>
          <w:bCs/>
          <w:color w:val="auto"/>
          <w:sz w:val="24"/>
          <w:highlight w:val="none"/>
        </w:rPr>
        <w:t>单位名称：</w:t>
      </w:r>
      <w:r>
        <w:rPr>
          <w:rFonts w:hint="eastAsia" w:ascii="仿宋" w:hAnsi="仿宋" w:eastAsia="仿宋" w:cs="仿宋"/>
          <w:b w:val="0"/>
          <w:bCs/>
          <w:color w:val="auto"/>
          <w:sz w:val="24"/>
          <w:highlight w:val="none"/>
          <w:lang w:eastAsia="zh-CN"/>
        </w:rPr>
        <w:t>重庆高企恒工程咨询有限公司</w:t>
      </w:r>
    </w:p>
    <w:p>
      <w:pPr>
        <w:spacing w:line="400" w:lineRule="exact"/>
        <w:ind w:firstLine="480" w:firstLineChars="200"/>
        <w:rPr>
          <w:rFonts w:ascii="仿宋" w:hAnsi="仿宋" w:eastAsia="仿宋" w:cs="仿宋"/>
          <w:b w:val="0"/>
          <w:bCs/>
          <w:color w:val="auto"/>
          <w:sz w:val="24"/>
          <w:highlight w:val="none"/>
        </w:rPr>
      </w:pPr>
      <w:r>
        <w:rPr>
          <w:rFonts w:hint="eastAsia" w:ascii="仿宋" w:hAnsi="仿宋" w:eastAsia="仿宋" w:cs="仿宋"/>
          <w:b w:val="0"/>
          <w:bCs/>
          <w:color w:val="auto"/>
          <w:sz w:val="24"/>
          <w:highlight w:val="none"/>
        </w:rPr>
        <w:t>账号：123916393110101</w:t>
      </w:r>
    </w:p>
    <w:p>
      <w:pPr>
        <w:spacing w:line="400" w:lineRule="exact"/>
        <w:ind w:firstLine="480" w:firstLineChars="200"/>
        <w:rPr>
          <w:rFonts w:hint="eastAsia" w:ascii="仿宋" w:hAnsi="仿宋" w:eastAsia="仿宋"/>
          <w:b w:val="0"/>
          <w:bCs/>
          <w:color w:val="auto"/>
          <w:sz w:val="24"/>
          <w:highlight w:val="none"/>
        </w:rPr>
      </w:pPr>
      <w:r>
        <w:rPr>
          <w:rFonts w:hint="eastAsia" w:ascii="仿宋" w:hAnsi="仿宋" w:eastAsia="仿宋" w:cs="仿宋"/>
          <w:b w:val="0"/>
          <w:bCs/>
          <w:color w:val="auto"/>
          <w:sz w:val="24"/>
          <w:highlight w:val="none"/>
        </w:rPr>
        <w:t>开户行：招商银行重庆大渡口支行</w:t>
      </w:r>
    </w:p>
    <w:p>
      <w:pPr>
        <w:pStyle w:val="2"/>
        <w:adjustRightInd w:val="0"/>
        <w:snapToGrid w:val="0"/>
        <w:spacing w:before="0" w:after="0" w:line="400" w:lineRule="exact"/>
        <w:ind w:firstLine="482" w:firstLineChars="200"/>
        <w:rPr>
          <w:rFonts w:hint="eastAsia" w:ascii="仿宋" w:hAnsi="仿宋" w:eastAsia="仿宋" w:cs="仿宋"/>
          <w:color w:val="auto"/>
          <w:sz w:val="24"/>
          <w:highlight w:val="none"/>
        </w:rPr>
      </w:pPr>
      <w:bookmarkStart w:id="104" w:name="_Toc11600"/>
      <w:r>
        <w:rPr>
          <w:rFonts w:hint="eastAsia" w:ascii="仿宋" w:hAnsi="仿宋" w:eastAsia="仿宋" w:cs="仿宋"/>
          <w:color w:val="auto"/>
          <w:sz w:val="24"/>
          <w:highlight w:val="none"/>
        </w:rPr>
        <w:t>八、</w:t>
      </w:r>
      <w:bookmarkEnd w:id="103"/>
      <w:bookmarkStart w:id="105" w:name="_Toc102227322"/>
      <w:bookmarkStart w:id="106" w:name="_Toc76462346"/>
      <w:bookmarkStart w:id="107" w:name="_Toc342913396"/>
      <w:bookmarkStart w:id="108" w:name="_Toc11641055"/>
      <w:bookmarkStart w:id="109" w:name="_Toc12789059"/>
      <w:r>
        <w:rPr>
          <w:rFonts w:hint="eastAsia" w:ascii="仿宋" w:hAnsi="仿宋" w:eastAsia="仿宋" w:cs="仿宋"/>
          <w:color w:val="auto"/>
          <w:sz w:val="24"/>
          <w:highlight w:val="none"/>
        </w:rPr>
        <w:t>签订</w:t>
      </w:r>
      <w:bookmarkEnd w:id="105"/>
      <w:r>
        <w:rPr>
          <w:rFonts w:hint="eastAsia" w:ascii="仿宋" w:hAnsi="仿宋" w:eastAsia="仿宋" w:cs="仿宋"/>
          <w:color w:val="auto"/>
          <w:sz w:val="24"/>
          <w:highlight w:val="none"/>
        </w:rPr>
        <w:t>合同</w:t>
      </w:r>
      <w:bookmarkEnd w:id="104"/>
      <w:bookmarkEnd w:id="106"/>
      <w:bookmarkEnd w:id="107"/>
    </w:p>
    <w:p>
      <w:pPr>
        <w:spacing w:line="400" w:lineRule="exact"/>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w:t>
      </w:r>
      <w:r>
        <w:rPr>
          <w:rFonts w:hint="eastAsia" w:ascii="仿宋" w:hAnsi="仿宋" w:eastAsia="仿宋" w:cs="仿宋"/>
          <w:color w:val="auto"/>
          <w:sz w:val="24"/>
          <w:highlight w:val="none"/>
        </w:rPr>
        <w:t>采购人原则上应在成交通知书发出之日起二十日内和成交供应商签订采购合同，无正当理由不得拒绝或拖延合同签订</w:t>
      </w:r>
      <w:r>
        <w:rPr>
          <w:rFonts w:hint="eastAsia" w:ascii="仿宋" w:hAnsi="仿宋" w:eastAsia="仿宋" w:cs="仿宋"/>
          <w:color w:val="auto"/>
          <w:sz w:val="24"/>
          <w:szCs w:val="24"/>
          <w:highlight w:val="none"/>
        </w:rPr>
        <w:t>。所签订的合同不得对竞争性磋商文件和供应商的响应文件作实质性修改。其他未尽事宜由采购人和成交供应商在采购合同中详细约定。</w:t>
      </w:r>
    </w:p>
    <w:p>
      <w:pPr>
        <w:spacing w:line="400" w:lineRule="exact"/>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（二）竞争性磋商文件、供应商的响应文件及澄清文件等，均为签订采购合同的依据。</w:t>
      </w:r>
    </w:p>
    <w:p>
      <w:pPr>
        <w:spacing w:line="400" w:lineRule="exact"/>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三</w:t>
      </w:r>
      <w:r>
        <w:rPr>
          <w:rFonts w:hint="eastAsia" w:ascii="仿宋" w:hAnsi="仿宋" w:eastAsia="仿宋" w:cs="仿宋"/>
          <w:color w:val="auto"/>
          <w:sz w:val="24"/>
          <w:szCs w:val="24"/>
          <w:highlight w:val="none"/>
        </w:rPr>
        <w:t>）合同生效条款由供需双方约定，法律、行政法规规定应当办理批准、登记等手续后生效的合同，依照其规定。</w:t>
      </w:r>
    </w:p>
    <w:p>
      <w:pPr>
        <w:pStyle w:val="2"/>
        <w:adjustRightInd w:val="0"/>
        <w:snapToGrid w:val="0"/>
        <w:spacing w:before="0" w:after="0" w:line="400" w:lineRule="exact"/>
        <w:ind w:firstLine="482" w:firstLineChars="200"/>
        <w:rPr>
          <w:rFonts w:hint="eastAsia" w:ascii="仿宋" w:hAnsi="仿宋" w:eastAsia="仿宋" w:cs="仿宋"/>
          <w:color w:val="auto"/>
          <w:sz w:val="24"/>
          <w:highlight w:val="none"/>
        </w:rPr>
      </w:pPr>
      <w:bookmarkStart w:id="110" w:name="_Toc20846"/>
      <w:r>
        <w:rPr>
          <w:rFonts w:hint="eastAsia" w:ascii="仿宋" w:hAnsi="仿宋" w:eastAsia="仿宋" w:cs="仿宋"/>
          <w:color w:val="auto"/>
          <w:sz w:val="24"/>
          <w:highlight w:val="none"/>
          <w:lang w:val="en-US" w:eastAsia="zh-CN"/>
        </w:rPr>
        <w:t>九</w:t>
      </w:r>
      <w:r>
        <w:rPr>
          <w:rFonts w:hint="eastAsia" w:ascii="仿宋" w:hAnsi="仿宋" w:eastAsia="仿宋" w:cs="仿宋"/>
          <w:color w:val="auto"/>
          <w:sz w:val="24"/>
          <w:highlight w:val="none"/>
        </w:rPr>
        <w:t>、项目验收</w:t>
      </w:r>
      <w:bookmarkEnd w:id="110"/>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highlight w:val="none"/>
        </w:rPr>
        <w:t>合同执行完毕，采购人或采购代理机构原则上应在7个工作日内组织履约情况验收，不得无故拖延或附加额外条件。</w:t>
      </w:r>
    </w:p>
    <w:p>
      <w:pPr>
        <w:spacing w:line="400" w:lineRule="exact"/>
        <w:ind w:firstLine="480" w:firstLineChars="200"/>
        <w:rPr>
          <w:rFonts w:hint="eastAsia" w:ascii="仿宋" w:hAnsi="仿宋" w:eastAsia="仿宋" w:cs="仿宋"/>
          <w:color w:val="auto"/>
          <w:sz w:val="24"/>
          <w:szCs w:val="24"/>
          <w:highlight w:val="none"/>
        </w:rPr>
      </w:pPr>
    </w:p>
    <w:p>
      <w:pPr>
        <w:pStyle w:val="2"/>
        <w:spacing w:before="0" w:after="0" w:line="360" w:lineRule="auto"/>
        <w:jc w:val="center"/>
        <w:rPr>
          <w:rFonts w:hint="eastAsia" w:ascii="仿宋" w:hAnsi="仿宋" w:eastAsia="仿宋" w:cs="仿宋"/>
          <w:b w:val="0"/>
          <w:color w:val="auto"/>
          <w:sz w:val="36"/>
          <w:szCs w:val="30"/>
          <w:highlight w:val="none"/>
        </w:rPr>
      </w:pPr>
      <w:r>
        <w:rPr>
          <w:rFonts w:hint="eastAsia" w:ascii="仿宋" w:hAnsi="仿宋" w:eastAsia="仿宋" w:cs="仿宋"/>
          <w:color w:val="auto"/>
          <w:sz w:val="36"/>
          <w:szCs w:val="30"/>
          <w:highlight w:val="none"/>
        </w:rPr>
        <w:br w:type="page"/>
      </w:r>
      <w:bookmarkStart w:id="111" w:name="_Toc13073"/>
      <w:bookmarkStart w:id="112" w:name="_Toc76462348"/>
      <w:r>
        <w:rPr>
          <w:rFonts w:hint="eastAsia" w:ascii="仿宋" w:hAnsi="仿宋" w:eastAsia="仿宋" w:cs="仿宋"/>
          <w:b w:val="0"/>
          <w:color w:val="auto"/>
          <w:sz w:val="36"/>
          <w:szCs w:val="30"/>
          <w:highlight w:val="none"/>
        </w:rPr>
        <w:t xml:space="preserve">第六篇  </w:t>
      </w:r>
      <w:bookmarkEnd w:id="108"/>
      <w:bookmarkEnd w:id="109"/>
      <w:r>
        <w:rPr>
          <w:rFonts w:hint="eastAsia" w:ascii="仿宋" w:hAnsi="仿宋" w:eastAsia="仿宋" w:cs="仿宋"/>
          <w:b w:val="0"/>
          <w:color w:val="auto"/>
          <w:sz w:val="36"/>
          <w:szCs w:val="30"/>
          <w:highlight w:val="none"/>
        </w:rPr>
        <w:t>合同</w:t>
      </w:r>
      <w:bookmarkEnd w:id="111"/>
      <w:bookmarkEnd w:id="112"/>
    </w:p>
    <w:p>
      <w:pPr>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合同自拟</w:t>
      </w:r>
    </w:p>
    <w:p>
      <w:pPr>
        <w:tabs>
          <w:tab w:val="left" w:pos="9000"/>
        </w:tabs>
        <w:spacing w:line="276" w:lineRule="auto"/>
        <w:jc w:val="center"/>
        <w:rPr>
          <w:rFonts w:hint="eastAsia" w:ascii="仿宋" w:hAnsi="仿宋" w:eastAsia="仿宋" w:cs="仿宋"/>
          <w:color w:val="auto"/>
          <w:sz w:val="21"/>
          <w:szCs w:val="21"/>
          <w:highlight w:val="none"/>
        </w:rPr>
        <w:sectPr>
          <w:footerReference r:id="rId10" w:type="default"/>
          <w:footerReference r:id="rId11" w:type="even"/>
          <w:pgSz w:w="11907" w:h="16840"/>
          <w:pgMar w:top="1134" w:right="1191" w:bottom="1134" w:left="1304" w:header="964" w:footer="992" w:gutter="0"/>
          <w:pgNumType w:fmt="numberInDash"/>
          <w:cols w:space="720" w:num="1"/>
          <w:docGrid w:linePitch="312" w:charSpace="0"/>
        </w:sectPr>
      </w:pPr>
    </w:p>
    <w:p>
      <w:pPr>
        <w:pStyle w:val="2"/>
        <w:spacing w:before="0" w:after="0" w:line="360" w:lineRule="auto"/>
        <w:jc w:val="center"/>
        <w:rPr>
          <w:rFonts w:hint="eastAsia" w:ascii="仿宋" w:hAnsi="仿宋" w:eastAsia="仿宋" w:cs="仿宋"/>
          <w:b w:val="0"/>
          <w:color w:val="auto"/>
          <w:sz w:val="36"/>
          <w:szCs w:val="30"/>
          <w:highlight w:val="none"/>
        </w:rPr>
      </w:pPr>
      <w:bookmarkStart w:id="113" w:name="_Hlt41879464"/>
      <w:bookmarkEnd w:id="113"/>
      <w:bookmarkStart w:id="114" w:name="_Toc31908"/>
      <w:bookmarkStart w:id="115" w:name="_Toc76462349"/>
      <w:r>
        <w:rPr>
          <w:rFonts w:hint="eastAsia" w:ascii="仿宋" w:hAnsi="仿宋" w:eastAsia="仿宋" w:cs="仿宋"/>
          <w:b w:val="0"/>
          <w:color w:val="auto"/>
          <w:sz w:val="36"/>
          <w:szCs w:val="30"/>
          <w:highlight w:val="none"/>
        </w:rPr>
        <w:t>第七篇  响应文件编制要求</w:t>
      </w:r>
      <w:bookmarkEnd w:id="114"/>
      <w:bookmarkEnd w:id="115"/>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一、经济部分</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（一）竞争性磋商报价函</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二、服务部分</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（一）服务响应偏离表</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（二）其他资料（格式自定）</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三、商务部分</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（一）商务响应偏离表</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（二）其它优惠服务承诺（格式自定）</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四、资格条件及其他</w:t>
      </w:r>
    </w:p>
    <w:p>
      <w:pPr>
        <w:snapToGrid w:val="0"/>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（一）法人营业执照（副本）或事业单位法人证书（副本）或个体工商户营业执照或有效的自然人身份证明或社会团体法人登记证书复印件</w:t>
      </w:r>
    </w:p>
    <w:p>
      <w:pPr>
        <w:snapToGrid w:val="0"/>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（二）法定代表人身份证明书（格式）</w:t>
      </w:r>
    </w:p>
    <w:p>
      <w:pPr>
        <w:snapToGrid w:val="0"/>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（三）法定代表人授权委托书（格式）</w:t>
      </w:r>
    </w:p>
    <w:p>
      <w:pPr>
        <w:snapToGrid w:val="0"/>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（四）基本资格条件承诺函（格式）</w:t>
      </w:r>
    </w:p>
    <w:p>
      <w:pPr>
        <w:snapToGrid w:val="0"/>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（五）特定资格条件证书或证明文件</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五、其他资料</w:t>
      </w:r>
    </w:p>
    <w:p>
      <w:pPr>
        <w:spacing w:line="400" w:lineRule="exact"/>
        <w:ind w:firstLine="480" w:firstLineChars="200"/>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（一）中小企业声明函、监狱企业证明文件、残疾人福利性单位声明函</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（二）其他与项目有关的资料</w:t>
      </w:r>
    </w:p>
    <w:p>
      <w:pPr>
        <w:snapToGrid w:val="0"/>
        <w:spacing w:line="360" w:lineRule="auto"/>
        <w:rPr>
          <w:rFonts w:hint="eastAsia" w:ascii="仿宋" w:hAnsi="仿宋" w:eastAsia="仿宋" w:cs="仿宋"/>
          <w:color w:val="auto"/>
          <w:sz w:val="24"/>
          <w:szCs w:val="24"/>
          <w:highlight w:val="none"/>
          <w:bdr w:val="single" w:color="auto" w:sz="4" w:space="0"/>
        </w:rPr>
        <w:sectPr>
          <w:pgSz w:w="11907" w:h="16840"/>
          <w:pgMar w:top="1134" w:right="1191" w:bottom="1134" w:left="1304" w:header="851" w:footer="992" w:gutter="0"/>
          <w:pgNumType w:fmt="numberInDash"/>
          <w:cols w:space="720" w:num="1"/>
          <w:docGrid w:linePitch="380" w:charSpace="-5735"/>
        </w:sectPr>
      </w:pPr>
    </w:p>
    <w:p>
      <w:pPr>
        <w:pStyle w:val="2"/>
        <w:adjustRightInd w:val="0"/>
        <w:snapToGrid w:val="0"/>
        <w:spacing w:before="0" w:after="0" w:line="400" w:lineRule="exact"/>
        <w:ind w:firstLine="482" w:firstLineChars="200"/>
        <w:rPr>
          <w:rFonts w:hint="eastAsia" w:ascii="仿宋" w:hAnsi="仿宋" w:eastAsia="仿宋" w:cs="仿宋"/>
          <w:color w:val="auto"/>
          <w:sz w:val="24"/>
          <w:highlight w:val="none"/>
        </w:rPr>
      </w:pPr>
      <w:bookmarkStart w:id="116" w:name="_Toc313008356"/>
      <w:bookmarkStart w:id="117" w:name="_Toc313888360"/>
      <w:bookmarkStart w:id="118" w:name="_Toc76462350"/>
      <w:bookmarkStart w:id="119" w:name="_Toc342913419"/>
      <w:bookmarkStart w:id="120" w:name="_Toc2851"/>
      <w:bookmarkStart w:id="121" w:name="_Toc283382454"/>
      <w:bookmarkStart w:id="122" w:name="_Toc12789073"/>
      <w:r>
        <w:rPr>
          <w:rFonts w:hint="eastAsia" w:ascii="仿宋" w:hAnsi="仿宋" w:eastAsia="仿宋" w:cs="仿宋"/>
          <w:color w:val="auto"/>
          <w:sz w:val="24"/>
          <w:highlight w:val="none"/>
        </w:rPr>
        <w:t>一、经济部分</w:t>
      </w:r>
      <w:bookmarkEnd w:id="116"/>
      <w:bookmarkEnd w:id="117"/>
      <w:bookmarkEnd w:id="118"/>
      <w:bookmarkEnd w:id="119"/>
      <w:bookmarkEnd w:id="120"/>
    </w:p>
    <w:bookmarkEnd w:id="121"/>
    <w:bookmarkEnd w:id="122"/>
    <w:p>
      <w:pPr>
        <w:tabs>
          <w:tab w:val="left" w:pos="6300"/>
        </w:tabs>
        <w:snapToGrid w:val="0"/>
        <w:spacing w:line="312"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（一）竞争性磋商报价函</w:t>
      </w:r>
    </w:p>
    <w:p>
      <w:pPr>
        <w:jc w:val="center"/>
        <w:rPr>
          <w:rFonts w:hint="eastAsia" w:ascii="仿宋" w:hAnsi="仿宋" w:eastAsia="仿宋" w:cs="仿宋"/>
          <w:b/>
          <w:color w:val="auto"/>
          <w:szCs w:val="28"/>
          <w:highlight w:val="none"/>
        </w:rPr>
      </w:pPr>
      <w:r>
        <w:rPr>
          <w:rFonts w:hint="eastAsia" w:ascii="仿宋" w:hAnsi="仿宋" w:eastAsia="仿宋" w:cs="仿宋"/>
          <w:b/>
          <w:color w:val="auto"/>
          <w:szCs w:val="28"/>
          <w:highlight w:val="none"/>
        </w:rPr>
        <w:t>竞争性磋商报价函</w:t>
      </w:r>
    </w:p>
    <w:p>
      <w:pPr>
        <w:tabs>
          <w:tab w:val="left" w:pos="6300"/>
        </w:tabs>
        <w:snapToGrid w:val="0"/>
        <w:spacing w:line="312"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rPr>
        <w:t>（采购代理机构名称）</w:t>
      </w:r>
      <w:r>
        <w:rPr>
          <w:rFonts w:hint="eastAsia" w:ascii="仿宋" w:hAnsi="仿宋" w:eastAsia="仿宋" w:cs="仿宋"/>
          <w:color w:val="auto"/>
          <w:sz w:val="24"/>
          <w:szCs w:val="24"/>
          <w:highlight w:val="none"/>
        </w:rPr>
        <w:t>：</w:t>
      </w:r>
    </w:p>
    <w:p>
      <w:pPr>
        <w:tabs>
          <w:tab w:val="left" w:pos="6300"/>
        </w:tabs>
        <w:snapToGrid w:val="0"/>
        <w:spacing w:line="312"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我方收到____________________________（磋商项目名称）的竞争性磋商文件，经详细研究，决定参加该项目的磋商。</w:t>
      </w:r>
    </w:p>
    <w:p>
      <w:pPr>
        <w:tabs>
          <w:tab w:val="left" w:pos="6300"/>
        </w:tabs>
        <w:snapToGrid w:val="0"/>
        <w:spacing w:line="312"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1.愿意按照竞争性磋商文件中的一切要求，提供本项目的服务，初始折扣率报价大写：</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；小写：</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。以项目暂定建安工程费4.2亿元为计费基数,初始暂定总报价为人民币大写：</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元整；人民币小写：</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元。最终以我公司最后报价为准。</w:t>
      </w:r>
    </w:p>
    <w:p>
      <w:pPr>
        <w:tabs>
          <w:tab w:val="left" w:pos="6300"/>
        </w:tabs>
        <w:snapToGrid w:val="0"/>
        <w:spacing w:line="312"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2.我方现提交的响应文件为：响应文件正本</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份，副本</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份，电子文档</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份。</w:t>
      </w:r>
    </w:p>
    <w:p>
      <w:pPr>
        <w:tabs>
          <w:tab w:val="left" w:pos="6300"/>
        </w:tabs>
        <w:snapToGrid w:val="0"/>
        <w:spacing w:line="312"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3.我方承诺：本次磋商的有效期为提交响应文件截止时间起90天。</w:t>
      </w:r>
    </w:p>
    <w:p>
      <w:pPr>
        <w:tabs>
          <w:tab w:val="left" w:pos="6300"/>
        </w:tabs>
        <w:snapToGrid w:val="0"/>
        <w:spacing w:line="312"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4.我方完全理解和接受贵方竞争性磋商文件的一切规定和要求及评审办法。</w:t>
      </w:r>
    </w:p>
    <w:p>
      <w:pPr>
        <w:tabs>
          <w:tab w:val="left" w:pos="6300"/>
        </w:tabs>
        <w:snapToGrid w:val="0"/>
        <w:spacing w:line="312"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5.在整个竞争性磋商过程中，我方若有违规行为，接受按照《中华人民共和国政府采购法》和《竞争性磋商文件》之规定给予惩罚。</w:t>
      </w:r>
    </w:p>
    <w:p>
      <w:pPr>
        <w:tabs>
          <w:tab w:val="left" w:pos="6300"/>
        </w:tabs>
        <w:snapToGrid w:val="0"/>
        <w:spacing w:line="312"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6.我方若成为成交供应商，将按照最终磋商结果签订合同，并且严格履行合同义务。本承诺函将成为合同不可分割的一部分，与合同具有同等的法律效力。</w:t>
      </w:r>
    </w:p>
    <w:p>
      <w:pPr>
        <w:tabs>
          <w:tab w:val="left" w:pos="6300"/>
        </w:tabs>
        <w:snapToGrid w:val="0"/>
        <w:spacing w:line="312"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7.如果我方成为成交供应商，保证在接到成交通知书后，向采购代理机构缴纳竞争性磋商文件规定的采购代理服务费。</w:t>
      </w:r>
    </w:p>
    <w:p>
      <w:pPr>
        <w:tabs>
          <w:tab w:val="left" w:pos="6300"/>
        </w:tabs>
        <w:snapToGrid w:val="0"/>
        <w:spacing w:line="312"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8"/>
          <w:highlight w:val="none"/>
          <w:lang w:val="en-US" w:eastAsia="zh-CN"/>
        </w:rPr>
        <w:t>8.</w:t>
      </w:r>
      <w:r>
        <w:rPr>
          <w:rFonts w:hint="eastAsia" w:ascii="仿宋" w:hAnsi="仿宋" w:eastAsia="仿宋" w:cs="仿宋"/>
          <w:color w:val="auto"/>
          <w:sz w:val="24"/>
          <w:szCs w:val="28"/>
          <w:highlight w:val="none"/>
        </w:rPr>
        <w:t>我方未</w:t>
      </w:r>
      <w:r>
        <w:rPr>
          <w:rFonts w:hint="eastAsia" w:ascii="仿宋" w:hAnsi="仿宋" w:eastAsia="仿宋" w:cs="仿宋"/>
          <w:color w:val="auto"/>
          <w:sz w:val="24"/>
          <w:szCs w:val="24"/>
          <w:highlight w:val="none"/>
        </w:rPr>
        <w:t>为采购项目提供整体设计、规范编制或者项目管理、监理、检测等服务。</w:t>
      </w:r>
    </w:p>
    <w:p>
      <w:pPr>
        <w:tabs>
          <w:tab w:val="left" w:pos="6300"/>
        </w:tabs>
        <w:snapToGrid w:val="0"/>
        <w:spacing w:line="312" w:lineRule="auto"/>
        <w:ind w:firstLine="57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供应商（公章）或自然人签署：</w:t>
      </w:r>
    </w:p>
    <w:p>
      <w:pPr>
        <w:tabs>
          <w:tab w:val="left" w:pos="6300"/>
        </w:tabs>
        <w:snapToGrid w:val="0"/>
        <w:spacing w:line="312" w:lineRule="auto"/>
        <w:ind w:firstLine="57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地址：  </w:t>
      </w:r>
    </w:p>
    <w:p>
      <w:pPr>
        <w:tabs>
          <w:tab w:val="left" w:pos="6300"/>
        </w:tabs>
        <w:snapToGrid w:val="0"/>
        <w:spacing w:line="312" w:lineRule="auto"/>
        <w:ind w:firstLine="57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电话：                                             传真：</w:t>
      </w:r>
    </w:p>
    <w:p>
      <w:pPr>
        <w:tabs>
          <w:tab w:val="left" w:pos="6300"/>
        </w:tabs>
        <w:snapToGrid w:val="0"/>
        <w:spacing w:line="312" w:lineRule="auto"/>
        <w:ind w:firstLine="57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网址：                                             邮编：</w:t>
      </w:r>
    </w:p>
    <w:p>
      <w:pPr>
        <w:tabs>
          <w:tab w:val="left" w:pos="6300"/>
        </w:tabs>
        <w:snapToGrid w:val="0"/>
        <w:spacing w:line="312" w:lineRule="auto"/>
        <w:ind w:firstLine="57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联系人：</w:t>
      </w:r>
    </w:p>
    <w:p>
      <w:pPr>
        <w:snapToGrid w:val="0"/>
        <w:spacing w:line="312" w:lineRule="auto"/>
        <w:ind w:firstLine="480" w:firstLineChars="200"/>
        <w:rPr>
          <w:rFonts w:hint="eastAsia" w:ascii="仿宋" w:hAnsi="仿宋" w:eastAsia="仿宋" w:cs="仿宋"/>
          <w:color w:val="auto"/>
          <w:sz w:val="24"/>
          <w:szCs w:val="24"/>
          <w:highlight w:val="none"/>
        </w:rPr>
        <w:sectPr>
          <w:pgSz w:w="11907" w:h="16840"/>
          <w:pgMar w:top="1134" w:right="1191" w:bottom="1134" w:left="1304" w:header="851" w:footer="992" w:gutter="0"/>
          <w:pgNumType w:fmt="numberInDash"/>
          <w:cols w:space="720" w:num="1"/>
          <w:docGrid w:linePitch="380" w:charSpace="-5735"/>
        </w:sectPr>
      </w:pPr>
      <w:r>
        <w:rPr>
          <w:rFonts w:hint="eastAsia" w:ascii="仿宋" w:hAnsi="仿宋" w:eastAsia="仿宋" w:cs="仿宋"/>
          <w:color w:val="auto"/>
          <w:sz w:val="24"/>
          <w:szCs w:val="24"/>
          <w:highlight w:val="none"/>
        </w:rPr>
        <w:t xml:space="preserve">                                                  年   月   日</w:t>
      </w:r>
    </w:p>
    <w:p>
      <w:pPr>
        <w:pStyle w:val="2"/>
        <w:adjustRightInd w:val="0"/>
        <w:snapToGrid w:val="0"/>
        <w:spacing w:before="0" w:after="0" w:line="400" w:lineRule="exact"/>
        <w:ind w:firstLine="482" w:firstLineChars="200"/>
        <w:rPr>
          <w:rFonts w:hint="eastAsia" w:ascii="仿宋" w:hAnsi="仿宋" w:eastAsia="仿宋" w:cs="仿宋"/>
          <w:color w:val="auto"/>
          <w:sz w:val="24"/>
          <w:highlight w:val="none"/>
        </w:rPr>
      </w:pPr>
      <w:bookmarkStart w:id="123" w:name="_Toc14836"/>
      <w:bookmarkStart w:id="124" w:name="_Toc313888361"/>
      <w:bookmarkStart w:id="125" w:name="_Toc76462351"/>
      <w:bookmarkStart w:id="126" w:name="_Toc313008357"/>
      <w:bookmarkStart w:id="127" w:name="_Toc342913420"/>
      <w:r>
        <w:rPr>
          <w:rFonts w:hint="eastAsia" w:ascii="仿宋" w:hAnsi="仿宋" w:eastAsia="仿宋" w:cs="仿宋"/>
          <w:color w:val="auto"/>
          <w:sz w:val="24"/>
          <w:highlight w:val="none"/>
        </w:rPr>
        <w:t>二、服务部分</w:t>
      </w:r>
      <w:bookmarkEnd w:id="123"/>
      <w:bookmarkEnd w:id="124"/>
      <w:bookmarkEnd w:id="125"/>
      <w:bookmarkEnd w:id="126"/>
      <w:bookmarkEnd w:id="127"/>
    </w:p>
    <w:p>
      <w:pPr>
        <w:tabs>
          <w:tab w:val="left" w:pos="6300"/>
        </w:tabs>
        <w:snapToGrid w:val="0"/>
        <w:spacing w:line="40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 w:val="24"/>
          <w:szCs w:val="24"/>
          <w:highlight w:val="none"/>
        </w:rPr>
        <w:t>（一）服务响应偏离表</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项目号：                                </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磋商项目名称：</w:t>
      </w:r>
    </w:p>
    <w:tbl>
      <w:tblPr>
        <w:tblStyle w:val="1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2967"/>
        <w:gridCol w:w="3081"/>
        <w:gridCol w:w="2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660" w:type="pct"/>
            <w:noWrap w:val="0"/>
            <w:vAlign w:val="center"/>
          </w:tcPr>
          <w:p>
            <w:pPr>
              <w:tabs>
                <w:tab w:val="left" w:pos="6300"/>
              </w:tabs>
              <w:snapToGrid w:val="0"/>
              <w:spacing w:line="500" w:lineRule="exact"/>
              <w:jc w:val="center"/>
              <w:outlineLvl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序号</w:t>
            </w:r>
          </w:p>
        </w:tc>
        <w:tc>
          <w:tcPr>
            <w:tcW w:w="1541" w:type="pct"/>
            <w:noWrap w:val="0"/>
            <w:vAlign w:val="center"/>
          </w:tcPr>
          <w:p>
            <w:pPr>
              <w:tabs>
                <w:tab w:val="left" w:pos="6300"/>
              </w:tabs>
              <w:snapToGrid w:val="0"/>
              <w:spacing w:line="500" w:lineRule="exact"/>
              <w:jc w:val="center"/>
              <w:outlineLvl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采购需求</w:t>
            </w:r>
          </w:p>
        </w:tc>
        <w:tc>
          <w:tcPr>
            <w:tcW w:w="1600" w:type="pct"/>
            <w:noWrap w:val="0"/>
            <w:vAlign w:val="center"/>
          </w:tcPr>
          <w:p>
            <w:pPr>
              <w:tabs>
                <w:tab w:val="left" w:pos="6300"/>
              </w:tabs>
              <w:snapToGrid w:val="0"/>
              <w:spacing w:line="500" w:lineRule="exact"/>
              <w:jc w:val="center"/>
              <w:outlineLvl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响应情况</w:t>
            </w:r>
          </w:p>
        </w:tc>
        <w:tc>
          <w:tcPr>
            <w:tcW w:w="1199" w:type="pct"/>
            <w:noWrap w:val="0"/>
            <w:vAlign w:val="center"/>
          </w:tcPr>
          <w:p>
            <w:pPr>
              <w:tabs>
                <w:tab w:val="left" w:pos="6300"/>
              </w:tabs>
              <w:snapToGrid w:val="0"/>
              <w:spacing w:line="500" w:lineRule="exact"/>
              <w:jc w:val="center"/>
              <w:outlineLvl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0" w:type="pct"/>
            <w:noWrap w:val="0"/>
            <w:vAlign w:val="center"/>
          </w:tcPr>
          <w:p>
            <w:pPr>
              <w:tabs>
                <w:tab w:val="left" w:pos="6300"/>
              </w:tabs>
              <w:snapToGrid w:val="0"/>
              <w:spacing w:line="500" w:lineRule="exact"/>
              <w:jc w:val="center"/>
              <w:outlineLvl w:val="0"/>
              <w:rPr>
                <w:rFonts w:hint="eastAsia" w:ascii="仿宋" w:hAnsi="仿宋" w:eastAsia="仿宋" w:cs="仿宋"/>
                <w:color w:val="auto"/>
                <w:sz w:val="21"/>
                <w:szCs w:val="21"/>
                <w:highlight w:val="none"/>
              </w:rPr>
            </w:pPr>
          </w:p>
        </w:tc>
        <w:tc>
          <w:tcPr>
            <w:tcW w:w="1541" w:type="pct"/>
            <w:noWrap w:val="0"/>
            <w:vAlign w:val="center"/>
          </w:tcPr>
          <w:p>
            <w:pPr>
              <w:tabs>
                <w:tab w:val="left" w:pos="6300"/>
              </w:tabs>
              <w:snapToGrid w:val="0"/>
              <w:spacing w:line="500" w:lineRule="exact"/>
              <w:jc w:val="center"/>
              <w:outlineLvl w:val="0"/>
              <w:rPr>
                <w:rFonts w:hint="eastAsia" w:ascii="仿宋" w:hAnsi="仿宋" w:eastAsia="仿宋" w:cs="仿宋"/>
                <w:color w:val="auto"/>
                <w:sz w:val="21"/>
                <w:szCs w:val="21"/>
                <w:highlight w:val="none"/>
              </w:rPr>
            </w:pPr>
          </w:p>
        </w:tc>
        <w:tc>
          <w:tcPr>
            <w:tcW w:w="1600" w:type="pct"/>
            <w:noWrap w:val="0"/>
            <w:vAlign w:val="center"/>
          </w:tcPr>
          <w:p>
            <w:pPr>
              <w:tabs>
                <w:tab w:val="left" w:pos="6300"/>
              </w:tabs>
              <w:snapToGrid w:val="0"/>
              <w:spacing w:line="500" w:lineRule="exact"/>
              <w:outlineLvl w:val="0"/>
              <w:rPr>
                <w:rFonts w:hint="eastAsia" w:ascii="仿宋" w:hAnsi="仿宋" w:eastAsia="仿宋" w:cs="仿宋"/>
                <w:color w:val="auto"/>
                <w:sz w:val="21"/>
                <w:szCs w:val="21"/>
                <w:highlight w:val="none"/>
              </w:rPr>
            </w:pPr>
          </w:p>
        </w:tc>
        <w:tc>
          <w:tcPr>
            <w:tcW w:w="1199" w:type="pct"/>
            <w:noWrap w:val="0"/>
            <w:vAlign w:val="center"/>
          </w:tcPr>
          <w:p>
            <w:pPr>
              <w:tabs>
                <w:tab w:val="left" w:pos="6300"/>
              </w:tabs>
              <w:snapToGrid w:val="0"/>
              <w:spacing w:line="500" w:lineRule="exact"/>
              <w:jc w:val="center"/>
              <w:outlineLvl w:val="0"/>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0" w:type="pct"/>
            <w:noWrap w:val="0"/>
            <w:vAlign w:val="center"/>
          </w:tcPr>
          <w:p>
            <w:pPr>
              <w:tabs>
                <w:tab w:val="left" w:pos="6300"/>
              </w:tabs>
              <w:snapToGrid w:val="0"/>
              <w:spacing w:line="500" w:lineRule="exact"/>
              <w:jc w:val="center"/>
              <w:outlineLvl w:val="0"/>
              <w:rPr>
                <w:rFonts w:hint="eastAsia" w:ascii="仿宋" w:hAnsi="仿宋" w:eastAsia="仿宋" w:cs="仿宋"/>
                <w:color w:val="auto"/>
                <w:sz w:val="21"/>
                <w:szCs w:val="21"/>
                <w:highlight w:val="none"/>
              </w:rPr>
            </w:pPr>
          </w:p>
        </w:tc>
        <w:tc>
          <w:tcPr>
            <w:tcW w:w="1541" w:type="pct"/>
            <w:noWrap w:val="0"/>
            <w:vAlign w:val="center"/>
          </w:tcPr>
          <w:p>
            <w:pPr>
              <w:tabs>
                <w:tab w:val="left" w:pos="6300"/>
              </w:tabs>
              <w:snapToGrid w:val="0"/>
              <w:spacing w:line="500" w:lineRule="exact"/>
              <w:jc w:val="center"/>
              <w:outlineLvl w:val="0"/>
              <w:rPr>
                <w:rFonts w:hint="eastAsia" w:ascii="仿宋" w:hAnsi="仿宋" w:eastAsia="仿宋" w:cs="仿宋"/>
                <w:color w:val="auto"/>
                <w:sz w:val="21"/>
                <w:szCs w:val="21"/>
                <w:highlight w:val="none"/>
              </w:rPr>
            </w:pPr>
          </w:p>
        </w:tc>
        <w:tc>
          <w:tcPr>
            <w:tcW w:w="1600" w:type="pct"/>
            <w:noWrap w:val="0"/>
            <w:vAlign w:val="center"/>
          </w:tcPr>
          <w:p>
            <w:pPr>
              <w:tabs>
                <w:tab w:val="left" w:pos="6300"/>
              </w:tabs>
              <w:snapToGrid w:val="0"/>
              <w:spacing w:line="500" w:lineRule="exact"/>
              <w:jc w:val="center"/>
              <w:outlineLvl w:val="0"/>
              <w:rPr>
                <w:rFonts w:hint="eastAsia" w:ascii="仿宋" w:hAnsi="仿宋" w:eastAsia="仿宋" w:cs="仿宋"/>
                <w:color w:val="auto"/>
                <w:sz w:val="21"/>
                <w:szCs w:val="21"/>
                <w:highlight w:val="none"/>
              </w:rPr>
            </w:pPr>
          </w:p>
        </w:tc>
        <w:tc>
          <w:tcPr>
            <w:tcW w:w="1199" w:type="pct"/>
            <w:noWrap w:val="0"/>
            <w:vAlign w:val="center"/>
          </w:tcPr>
          <w:p>
            <w:pPr>
              <w:tabs>
                <w:tab w:val="left" w:pos="6300"/>
              </w:tabs>
              <w:snapToGrid w:val="0"/>
              <w:spacing w:line="500" w:lineRule="exact"/>
              <w:jc w:val="center"/>
              <w:outlineLvl w:val="0"/>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0" w:type="pct"/>
            <w:noWrap w:val="0"/>
            <w:vAlign w:val="center"/>
          </w:tcPr>
          <w:p>
            <w:pPr>
              <w:tabs>
                <w:tab w:val="left" w:pos="6300"/>
              </w:tabs>
              <w:snapToGrid w:val="0"/>
              <w:spacing w:line="500" w:lineRule="exact"/>
              <w:jc w:val="center"/>
              <w:outlineLvl w:val="0"/>
              <w:rPr>
                <w:rFonts w:hint="eastAsia" w:ascii="仿宋" w:hAnsi="仿宋" w:eastAsia="仿宋" w:cs="仿宋"/>
                <w:color w:val="auto"/>
                <w:sz w:val="21"/>
                <w:szCs w:val="21"/>
                <w:highlight w:val="none"/>
              </w:rPr>
            </w:pPr>
          </w:p>
        </w:tc>
        <w:tc>
          <w:tcPr>
            <w:tcW w:w="1541" w:type="pct"/>
            <w:noWrap w:val="0"/>
            <w:vAlign w:val="center"/>
          </w:tcPr>
          <w:p>
            <w:pPr>
              <w:tabs>
                <w:tab w:val="left" w:pos="6300"/>
              </w:tabs>
              <w:snapToGrid w:val="0"/>
              <w:spacing w:line="500" w:lineRule="exact"/>
              <w:jc w:val="center"/>
              <w:outlineLvl w:val="0"/>
              <w:rPr>
                <w:rFonts w:hint="eastAsia" w:ascii="仿宋" w:hAnsi="仿宋" w:eastAsia="仿宋" w:cs="仿宋"/>
                <w:color w:val="auto"/>
                <w:sz w:val="21"/>
                <w:szCs w:val="21"/>
                <w:highlight w:val="none"/>
              </w:rPr>
            </w:pPr>
          </w:p>
        </w:tc>
        <w:tc>
          <w:tcPr>
            <w:tcW w:w="1600" w:type="pct"/>
            <w:noWrap w:val="0"/>
            <w:vAlign w:val="center"/>
          </w:tcPr>
          <w:p>
            <w:pPr>
              <w:tabs>
                <w:tab w:val="left" w:pos="6300"/>
              </w:tabs>
              <w:snapToGrid w:val="0"/>
              <w:spacing w:line="500" w:lineRule="exact"/>
              <w:jc w:val="center"/>
              <w:outlineLvl w:val="0"/>
              <w:rPr>
                <w:rFonts w:hint="eastAsia" w:ascii="仿宋" w:hAnsi="仿宋" w:eastAsia="仿宋" w:cs="仿宋"/>
                <w:color w:val="auto"/>
                <w:sz w:val="21"/>
                <w:szCs w:val="21"/>
                <w:highlight w:val="none"/>
              </w:rPr>
            </w:pPr>
          </w:p>
        </w:tc>
        <w:tc>
          <w:tcPr>
            <w:tcW w:w="1199" w:type="pct"/>
            <w:noWrap w:val="0"/>
            <w:vAlign w:val="center"/>
          </w:tcPr>
          <w:p>
            <w:pPr>
              <w:tabs>
                <w:tab w:val="left" w:pos="6300"/>
              </w:tabs>
              <w:snapToGrid w:val="0"/>
              <w:spacing w:line="500" w:lineRule="exact"/>
              <w:jc w:val="center"/>
              <w:outlineLvl w:val="0"/>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0" w:type="pct"/>
            <w:noWrap w:val="0"/>
            <w:vAlign w:val="center"/>
          </w:tcPr>
          <w:p>
            <w:pPr>
              <w:tabs>
                <w:tab w:val="left" w:pos="6300"/>
              </w:tabs>
              <w:snapToGrid w:val="0"/>
              <w:spacing w:line="500" w:lineRule="exact"/>
              <w:jc w:val="center"/>
              <w:outlineLvl w:val="0"/>
              <w:rPr>
                <w:rFonts w:hint="eastAsia" w:ascii="仿宋" w:hAnsi="仿宋" w:eastAsia="仿宋" w:cs="仿宋"/>
                <w:color w:val="auto"/>
                <w:sz w:val="21"/>
                <w:szCs w:val="21"/>
                <w:highlight w:val="none"/>
              </w:rPr>
            </w:pPr>
          </w:p>
        </w:tc>
        <w:tc>
          <w:tcPr>
            <w:tcW w:w="1541" w:type="pct"/>
            <w:noWrap w:val="0"/>
            <w:vAlign w:val="center"/>
          </w:tcPr>
          <w:p>
            <w:pPr>
              <w:tabs>
                <w:tab w:val="left" w:pos="6300"/>
              </w:tabs>
              <w:snapToGrid w:val="0"/>
              <w:spacing w:line="500" w:lineRule="exact"/>
              <w:jc w:val="center"/>
              <w:outlineLvl w:val="0"/>
              <w:rPr>
                <w:rFonts w:hint="eastAsia" w:ascii="仿宋" w:hAnsi="仿宋" w:eastAsia="仿宋" w:cs="仿宋"/>
                <w:color w:val="auto"/>
                <w:sz w:val="21"/>
                <w:szCs w:val="21"/>
                <w:highlight w:val="none"/>
              </w:rPr>
            </w:pPr>
          </w:p>
        </w:tc>
        <w:tc>
          <w:tcPr>
            <w:tcW w:w="1600" w:type="pct"/>
            <w:noWrap w:val="0"/>
            <w:vAlign w:val="center"/>
          </w:tcPr>
          <w:p>
            <w:pPr>
              <w:tabs>
                <w:tab w:val="left" w:pos="6300"/>
              </w:tabs>
              <w:snapToGrid w:val="0"/>
              <w:spacing w:line="500" w:lineRule="exact"/>
              <w:jc w:val="center"/>
              <w:outlineLvl w:val="0"/>
              <w:rPr>
                <w:rFonts w:hint="eastAsia" w:ascii="仿宋" w:hAnsi="仿宋" w:eastAsia="仿宋" w:cs="仿宋"/>
                <w:color w:val="auto"/>
                <w:sz w:val="21"/>
                <w:szCs w:val="21"/>
                <w:highlight w:val="none"/>
              </w:rPr>
            </w:pPr>
          </w:p>
        </w:tc>
        <w:tc>
          <w:tcPr>
            <w:tcW w:w="1199" w:type="pct"/>
            <w:noWrap w:val="0"/>
            <w:vAlign w:val="center"/>
          </w:tcPr>
          <w:p>
            <w:pPr>
              <w:tabs>
                <w:tab w:val="left" w:pos="6300"/>
              </w:tabs>
              <w:snapToGrid w:val="0"/>
              <w:spacing w:line="500" w:lineRule="exact"/>
              <w:jc w:val="center"/>
              <w:outlineLvl w:val="0"/>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0" w:type="pct"/>
            <w:noWrap w:val="0"/>
            <w:vAlign w:val="center"/>
          </w:tcPr>
          <w:p>
            <w:pPr>
              <w:tabs>
                <w:tab w:val="left" w:pos="6300"/>
              </w:tabs>
              <w:snapToGrid w:val="0"/>
              <w:spacing w:line="500" w:lineRule="exact"/>
              <w:jc w:val="center"/>
              <w:outlineLvl w:val="0"/>
              <w:rPr>
                <w:rFonts w:hint="eastAsia" w:ascii="仿宋" w:hAnsi="仿宋" w:eastAsia="仿宋" w:cs="仿宋"/>
                <w:color w:val="auto"/>
                <w:sz w:val="21"/>
                <w:szCs w:val="21"/>
                <w:highlight w:val="none"/>
              </w:rPr>
            </w:pPr>
          </w:p>
        </w:tc>
        <w:tc>
          <w:tcPr>
            <w:tcW w:w="1541" w:type="pct"/>
            <w:noWrap w:val="0"/>
            <w:vAlign w:val="center"/>
          </w:tcPr>
          <w:p>
            <w:pPr>
              <w:tabs>
                <w:tab w:val="left" w:pos="6300"/>
              </w:tabs>
              <w:snapToGrid w:val="0"/>
              <w:spacing w:line="500" w:lineRule="exact"/>
              <w:jc w:val="center"/>
              <w:outlineLvl w:val="0"/>
              <w:rPr>
                <w:rFonts w:hint="eastAsia" w:ascii="仿宋" w:hAnsi="仿宋" w:eastAsia="仿宋" w:cs="仿宋"/>
                <w:color w:val="auto"/>
                <w:sz w:val="21"/>
                <w:szCs w:val="21"/>
                <w:highlight w:val="none"/>
              </w:rPr>
            </w:pPr>
          </w:p>
        </w:tc>
        <w:tc>
          <w:tcPr>
            <w:tcW w:w="1600" w:type="pct"/>
            <w:noWrap w:val="0"/>
            <w:vAlign w:val="center"/>
          </w:tcPr>
          <w:p>
            <w:pPr>
              <w:tabs>
                <w:tab w:val="left" w:pos="6300"/>
              </w:tabs>
              <w:snapToGrid w:val="0"/>
              <w:spacing w:line="500" w:lineRule="exact"/>
              <w:jc w:val="center"/>
              <w:outlineLvl w:val="0"/>
              <w:rPr>
                <w:rFonts w:hint="eastAsia" w:ascii="仿宋" w:hAnsi="仿宋" w:eastAsia="仿宋" w:cs="仿宋"/>
                <w:color w:val="auto"/>
                <w:sz w:val="21"/>
                <w:szCs w:val="21"/>
                <w:highlight w:val="none"/>
              </w:rPr>
            </w:pPr>
          </w:p>
        </w:tc>
        <w:tc>
          <w:tcPr>
            <w:tcW w:w="1199" w:type="pct"/>
            <w:noWrap w:val="0"/>
            <w:vAlign w:val="center"/>
          </w:tcPr>
          <w:p>
            <w:pPr>
              <w:tabs>
                <w:tab w:val="left" w:pos="6300"/>
              </w:tabs>
              <w:snapToGrid w:val="0"/>
              <w:spacing w:line="500" w:lineRule="exact"/>
              <w:jc w:val="center"/>
              <w:outlineLvl w:val="0"/>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0" w:type="pct"/>
            <w:noWrap w:val="0"/>
            <w:vAlign w:val="center"/>
          </w:tcPr>
          <w:p>
            <w:pPr>
              <w:tabs>
                <w:tab w:val="left" w:pos="6300"/>
              </w:tabs>
              <w:snapToGrid w:val="0"/>
              <w:spacing w:line="500" w:lineRule="exact"/>
              <w:jc w:val="center"/>
              <w:outlineLvl w:val="0"/>
              <w:rPr>
                <w:rFonts w:hint="eastAsia" w:ascii="仿宋" w:hAnsi="仿宋" w:eastAsia="仿宋" w:cs="仿宋"/>
                <w:color w:val="auto"/>
                <w:sz w:val="21"/>
                <w:szCs w:val="21"/>
                <w:highlight w:val="none"/>
              </w:rPr>
            </w:pPr>
          </w:p>
        </w:tc>
        <w:tc>
          <w:tcPr>
            <w:tcW w:w="1541" w:type="pct"/>
            <w:noWrap w:val="0"/>
            <w:vAlign w:val="center"/>
          </w:tcPr>
          <w:p>
            <w:pPr>
              <w:tabs>
                <w:tab w:val="left" w:pos="6300"/>
              </w:tabs>
              <w:snapToGrid w:val="0"/>
              <w:spacing w:line="500" w:lineRule="exact"/>
              <w:jc w:val="center"/>
              <w:outlineLvl w:val="0"/>
              <w:rPr>
                <w:rFonts w:hint="eastAsia" w:ascii="仿宋" w:hAnsi="仿宋" w:eastAsia="仿宋" w:cs="仿宋"/>
                <w:color w:val="auto"/>
                <w:sz w:val="21"/>
                <w:szCs w:val="21"/>
                <w:highlight w:val="none"/>
              </w:rPr>
            </w:pPr>
          </w:p>
        </w:tc>
        <w:tc>
          <w:tcPr>
            <w:tcW w:w="1600" w:type="pct"/>
            <w:noWrap w:val="0"/>
            <w:vAlign w:val="center"/>
          </w:tcPr>
          <w:p>
            <w:pPr>
              <w:tabs>
                <w:tab w:val="left" w:pos="6300"/>
              </w:tabs>
              <w:snapToGrid w:val="0"/>
              <w:spacing w:line="500" w:lineRule="exact"/>
              <w:jc w:val="center"/>
              <w:outlineLvl w:val="0"/>
              <w:rPr>
                <w:rFonts w:hint="eastAsia" w:ascii="仿宋" w:hAnsi="仿宋" w:eastAsia="仿宋" w:cs="仿宋"/>
                <w:color w:val="auto"/>
                <w:sz w:val="21"/>
                <w:szCs w:val="21"/>
                <w:highlight w:val="none"/>
              </w:rPr>
            </w:pPr>
          </w:p>
        </w:tc>
        <w:tc>
          <w:tcPr>
            <w:tcW w:w="1199" w:type="pct"/>
            <w:noWrap w:val="0"/>
            <w:vAlign w:val="center"/>
          </w:tcPr>
          <w:p>
            <w:pPr>
              <w:tabs>
                <w:tab w:val="left" w:pos="6300"/>
              </w:tabs>
              <w:snapToGrid w:val="0"/>
              <w:spacing w:line="500" w:lineRule="exact"/>
              <w:jc w:val="center"/>
              <w:outlineLvl w:val="0"/>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0" w:type="pct"/>
            <w:noWrap w:val="0"/>
            <w:vAlign w:val="center"/>
          </w:tcPr>
          <w:p>
            <w:pPr>
              <w:tabs>
                <w:tab w:val="left" w:pos="6300"/>
              </w:tabs>
              <w:snapToGrid w:val="0"/>
              <w:spacing w:line="500" w:lineRule="exact"/>
              <w:jc w:val="center"/>
              <w:outlineLvl w:val="0"/>
              <w:rPr>
                <w:rFonts w:hint="eastAsia" w:ascii="仿宋" w:hAnsi="仿宋" w:eastAsia="仿宋" w:cs="仿宋"/>
                <w:color w:val="auto"/>
                <w:sz w:val="21"/>
                <w:szCs w:val="21"/>
                <w:highlight w:val="none"/>
              </w:rPr>
            </w:pPr>
          </w:p>
        </w:tc>
        <w:tc>
          <w:tcPr>
            <w:tcW w:w="1541" w:type="pct"/>
            <w:noWrap w:val="0"/>
            <w:vAlign w:val="center"/>
          </w:tcPr>
          <w:p>
            <w:pPr>
              <w:tabs>
                <w:tab w:val="left" w:pos="6300"/>
              </w:tabs>
              <w:snapToGrid w:val="0"/>
              <w:spacing w:line="500" w:lineRule="exact"/>
              <w:jc w:val="center"/>
              <w:outlineLvl w:val="0"/>
              <w:rPr>
                <w:rFonts w:hint="eastAsia" w:ascii="仿宋" w:hAnsi="仿宋" w:eastAsia="仿宋" w:cs="仿宋"/>
                <w:color w:val="auto"/>
                <w:sz w:val="21"/>
                <w:szCs w:val="21"/>
                <w:highlight w:val="none"/>
              </w:rPr>
            </w:pPr>
          </w:p>
        </w:tc>
        <w:tc>
          <w:tcPr>
            <w:tcW w:w="1600" w:type="pct"/>
            <w:noWrap w:val="0"/>
            <w:vAlign w:val="center"/>
          </w:tcPr>
          <w:p>
            <w:pPr>
              <w:tabs>
                <w:tab w:val="left" w:pos="6300"/>
              </w:tabs>
              <w:snapToGrid w:val="0"/>
              <w:spacing w:line="500" w:lineRule="exact"/>
              <w:jc w:val="center"/>
              <w:outlineLvl w:val="0"/>
              <w:rPr>
                <w:rFonts w:hint="eastAsia" w:ascii="仿宋" w:hAnsi="仿宋" w:eastAsia="仿宋" w:cs="仿宋"/>
                <w:color w:val="auto"/>
                <w:sz w:val="21"/>
                <w:szCs w:val="21"/>
                <w:highlight w:val="none"/>
              </w:rPr>
            </w:pPr>
          </w:p>
        </w:tc>
        <w:tc>
          <w:tcPr>
            <w:tcW w:w="1199" w:type="pct"/>
            <w:noWrap w:val="0"/>
            <w:vAlign w:val="center"/>
          </w:tcPr>
          <w:p>
            <w:pPr>
              <w:tabs>
                <w:tab w:val="left" w:pos="6300"/>
              </w:tabs>
              <w:snapToGrid w:val="0"/>
              <w:spacing w:line="500" w:lineRule="exact"/>
              <w:jc w:val="center"/>
              <w:outlineLvl w:val="0"/>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0" w:type="pct"/>
            <w:noWrap w:val="0"/>
            <w:vAlign w:val="center"/>
          </w:tcPr>
          <w:p>
            <w:pPr>
              <w:tabs>
                <w:tab w:val="left" w:pos="6300"/>
              </w:tabs>
              <w:snapToGrid w:val="0"/>
              <w:spacing w:line="500" w:lineRule="exact"/>
              <w:jc w:val="center"/>
              <w:outlineLvl w:val="0"/>
              <w:rPr>
                <w:rFonts w:hint="eastAsia" w:ascii="仿宋" w:hAnsi="仿宋" w:eastAsia="仿宋" w:cs="仿宋"/>
                <w:color w:val="auto"/>
                <w:sz w:val="21"/>
                <w:szCs w:val="21"/>
                <w:highlight w:val="none"/>
              </w:rPr>
            </w:pPr>
          </w:p>
        </w:tc>
        <w:tc>
          <w:tcPr>
            <w:tcW w:w="1541" w:type="pct"/>
            <w:noWrap w:val="0"/>
            <w:vAlign w:val="center"/>
          </w:tcPr>
          <w:p>
            <w:pPr>
              <w:tabs>
                <w:tab w:val="left" w:pos="6300"/>
              </w:tabs>
              <w:snapToGrid w:val="0"/>
              <w:spacing w:line="500" w:lineRule="exact"/>
              <w:jc w:val="center"/>
              <w:outlineLvl w:val="0"/>
              <w:rPr>
                <w:rFonts w:hint="eastAsia" w:ascii="仿宋" w:hAnsi="仿宋" w:eastAsia="仿宋" w:cs="仿宋"/>
                <w:color w:val="auto"/>
                <w:sz w:val="21"/>
                <w:szCs w:val="21"/>
                <w:highlight w:val="none"/>
              </w:rPr>
            </w:pPr>
          </w:p>
        </w:tc>
        <w:tc>
          <w:tcPr>
            <w:tcW w:w="1600" w:type="pct"/>
            <w:noWrap w:val="0"/>
            <w:vAlign w:val="center"/>
          </w:tcPr>
          <w:p>
            <w:pPr>
              <w:tabs>
                <w:tab w:val="left" w:pos="6300"/>
              </w:tabs>
              <w:snapToGrid w:val="0"/>
              <w:spacing w:line="500" w:lineRule="exact"/>
              <w:jc w:val="center"/>
              <w:outlineLvl w:val="0"/>
              <w:rPr>
                <w:rFonts w:hint="eastAsia" w:ascii="仿宋" w:hAnsi="仿宋" w:eastAsia="仿宋" w:cs="仿宋"/>
                <w:color w:val="auto"/>
                <w:sz w:val="21"/>
                <w:szCs w:val="21"/>
                <w:highlight w:val="none"/>
              </w:rPr>
            </w:pPr>
          </w:p>
        </w:tc>
        <w:tc>
          <w:tcPr>
            <w:tcW w:w="1199" w:type="pct"/>
            <w:noWrap w:val="0"/>
            <w:vAlign w:val="center"/>
          </w:tcPr>
          <w:p>
            <w:pPr>
              <w:tabs>
                <w:tab w:val="left" w:pos="6300"/>
              </w:tabs>
              <w:snapToGrid w:val="0"/>
              <w:spacing w:line="500" w:lineRule="exact"/>
              <w:jc w:val="center"/>
              <w:outlineLvl w:val="0"/>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0" w:type="pct"/>
            <w:noWrap w:val="0"/>
            <w:vAlign w:val="center"/>
          </w:tcPr>
          <w:p>
            <w:pPr>
              <w:tabs>
                <w:tab w:val="left" w:pos="6300"/>
              </w:tabs>
              <w:snapToGrid w:val="0"/>
              <w:spacing w:line="500" w:lineRule="exact"/>
              <w:jc w:val="center"/>
              <w:outlineLvl w:val="0"/>
              <w:rPr>
                <w:rFonts w:hint="eastAsia" w:ascii="仿宋" w:hAnsi="仿宋" w:eastAsia="仿宋" w:cs="仿宋"/>
                <w:color w:val="auto"/>
                <w:sz w:val="21"/>
                <w:szCs w:val="21"/>
                <w:highlight w:val="none"/>
              </w:rPr>
            </w:pPr>
          </w:p>
        </w:tc>
        <w:tc>
          <w:tcPr>
            <w:tcW w:w="1541" w:type="pct"/>
            <w:noWrap w:val="0"/>
            <w:vAlign w:val="center"/>
          </w:tcPr>
          <w:p>
            <w:pPr>
              <w:tabs>
                <w:tab w:val="left" w:pos="6300"/>
              </w:tabs>
              <w:snapToGrid w:val="0"/>
              <w:spacing w:line="500" w:lineRule="exact"/>
              <w:jc w:val="center"/>
              <w:outlineLvl w:val="0"/>
              <w:rPr>
                <w:rFonts w:hint="eastAsia" w:ascii="仿宋" w:hAnsi="仿宋" w:eastAsia="仿宋" w:cs="仿宋"/>
                <w:color w:val="auto"/>
                <w:sz w:val="21"/>
                <w:szCs w:val="21"/>
                <w:highlight w:val="none"/>
              </w:rPr>
            </w:pPr>
          </w:p>
        </w:tc>
        <w:tc>
          <w:tcPr>
            <w:tcW w:w="1600" w:type="pct"/>
            <w:noWrap w:val="0"/>
            <w:vAlign w:val="center"/>
          </w:tcPr>
          <w:p>
            <w:pPr>
              <w:tabs>
                <w:tab w:val="left" w:pos="6300"/>
              </w:tabs>
              <w:snapToGrid w:val="0"/>
              <w:spacing w:line="500" w:lineRule="exact"/>
              <w:jc w:val="center"/>
              <w:outlineLvl w:val="0"/>
              <w:rPr>
                <w:rFonts w:hint="eastAsia" w:ascii="仿宋" w:hAnsi="仿宋" w:eastAsia="仿宋" w:cs="仿宋"/>
                <w:color w:val="auto"/>
                <w:sz w:val="21"/>
                <w:szCs w:val="21"/>
                <w:highlight w:val="none"/>
              </w:rPr>
            </w:pPr>
          </w:p>
        </w:tc>
        <w:tc>
          <w:tcPr>
            <w:tcW w:w="1199" w:type="pct"/>
            <w:noWrap w:val="0"/>
            <w:vAlign w:val="center"/>
          </w:tcPr>
          <w:p>
            <w:pPr>
              <w:tabs>
                <w:tab w:val="left" w:pos="6300"/>
              </w:tabs>
              <w:snapToGrid w:val="0"/>
              <w:spacing w:line="500" w:lineRule="exact"/>
              <w:jc w:val="center"/>
              <w:outlineLvl w:val="0"/>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0" w:type="pct"/>
            <w:noWrap w:val="0"/>
            <w:vAlign w:val="center"/>
          </w:tcPr>
          <w:p>
            <w:pPr>
              <w:tabs>
                <w:tab w:val="left" w:pos="6300"/>
              </w:tabs>
              <w:snapToGrid w:val="0"/>
              <w:spacing w:line="500" w:lineRule="exact"/>
              <w:jc w:val="center"/>
              <w:outlineLvl w:val="0"/>
              <w:rPr>
                <w:rFonts w:hint="eastAsia" w:ascii="仿宋" w:hAnsi="仿宋" w:eastAsia="仿宋" w:cs="仿宋"/>
                <w:color w:val="auto"/>
                <w:sz w:val="21"/>
                <w:szCs w:val="21"/>
                <w:highlight w:val="none"/>
              </w:rPr>
            </w:pPr>
          </w:p>
        </w:tc>
        <w:tc>
          <w:tcPr>
            <w:tcW w:w="1541" w:type="pct"/>
            <w:noWrap w:val="0"/>
            <w:vAlign w:val="center"/>
          </w:tcPr>
          <w:p>
            <w:pPr>
              <w:tabs>
                <w:tab w:val="left" w:pos="6300"/>
              </w:tabs>
              <w:snapToGrid w:val="0"/>
              <w:spacing w:line="500" w:lineRule="exact"/>
              <w:jc w:val="center"/>
              <w:outlineLvl w:val="0"/>
              <w:rPr>
                <w:rFonts w:hint="eastAsia" w:ascii="仿宋" w:hAnsi="仿宋" w:eastAsia="仿宋" w:cs="仿宋"/>
                <w:color w:val="auto"/>
                <w:sz w:val="21"/>
                <w:szCs w:val="21"/>
                <w:highlight w:val="none"/>
              </w:rPr>
            </w:pPr>
          </w:p>
        </w:tc>
        <w:tc>
          <w:tcPr>
            <w:tcW w:w="1600" w:type="pct"/>
            <w:noWrap w:val="0"/>
            <w:vAlign w:val="center"/>
          </w:tcPr>
          <w:p>
            <w:pPr>
              <w:tabs>
                <w:tab w:val="left" w:pos="6300"/>
              </w:tabs>
              <w:snapToGrid w:val="0"/>
              <w:spacing w:line="500" w:lineRule="exact"/>
              <w:jc w:val="center"/>
              <w:outlineLvl w:val="0"/>
              <w:rPr>
                <w:rFonts w:hint="eastAsia" w:ascii="仿宋" w:hAnsi="仿宋" w:eastAsia="仿宋" w:cs="仿宋"/>
                <w:color w:val="auto"/>
                <w:sz w:val="21"/>
                <w:szCs w:val="21"/>
                <w:highlight w:val="none"/>
              </w:rPr>
            </w:pPr>
          </w:p>
        </w:tc>
        <w:tc>
          <w:tcPr>
            <w:tcW w:w="1199" w:type="pct"/>
            <w:noWrap w:val="0"/>
            <w:vAlign w:val="center"/>
          </w:tcPr>
          <w:p>
            <w:pPr>
              <w:tabs>
                <w:tab w:val="left" w:pos="6300"/>
              </w:tabs>
              <w:snapToGrid w:val="0"/>
              <w:spacing w:line="500" w:lineRule="exact"/>
              <w:jc w:val="center"/>
              <w:outlineLvl w:val="0"/>
              <w:rPr>
                <w:rFonts w:hint="eastAsia" w:ascii="仿宋" w:hAnsi="仿宋" w:eastAsia="仿宋" w:cs="仿宋"/>
                <w:color w:val="auto"/>
                <w:sz w:val="21"/>
                <w:szCs w:val="21"/>
                <w:highlight w:val="none"/>
              </w:rPr>
            </w:pPr>
          </w:p>
        </w:tc>
      </w:tr>
    </w:tbl>
    <w:p>
      <w:pPr>
        <w:spacing w:line="500" w:lineRule="exact"/>
        <w:ind w:firstLine="600" w:firstLineChars="250"/>
        <w:rPr>
          <w:rFonts w:hint="eastAsia" w:ascii="仿宋" w:hAnsi="仿宋" w:eastAsia="仿宋" w:cs="仿宋"/>
          <w:color w:val="auto"/>
          <w:sz w:val="24"/>
          <w:szCs w:val="28"/>
          <w:highlight w:val="none"/>
        </w:rPr>
      </w:pPr>
      <w:r>
        <w:rPr>
          <w:rFonts w:hint="eastAsia" w:ascii="仿宋" w:hAnsi="仿宋" w:eastAsia="仿宋" w:cs="仿宋"/>
          <w:color w:val="auto"/>
          <w:sz w:val="24"/>
          <w:szCs w:val="28"/>
          <w:highlight w:val="none"/>
        </w:rPr>
        <w:t xml:space="preserve">供应商：                            </w:t>
      </w:r>
      <w:r>
        <w:rPr>
          <w:rFonts w:hint="eastAsia" w:ascii="仿宋" w:hAnsi="仿宋" w:eastAsia="仿宋" w:cs="仿宋"/>
          <w:color w:val="auto"/>
          <w:sz w:val="24"/>
          <w:szCs w:val="24"/>
          <w:highlight w:val="none"/>
        </w:rPr>
        <w:t>法定代表人（或其授权代表）或自然人：</w:t>
      </w:r>
    </w:p>
    <w:p>
      <w:pPr>
        <w:spacing w:line="500" w:lineRule="exact"/>
        <w:rPr>
          <w:rFonts w:hint="eastAsia" w:ascii="仿宋" w:hAnsi="仿宋" w:eastAsia="仿宋" w:cs="仿宋"/>
          <w:color w:val="auto"/>
          <w:sz w:val="24"/>
          <w:szCs w:val="28"/>
          <w:highlight w:val="none"/>
        </w:rPr>
      </w:pPr>
      <w:r>
        <w:rPr>
          <w:rFonts w:hint="eastAsia" w:ascii="仿宋" w:hAnsi="仿宋" w:eastAsia="仿宋" w:cs="仿宋"/>
          <w:color w:val="auto"/>
          <w:sz w:val="24"/>
          <w:szCs w:val="28"/>
          <w:highlight w:val="none"/>
        </w:rPr>
        <w:t xml:space="preserve">    </w:t>
      </w:r>
    </w:p>
    <w:p>
      <w:pPr>
        <w:spacing w:line="500" w:lineRule="exact"/>
        <w:ind w:firstLine="720" w:firstLineChars="300"/>
        <w:rPr>
          <w:rFonts w:hint="eastAsia" w:ascii="仿宋" w:hAnsi="仿宋" w:eastAsia="仿宋" w:cs="仿宋"/>
          <w:color w:val="auto"/>
          <w:sz w:val="24"/>
          <w:szCs w:val="28"/>
          <w:highlight w:val="none"/>
        </w:rPr>
      </w:pPr>
      <w:r>
        <w:rPr>
          <w:rFonts w:hint="eastAsia" w:ascii="仿宋" w:hAnsi="仿宋" w:eastAsia="仿宋" w:cs="仿宋"/>
          <w:color w:val="auto"/>
          <w:sz w:val="24"/>
          <w:szCs w:val="28"/>
          <w:highlight w:val="none"/>
        </w:rPr>
        <w:t>（供应商公章）                               （签署或盖章）</w:t>
      </w:r>
    </w:p>
    <w:p>
      <w:pPr>
        <w:tabs>
          <w:tab w:val="left" w:pos="6300"/>
        </w:tabs>
        <w:snapToGrid w:val="0"/>
        <w:spacing w:line="500" w:lineRule="exact"/>
        <w:ind w:firstLine="570"/>
        <w:rPr>
          <w:rFonts w:hint="eastAsia" w:ascii="仿宋" w:hAnsi="仿宋" w:eastAsia="仿宋" w:cs="仿宋"/>
          <w:color w:val="auto"/>
          <w:sz w:val="24"/>
          <w:highlight w:val="none"/>
        </w:rPr>
      </w:pPr>
      <w:r>
        <w:rPr>
          <w:rFonts w:hint="eastAsia" w:ascii="仿宋" w:hAnsi="仿宋" w:eastAsia="仿宋" w:cs="仿宋"/>
          <w:color w:val="auto"/>
          <w:sz w:val="24"/>
          <w:szCs w:val="28"/>
          <w:highlight w:val="none"/>
        </w:rPr>
        <w:t xml:space="preserve">                                              年     月     日</w:t>
      </w:r>
    </w:p>
    <w:p>
      <w:pPr>
        <w:tabs>
          <w:tab w:val="left" w:pos="6300"/>
        </w:tabs>
        <w:snapToGrid w:val="0"/>
        <w:spacing w:line="5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注：</w:t>
      </w:r>
    </w:p>
    <w:p>
      <w:pPr>
        <w:tabs>
          <w:tab w:val="left" w:pos="6300"/>
        </w:tabs>
        <w:snapToGrid w:val="0"/>
        <w:spacing w:line="5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highlight w:val="none"/>
        </w:rPr>
        <w:t>.</w:t>
      </w:r>
      <w:r>
        <w:rPr>
          <w:rFonts w:hint="eastAsia" w:ascii="仿宋" w:hAnsi="仿宋" w:eastAsia="仿宋" w:cs="仿宋"/>
          <w:color w:val="auto"/>
          <w:sz w:val="24"/>
          <w:szCs w:val="24"/>
          <w:highlight w:val="none"/>
        </w:rPr>
        <w:t>本表即为对本项目“第二篇  项目服务需求”中所列条款进行比较和响应；</w:t>
      </w:r>
    </w:p>
    <w:p>
      <w:pPr>
        <w:snapToGrid w:val="0"/>
        <w:spacing w:line="400" w:lineRule="exact"/>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highlight w:val="none"/>
        </w:rPr>
        <w:t>2.本表可扩展。</w:t>
      </w:r>
    </w:p>
    <w:p>
      <w:pPr>
        <w:tabs>
          <w:tab w:val="left" w:pos="6300"/>
        </w:tabs>
        <w:snapToGrid w:val="0"/>
        <w:spacing w:line="400" w:lineRule="exact"/>
        <w:ind w:firstLine="56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br w:type="page"/>
      </w:r>
      <w:r>
        <w:rPr>
          <w:rFonts w:hint="eastAsia" w:ascii="仿宋" w:hAnsi="仿宋" w:eastAsia="仿宋" w:cs="仿宋"/>
          <w:color w:val="auto"/>
          <w:sz w:val="24"/>
          <w:szCs w:val="24"/>
          <w:highlight w:val="none"/>
        </w:rPr>
        <w:t>（二）其他资料（格式自定）</w:t>
      </w:r>
    </w:p>
    <w:p>
      <w:pPr>
        <w:pStyle w:val="2"/>
        <w:adjustRightInd w:val="0"/>
        <w:snapToGrid w:val="0"/>
        <w:spacing w:before="0" w:after="0" w:line="400" w:lineRule="exact"/>
        <w:ind w:firstLine="640" w:firstLineChars="200"/>
        <w:rPr>
          <w:rFonts w:hint="eastAsia" w:ascii="仿宋" w:hAnsi="仿宋" w:eastAsia="仿宋" w:cs="仿宋"/>
          <w:color w:val="auto"/>
          <w:sz w:val="24"/>
          <w:highlight w:val="none"/>
        </w:rPr>
      </w:pPr>
      <w:r>
        <w:rPr>
          <w:rFonts w:hint="eastAsia" w:ascii="仿宋" w:hAnsi="仿宋" w:eastAsia="仿宋" w:cs="仿宋"/>
          <w:b w:val="0"/>
          <w:color w:val="auto"/>
          <w:highlight w:val="none"/>
        </w:rPr>
        <w:br w:type="page"/>
      </w:r>
      <w:bookmarkStart w:id="128" w:name="_Toc313888362"/>
      <w:bookmarkStart w:id="129" w:name="_Toc76462352"/>
      <w:bookmarkStart w:id="130" w:name="_Toc342913421"/>
      <w:bookmarkStart w:id="131" w:name="_Toc313008358"/>
      <w:bookmarkStart w:id="132" w:name="_Toc2761"/>
      <w:r>
        <w:rPr>
          <w:rFonts w:hint="eastAsia" w:ascii="仿宋" w:hAnsi="仿宋" w:eastAsia="仿宋" w:cs="仿宋"/>
          <w:color w:val="auto"/>
          <w:sz w:val="24"/>
          <w:highlight w:val="none"/>
        </w:rPr>
        <w:t>三、商务部分</w:t>
      </w:r>
      <w:bookmarkEnd w:id="128"/>
      <w:bookmarkEnd w:id="129"/>
      <w:bookmarkEnd w:id="130"/>
      <w:bookmarkEnd w:id="131"/>
      <w:bookmarkEnd w:id="132"/>
    </w:p>
    <w:p>
      <w:pPr>
        <w:snapToGrid w:val="0"/>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（一）商务响应偏离表</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项目号：                                </w:t>
      </w:r>
    </w:p>
    <w:p>
      <w:pPr>
        <w:snapToGrid w:val="0"/>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磋商项目名称： </w:t>
      </w: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3179"/>
        <w:gridCol w:w="2434"/>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510" w:type="dxa"/>
            <w:noWrap w:val="0"/>
            <w:vAlign w:val="center"/>
          </w:tcPr>
          <w:p>
            <w:pPr>
              <w:snapToGrid w:val="0"/>
              <w:spacing w:line="360" w:lineRule="auto"/>
              <w:ind w:firstLine="465"/>
              <w:rPr>
                <w:rFonts w:hint="eastAsia" w:ascii="仿宋" w:hAnsi="仿宋" w:eastAsia="仿宋" w:cs="仿宋"/>
                <w:color w:val="auto"/>
                <w:sz w:val="21"/>
                <w:szCs w:val="24"/>
                <w:highlight w:val="none"/>
              </w:rPr>
            </w:pPr>
            <w:r>
              <w:rPr>
                <w:rFonts w:hint="eastAsia" w:ascii="仿宋" w:hAnsi="仿宋" w:eastAsia="仿宋" w:cs="仿宋"/>
                <w:color w:val="auto"/>
                <w:sz w:val="21"/>
                <w:szCs w:val="24"/>
                <w:highlight w:val="none"/>
              </w:rPr>
              <w:t>序号</w:t>
            </w:r>
          </w:p>
        </w:tc>
        <w:tc>
          <w:tcPr>
            <w:tcW w:w="3179" w:type="dxa"/>
            <w:noWrap w:val="0"/>
            <w:vAlign w:val="center"/>
          </w:tcPr>
          <w:p>
            <w:pPr>
              <w:tabs>
                <w:tab w:val="left" w:pos="6300"/>
              </w:tabs>
              <w:snapToGrid w:val="0"/>
              <w:spacing w:line="360" w:lineRule="auto"/>
              <w:jc w:val="center"/>
              <w:outlineLvl w:val="0"/>
              <w:rPr>
                <w:rFonts w:hint="eastAsia" w:ascii="仿宋" w:hAnsi="仿宋" w:eastAsia="仿宋" w:cs="仿宋"/>
                <w:color w:val="auto"/>
                <w:sz w:val="21"/>
                <w:szCs w:val="24"/>
                <w:highlight w:val="none"/>
              </w:rPr>
            </w:pPr>
            <w:r>
              <w:rPr>
                <w:rFonts w:hint="eastAsia" w:ascii="仿宋" w:hAnsi="仿宋" w:eastAsia="仿宋" w:cs="仿宋"/>
                <w:color w:val="auto"/>
                <w:sz w:val="21"/>
                <w:szCs w:val="24"/>
                <w:highlight w:val="none"/>
              </w:rPr>
              <w:t>磋商项目商务需求</w:t>
            </w:r>
          </w:p>
        </w:tc>
        <w:tc>
          <w:tcPr>
            <w:tcW w:w="2434" w:type="dxa"/>
            <w:noWrap w:val="0"/>
            <w:vAlign w:val="center"/>
          </w:tcPr>
          <w:p>
            <w:pPr>
              <w:tabs>
                <w:tab w:val="left" w:pos="6300"/>
              </w:tabs>
              <w:snapToGrid w:val="0"/>
              <w:spacing w:line="360" w:lineRule="auto"/>
              <w:jc w:val="center"/>
              <w:outlineLvl w:val="0"/>
              <w:rPr>
                <w:rFonts w:hint="eastAsia" w:ascii="仿宋" w:hAnsi="仿宋" w:eastAsia="仿宋" w:cs="仿宋"/>
                <w:color w:val="auto"/>
                <w:sz w:val="21"/>
                <w:szCs w:val="24"/>
                <w:highlight w:val="none"/>
              </w:rPr>
            </w:pPr>
            <w:r>
              <w:rPr>
                <w:rFonts w:hint="eastAsia" w:ascii="仿宋" w:hAnsi="仿宋" w:eastAsia="仿宋" w:cs="仿宋"/>
                <w:color w:val="auto"/>
                <w:sz w:val="21"/>
                <w:szCs w:val="24"/>
                <w:highlight w:val="none"/>
              </w:rPr>
              <w:t>响应情况</w:t>
            </w:r>
          </w:p>
        </w:tc>
        <w:tc>
          <w:tcPr>
            <w:tcW w:w="2355" w:type="dxa"/>
            <w:noWrap w:val="0"/>
            <w:vAlign w:val="center"/>
          </w:tcPr>
          <w:p>
            <w:pPr>
              <w:tabs>
                <w:tab w:val="left" w:pos="6300"/>
              </w:tabs>
              <w:snapToGrid w:val="0"/>
              <w:spacing w:line="360" w:lineRule="auto"/>
              <w:jc w:val="center"/>
              <w:outlineLvl w:val="0"/>
              <w:rPr>
                <w:rFonts w:hint="eastAsia" w:ascii="仿宋" w:hAnsi="仿宋" w:eastAsia="仿宋" w:cs="仿宋"/>
                <w:color w:val="auto"/>
                <w:sz w:val="21"/>
                <w:szCs w:val="24"/>
                <w:highlight w:val="none"/>
              </w:rPr>
            </w:pPr>
            <w:r>
              <w:rPr>
                <w:rFonts w:hint="eastAsia" w:ascii="仿宋" w:hAnsi="仿宋" w:eastAsia="仿宋" w:cs="仿宋"/>
                <w:color w:val="auto"/>
                <w:sz w:val="21"/>
                <w:szCs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noWrap w:val="0"/>
            <w:vAlign w:val="center"/>
          </w:tcPr>
          <w:p>
            <w:pPr>
              <w:tabs>
                <w:tab w:val="left" w:pos="6300"/>
              </w:tabs>
              <w:snapToGrid w:val="0"/>
              <w:spacing w:line="360" w:lineRule="auto"/>
              <w:jc w:val="center"/>
              <w:outlineLvl w:val="0"/>
              <w:rPr>
                <w:rFonts w:hint="eastAsia" w:ascii="仿宋" w:hAnsi="仿宋" w:eastAsia="仿宋" w:cs="仿宋"/>
                <w:color w:val="auto"/>
                <w:sz w:val="21"/>
                <w:szCs w:val="24"/>
                <w:highlight w:val="none"/>
              </w:rPr>
            </w:pPr>
          </w:p>
        </w:tc>
        <w:tc>
          <w:tcPr>
            <w:tcW w:w="3179" w:type="dxa"/>
            <w:noWrap w:val="0"/>
            <w:vAlign w:val="center"/>
          </w:tcPr>
          <w:p>
            <w:pPr>
              <w:tabs>
                <w:tab w:val="left" w:pos="6300"/>
              </w:tabs>
              <w:snapToGrid w:val="0"/>
              <w:spacing w:line="360" w:lineRule="auto"/>
              <w:jc w:val="center"/>
              <w:outlineLvl w:val="0"/>
              <w:rPr>
                <w:rFonts w:hint="eastAsia" w:ascii="仿宋" w:hAnsi="仿宋" w:eastAsia="仿宋" w:cs="仿宋"/>
                <w:color w:val="auto"/>
                <w:sz w:val="21"/>
                <w:szCs w:val="24"/>
                <w:highlight w:val="none"/>
              </w:rPr>
            </w:pPr>
          </w:p>
        </w:tc>
        <w:tc>
          <w:tcPr>
            <w:tcW w:w="2434" w:type="dxa"/>
            <w:noWrap w:val="0"/>
            <w:vAlign w:val="center"/>
          </w:tcPr>
          <w:p>
            <w:pPr>
              <w:tabs>
                <w:tab w:val="left" w:pos="6300"/>
              </w:tabs>
              <w:snapToGrid w:val="0"/>
              <w:spacing w:line="360" w:lineRule="auto"/>
              <w:outlineLvl w:val="0"/>
              <w:rPr>
                <w:rFonts w:hint="eastAsia" w:ascii="仿宋" w:hAnsi="仿宋" w:eastAsia="仿宋" w:cs="仿宋"/>
                <w:color w:val="auto"/>
                <w:sz w:val="21"/>
                <w:szCs w:val="24"/>
                <w:highlight w:val="none"/>
              </w:rPr>
            </w:pPr>
          </w:p>
        </w:tc>
        <w:tc>
          <w:tcPr>
            <w:tcW w:w="2355" w:type="dxa"/>
            <w:noWrap w:val="0"/>
            <w:vAlign w:val="center"/>
          </w:tcPr>
          <w:p>
            <w:pPr>
              <w:tabs>
                <w:tab w:val="left" w:pos="6300"/>
              </w:tabs>
              <w:snapToGrid w:val="0"/>
              <w:spacing w:line="360" w:lineRule="auto"/>
              <w:jc w:val="center"/>
              <w:outlineLvl w:val="0"/>
              <w:rPr>
                <w:rFonts w:hint="eastAsia" w:ascii="仿宋" w:hAnsi="仿宋" w:eastAsia="仿宋" w:cs="仿宋"/>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noWrap w:val="0"/>
            <w:vAlign w:val="center"/>
          </w:tcPr>
          <w:p>
            <w:pPr>
              <w:tabs>
                <w:tab w:val="left" w:pos="6300"/>
              </w:tabs>
              <w:snapToGrid w:val="0"/>
              <w:spacing w:line="360" w:lineRule="auto"/>
              <w:jc w:val="center"/>
              <w:outlineLvl w:val="0"/>
              <w:rPr>
                <w:rFonts w:hint="eastAsia" w:ascii="仿宋" w:hAnsi="仿宋" w:eastAsia="仿宋" w:cs="仿宋"/>
                <w:color w:val="auto"/>
                <w:sz w:val="21"/>
                <w:szCs w:val="24"/>
                <w:highlight w:val="none"/>
              </w:rPr>
            </w:pPr>
          </w:p>
        </w:tc>
        <w:tc>
          <w:tcPr>
            <w:tcW w:w="3179" w:type="dxa"/>
            <w:noWrap w:val="0"/>
            <w:vAlign w:val="center"/>
          </w:tcPr>
          <w:p>
            <w:pPr>
              <w:tabs>
                <w:tab w:val="left" w:pos="6300"/>
              </w:tabs>
              <w:snapToGrid w:val="0"/>
              <w:spacing w:line="360" w:lineRule="auto"/>
              <w:jc w:val="center"/>
              <w:outlineLvl w:val="0"/>
              <w:rPr>
                <w:rFonts w:hint="eastAsia" w:ascii="仿宋" w:hAnsi="仿宋" w:eastAsia="仿宋" w:cs="仿宋"/>
                <w:color w:val="auto"/>
                <w:sz w:val="21"/>
                <w:szCs w:val="24"/>
                <w:highlight w:val="none"/>
              </w:rPr>
            </w:pPr>
          </w:p>
        </w:tc>
        <w:tc>
          <w:tcPr>
            <w:tcW w:w="2434" w:type="dxa"/>
            <w:noWrap w:val="0"/>
            <w:vAlign w:val="center"/>
          </w:tcPr>
          <w:p>
            <w:pPr>
              <w:tabs>
                <w:tab w:val="left" w:pos="6300"/>
              </w:tabs>
              <w:snapToGrid w:val="0"/>
              <w:spacing w:line="360" w:lineRule="auto"/>
              <w:jc w:val="center"/>
              <w:outlineLvl w:val="0"/>
              <w:rPr>
                <w:rFonts w:hint="eastAsia" w:ascii="仿宋" w:hAnsi="仿宋" w:eastAsia="仿宋" w:cs="仿宋"/>
                <w:color w:val="auto"/>
                <w:sz w:val="21"/>
                <w:szCs w:val="24"/>
                <w:highlight w:val="none"/>
              </w:rPr>
            </w:pPr>
          </w:p>
        </w:tc>
        <w:tc>
          <w:tcPr>
            <w:tcW w:w="2355" w:type="dxa"/>
            <w:noWrap w:val="0"/>
            <w:vAlign w:val="center"/>
          </w:tcPr>
          <w:p>
            <w:pPr>
              <w:tabs>
                <w:tab w:val="left" w:pos="6300"/>
              </w:tabs>
              <w:snapToGrid w:val="0"/>
              <w:spacing w:line="360" w:lineRule="auto"/>
              <w:jc w:val="center"/>
              <w:outlineLvl w:val="0"/>
              <w:rPr>
                <w:rFonts w:hint="eastAsia" w:ascii="仿宋" w:hAnsi="仿宋" w:eastAsia="仿宋" w:cs="仿宋"/>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noWrap w:val="0"/>
            <w:vAlign w:val="center"/>
          </w:tcPr>
          <w:p>
            <w:pPr>
              <w:tabs>
                <w:tab w:val="left" w:pos="6300"/>
              </w:tabs>
              <w:snapToGrid w:val="0"/>
              <w:spacing w:line="360" w:lineRule="auto"/>
              <w:jc w:val="center"/>
              <w:outlineLvl w:val="0"/>
              <w:rPr>
                <w:rFonts w:hint="eastAsia" w:ascii="仿宋" w:hAnsi="仿宋" w:eastAsia="仿宋" w:cs="仿宋"/>
                <w:color w:val="auto"/>
                <w:sz w:val="21"/>
                <w:szCs w:val="24"/>
                <w:highlight w:val="none"/>
              </w:rPr>
            </w:pPr>
          </w:p>
        </w:tc>
        <w:tc>
          <w:tcPr>
            <w:tcW w:w="3179" w:type="dxa"/>
            <w:noWrap w:val="0"/>
            <w:vAlign w:val="center"/>
          </w:tcPr>
          <w:p>
            <w:pPr>
              <w:tabs>
                <w:tab w:val="left" w:pos="6300"/>
              </w:tabs>
              <w:snapToGrid w:val="0"/>
              <w:spacing w:line="360" w:lineRule="auto"/>
              <w:jc w:val="center"/>
              <w:outlineLvl w:val="0"/>
              <w:rPr>
                <w:rFonts w:hint="eastAsia" w:ascii="仿宋" w:hAnsi="仿宋" w:eastAsia="仿宋" w:cs="仿宋"/>
                <w:color w:val="auto"/>
                <w:sz w:val="21"/>
                <w:szCs w:val="24"/>
                <w:highlight w:val="none"/>
              </w:rPr>
            </w:pPr>
          </w:p>
        </w:tc>
        <w:tc>
          <w:tcPr>
            <w:tcW w:w="2434" w:type="dxa"/>
            <w:noWrap w:val="0"/>
            <w:vAlign w:val="center"/>
          </w:tcPr>
          <w:p>
            <w:pPr>
              <w:tabs>
                <w:tab w:val="left" w:pos="6300"/>
              </w:tabs>
              <w:snapToGrid w:val="0"/>
              <w:spacing w:line="360" w:lineRule="auto"/>
              <w:jc w:val="center"/>
              <w:outlineLvl w:val="0"/>
              <w:rPr>
                <w:rFonts w:hint="eastAsia" w:ascii="仿宋" w:hAnsi="仿宋" w:eastAsia="仿宋" w:cs="仿宋"/>
                <w:color w:val="auto"/>
                <w:sz w:val="21"/>
                <w:szCs w:val="24"/>
                <w:highlight w:val="none"/>
              </w:rPr>
            </w:pPr>
          </w:p>
        </w:tc>
        <w:tc>
          <w:tcPr>
            <w:tcW w:w="2355" w:type="dxa"/>
            <w:noWrap w:val="0"/>
            <w:vAlign w:val="center"/>
          </w:tcPr>
          <w:p>
            <w:pPr>
              <w:tabs>
                <w:tab w:val="left" w:pos="6300"/>
              </w:tabs>
              <w:snapToGrid w:val="0"/>
              <w:spacing w:line="360" w:lineRule="auto"/>
              <w:jc w:val="center"/>
              <w:outlineLvl w:val="0"/>
              <w:rPr>
                <w:rFonts w:hint="eastAsia" w:ascii="仿宋" w:hAnsi="仿宋" w:eastAsia="仿宋" w:cs="仿宋"/>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noWrap w:val="0"/>
            <w:vAlign w:val="center"/>
          </w:tcPr>
          <w:p>
            <w:pPr>
              <w:tabs>
                <w:tab w:val="left" w:pos="6300"/>
              </w:tabs>
              <w:snapToGrid w:val="0"/>
              <w:spacing w:line="360" w:lineRule="auto"/>
              <w:jc w:val="center"/>
              <w:outlineLvl w:val="0"/>
              <w:rPr>
                <w:rFonts w:hint="eastAsia" w:ascii="仿宋" w:hAnsi="仿宋" w:eastAsia="仿宋" w:cs="仿宋"/>
                <w:color w:val="auto"/>
                <w:sz w:val="21"/>
                <w:szCs w:val="24"/>
                <w:highlight w:val="none"/>
              </w:rPr>
            </w:pPr>
          </w:p>
        </w:tc>
        <w:tc>
          <w:tcPr>
            <w:tcW w:w="3179" w:type="dxa"/>
            <w:noWrap w:val="0"/>
            <w:vAlign w:val="center"/>
          </w:tcPr>
          <w:p>
            <w:pPr>
              <w:tabs>
                <w:tab w:val="left" w:pos="6300"/>
              </w:tabs>
              <w:snapToGrid w:val="0"/>
              <w:spacing w:line="360" w:lineRule="auto"/>
              <w:jc w:val="center"/>
              <w:outlineLvl w:val="0"/>
              <w:rPr>
                <w:rFonts w:hint="eastAsia" w:ascii="仿宋" w:hAnsi="仿宋" w:eastAsia="仿宋" w:cs="仿宋"/>
                <w:color w:val="auto"/>
                <w:sz w:val="21"/>
                <w:szCs w:val="24"/>
                <w:highlight w:val="none"/>
              </w:rPr>
            </w:pPr>
          </w:p>
        </w:tc>
        <w:tc>
          <w:tcPr>
            <w:tcW w:w="2434" w:type="dxa"/>
            <w:noWrap w:val="0"/>
            <w:vAlign w:val="center"/>
          </w:tcPr>
          <w:p>
            <w:pPr>
              <w:tabs>
                <w:tab w:val="left" w:pos="6300"/>
              </w:tabs>
              <w:snapToGrid w:val="0"/>
              <w:spacing w:line="360" w:lineRule="auto"/>
              <w:jc w:val="center"/>
              <w:outlineLvl w:val="0"/>
              <w:rPr>
                <w:rFonts w:hint="eastAsia" w:ascii="仿宋" w:hAnsi="仿宋" w:eastAsia="仿宋" w:cs="仿宋"/>
                <w:color w:val="auto"/>
                <w:sz w:val="21"/>
                <w:szCs w:val="24"/>
                <w:highlight w:val="none"/>
              </w:rPr>
            </w:pPr>
          </w:p>
        </w:tc>
        <w:tc>
          <w:tcPr>
            <w:tcW w:w="2355" w:type="dxa"/>
            <w:noWrap w:val="0"/>
            <w:vAlign w:val="center"/>
          </w:tcPr>
          <w:p>
            <w:pPr>
              <w:tabs>
                <w:tab w:val="left" w:pos="6300"/>
              </w:tabs>
              <w:snapToGrid w:val="0"/>
              <w:spacing w:line="360" w:lineRule="auto"/>
              <w:jc w:val="center"/>
              <w:outlineLvl w:val="0"/>
              <w:rPr>
                <w:rFonts w:hint="eastAsia" w:ascii="仿宋" w:hAnsi="仿宋" w:eastAsia="仿宋" w:cs="仿宋"/>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noWrap w:val="0"/>
            <w:vAlign w:val="center"/>
          </w:tcPr>
          <w:p>
            <w:pPr>
              <w:tabs>
                <w:tab w:val="left" w:pos="6300"/>
              </w:tabs>
              <w:snapToGrid w:val="0"/>
              <w:spacing w:line="360" w:lineRule="auto"/>
              <w:jc w:val="center"/>
              <w:outlineLvl w:val="0"/>
              <w:rPr>
                <w:rFonts w:hint="eastAsia" w:ascii="仿宋" w:hAnsi="仿宋" w:eastAsia="仿宋" w:cs="仿宋"/>
                <w:color w:val="auto"/>
                <w:sz w:val="21"/>
                <w:szCs w:val="24"/>
                <w:highlight w:val="none"/>
              </w:rPr>
            </w:pPr>
          </w:p>
        </w:tc>
        <w:tc>
          <w:tcPr>
            <w:tcW w:w="3179" w:type="dxa"/>
            <w:noWrap w:val="0"/>
            <w:vAlign w:val="center"/>
          </w:tcPr>
          <w:p>
            <w:pPr>
              <w:tabs>
                <w:tab w:val="left" w:pos="6300"/>
              </w:tabs>
              <w:snapToGrid w:val="0"/>
              <w:spacing w:line="360" w:lineRule="auto"/>
              <w:jc w:val="center"/>
              <w:outlineLvl w:val="0"/>
              <w:rPr>
                <w:rFonts w:hint="eastAsia" w:ascii="仿宋" w:hAnsi="仿宋" w:eastAsia="仿宋" w:cs="仿宋"/>
                <w:color w:val="auto"/>
                <w:sz w:val="21"/>
                <w:szCs w:val="24"/>
                <w:highlight w:val="none"/>
              </w:rPr>
            </w:pPr>
          </w:p>
        </w:tc>
        <w:tc>
          <w:tcPr>
            <w:tcW w:w="2434" w:type="dxa"/>
            <w:noWrap w:val="0"/>
            <w:vAlign w:val="center"/>
          </w:tcPr>
          <w:p>
            <w:pPr>
              <w:tabs>
                <w:tab w:val="left" w:pos="6300"/>
              </w:tabs>
              <w:snapToGrid w:val="0"/>
              <w:spacing w:line="360" w:lineRule="auto"/>
              <w:jc w:val="center"/>
              <w:outlineLvl w:val="0"/>
              <w:rPr>
                <w:rFonts w:hint="eastAsia" w:ascii="仿宋" w:hAnsi="仿宋" w:eastAsia="仿宋" w:cs="仿宋"/>
                <w:color w:val="auto"/>
                <w:sz w:val="21"/>
                <w:szCs w:val="24"/>
                <w:highlight w:val="none"/>
              </w:rPr>
            </w:pPr>
          </w:p>
        </w:tc>
        <w:tc>
          <w:tcPr>
            <w:tcW w:w="2355" w:type="dxa"/>
            <w:noWrap w:val="0"/>
            <w:vAlign w:val="center"/>
          </w:tcPr>
          <w:p>
            <w:pPr>
              <w:tabs>
                <w:tab w:val="left" w:pos="6300"/>
              </w:tabs>
              <w:snapToGrid w:val="0"/>
              <w:spacing w:line="360" w:lineRule="auto"/>
              <w:jc w:val="center"/>
              <w:outlineLvl w:val="0"/>
              <w:rPr>
                <w:rFonts w:hint="eastAsia" w:ascii="仿宋" w:hAnsi="仿宋" w:eastAsia="仿宋" w:cs="仿宋"/>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noWrap w:val="0"/>
            <w:vAlign w:val="center"/>
          </w:tcPr>
          <w:p>
            <w:pPr>
              <w:tabs>
                <w:tab w:val="left" w:pos="6300"/>
              </w:tabs>
              <w:snapToGrid w:val="0"/>
              <w:spacing w:line="360" w:lineRule="auto"/>
              <w:jc w:val="center"/>
              <w:outlineLvl w:val="0"/>
              <w:rPr>
                <w:rFonts w:hint="eastAsia" w:ascii="仿宋" w:hAnsi="仿宋" w:eastAsia="仿宋" w:cs="仿宋"/>
                <w:color w:val="auto"/>
                <w:sz w:val="21"/>
                <w:szCs w:val="24"/>
                <w:highlight w:val="none"/>
              </w:rPr>
            </w:pPr>
          </w:p>
        </w:tc>
        <w:tc>
          <w:tcPr>
            <w:tcW w:w="3179" w:type="dxa"/>
            <w:noWrap w:val="0"/>
            <w:vAlign w:val="center"/>
          </w:tcPr>
          <w:p>
            <w:pPr>
              <w:tabs>
                <w:tab w:val="left" w:pos="6300"/>
              </w:tabs>
              <w:snapToGrid w:val="0"/>
              <w:spacing w:line="360" w:lineRule="auto"/>
              <w:jc w:val="center"/>
              <w:outlineLvl w:val="0"/>
              <w:rPr>
                <w:rFonts w:hint="eastAsia" w:ascii="仿宋" w:hAnsi="仿宋" w:eastAsia="仿宋" w:cs="仿宋"/>
                <w:color w:val="auto"/>
                <w:sz w:val="21"/>
                <w:szCs w:val="24"/>
                <w:highlight w:val="none"/>
              </w:rPr>
            </w:pPr>
          </w:p>
        </w:tc>
        <w:tc>
          <w:tcPr>
            <w:tcW w:w="2434" w:type="dxa"/>
            <w:noWrap w:val="0"/>
            <w:vAlign w:val="center"/>
          </w:tcPr>
          <w:p>
            <w:pPr>
              <w:tabs>
                <w:tab w:val="left" w:pos="6300"/>
              </w:tabs>
              <w:snapToGrid w:val="0"/>
              <w:spacing w:line="360" w:lineRule="auto"/>
              <w:jc w:val="center"/>
              <w:outlineLvl w:val="0"/>
              <w:rPr>
                <w:rFonts w:hint="eastAsia" w:ascii="仿宋" w:hAnsi="仿宋" w:eastAsia="仿宋" w:cs="仿宋"/>
                <w:color w:val="auto"/>
                <w:sz w:val="21"/>
                <w:szCs w:val="24"/>
                <w:highlight w:val="none"/>
              </w:rPr>
            </w:pPr>
          </w:p>
        </w:tc>
        <w:tc>
          <w:tcPr>
            <w:tcW w:w="2355" w:type="dxa"/>
            <w:noWrap w:val="0"/>
            <w:vAlign w:val="center"/>
          </w:tcPr>
          <w:p>
            <w:pPr>
              <w:tabs>
                <w:tab w:val="left" w:pos="6300"/>
              </w:tabs>
              <w:snapToGrid w:val="0"/>
              <w:spacing w:line="360" w:lineRule="auto"/>
              <w:jc w:val="center"/>
              <w:outlineLvl w:val="0"/>
              <w:rPr>
                <w:rFonts w:hint="eastAsia" w:ascii="仿宋" w:hAnsi="仿宋" w:eastAsia="仿宋" w:cs="仿宋"/>
                <w:color w:val="auto"/>
                <w:sz w:val="21"/>
                <w:szCs w:val="24"/>
                <w:highlight w:val="none"/>
              </w:rPr>
            </w:pPr>
          </w:p>
        </w:tc>
      </w:tr>
    </w:tbl>
    <w:p>
      <w:pPr>
        <w:snapToGrid w:val="0"/>
        <w:spacing w:line="360" w:lineRule="auto"/>
        <w:ind w:firstLine="465"/>
        <w:rPr>
          <w:rFonts w:hint="eastAsia" w:ascii="仿宋" w:hAnsi="仿宋" w:eastAsia="仿宋" w:cs="仿宋"/>
          <w:color w:val="auto"/>
          <w:sz w:val="24"/>
          <w:szCs w:val="24"/>
          <w:highlight w:val="none"/>
        </w:rPr>
      </w:pPr>
    </w:p>
    <w:p>
      <w:pPr>
        <w:spacing w:line="500" w:lineRule="exact"/>
        <w:ind w:firstLine="600" w:firstLineChars="250"/>
        <w:rPr>
          <w:rFonts w:hint="eastAsia" w:ascii="仿宋" w:hAnsi="仿宋" w:eastAsia="仿宋" w:cs="仿宋"/>
          <w:color w:val="auto"/>
          <w:sz w:val="24"/>
          <w:szCs w:val="28"/>
          <w:highlight w:val="none"/>
        </w:rPr>
      </w:pPr>
      <w:r>
        <w:rPr>
          <w:rFonts w:hint="eastAsia" w:ascii="仿宋" w:hAnsi="仿宋" w:eastAsia="仿宋" w:cs="仿宋"/>
          <w:color w:val="auto"/>
          <w:sz w:val="24"/>
          <w:szCs w:val="28"/>
          <w:highlight w:val="none"/>
        </w:rPr>
        <w:t xml:space="preserve">供应商：                          </w:t>
      </w:r>
      <w:r>
        <w:rPr>
          <w:rFonts w:hint="eastAsia" w:ascii="仿宋" w:hAnsi="仿宋" w:eastAsia="仿宋" w:cs="仿宋"/>
          <w:color w:val="auto"/>
          <w:sz w:val="24"/>
          <w:szCs w:val="24"/>
          <w:highlight w:val="none"/>
        </w:rPr>
        <w:t>法定代表人（或其授权代表）或自然人：</w:t>
      </w:r>
    </w:p>
    <w:p>
      <w:pPr>
        <w:spacing w:line="500" w:lineRule="exact"/>
        <w:rPr>
          <w:rFonts w:hint="eastAsia" w:ascii="仿宋" w:hAnsi="仿宋" w:eastAsia="仿宋" w:cs="仿宋"/>
          <w:color w:val="auto"/>
          <w:sz w:val="24"/>
          <w:szCs w:val="28"/>
          <w:highlight w:val="none"/>
        </w:rPr>
      </w:pPr>
      <w:r>
        <w:rPr>
          <w:rFonts w:hint="eastAsia" w:ascii="仿宋" w:hAnsi="仿宋" w:eastAsia="仿宋" w:cs="仿宋"/>
          <w:color w:val="auto"/>
          <w:sz w:val="24"/>
          <w:szCs w:val="28"/>
          <w:highlight w:val="none"/>
        </w:rPr>
        <w:t xml:space="preserve">    </w:t>
      </w:r>
    </w:p>
    <w:p>
      <w:pPr>
        <w:spacing w:line="500" w:lineRule="exact"/>
        <w:ind w:firstLine="360" w:firstLineChars="150"/>
        <w:rPr>
          <w:rFonts w:hint="eastAsia" w:ascii="仿宋" w:hAnsi="仿宋" w:eastAsia="仿宋" w:cs="仿宋"/>
          <w:color w:val="auto"/>
          <w:sz w:val="24"/>
          <w:szCs w:val="28"/>
          <w:highlight w:val="none"/>
        </w:rPr>
      </w:pPr>
      <w:r>
        <w:rPr>
          <w:rFonts w:hint="eastAsia" w:ascii="仿宋" w:hAnsi="仿宋" w:eastAsia="仿宋" w:cs="仿宋"/>
          <w:color w:val="auto"/>
          <w:sz w:val="24"/>
          <w:szCs w:val="28"/>
          <w:highlight w:val="none"/>
        </w:rPr>
        <w:t>（供应商公章）                                 （签署或盖章）</w:t>
      </w:r>
    </w:p>
    <w:p>
      <w:pPr>
        <w:tabs>
          <w:tab w:val="left" w:pos="6300"/>
        </w:tabs>
        <w:snapToGrid w:val="0"/>
        <w:spacing w:line="500" w:lineRule="exact"/>
        <w:ind w:firstLine="570"/>
        <w:rPr>
          <w:rFonts w:hint="eastAsia" w:ascii="仿宋" w:hAnsi="仿宋" w:eastAsia="仿宋" w:cs="仿宋"/>
          <w:color w:val="auto"/>
          <w:sz w:val="24"/>
          <w:highlight w:val="none"/>
        </w:rPr>
      </w:pPr>
      <w:r>
        <w:rPr>
          <w:rFonts w:hint="eastAsia" w:ascii="仿宋" w:hAnsi="仿宋" w:eastAsia="仿宋" w:cs="仿宋"/>
          <w:color w:val="auto"/>
          <w:sz w:val="24"/>
          <w:szCs w:val="28"/>
          <w:highlight w:val="none"/>
        </w:rPr>
        <w:t xml:space="preserve">                                            年     月     日</w:t>
      </w:r>
    </w:p>
    <w:p>
      <w:pPr>
        <w:tabs>
          <w:tab w:val="left" w:pos="6300"/>
        </w:tabs>
        <w:snapToGrid w:val="0"/>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注：</w:t>
      </w:r>
    </w:p>
    <w:p>
      <w:pPr>
        <w:tabs>
          <w:tab w:val="left" w:pos="6300"/>
        </w:tabs>
        <w:snapToGrid w:val="0"/>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highlight w:val="none"/>
        </w:rPr>
        <w:t>.</w:t>
      </w:r>
      <w:r>
        <w:rPr>
          <w:rFonts w:hint="eastAsia" w:ascii="仿宋" w:hAnsi="仿宋" w:eastAsia="仿宋" w:cs="仿宋"/>
          <w:color w:val="auto"/>
          <w:sz w:val="24"/>
          <w:szCs w:val="24"/>
          <w:highlight w:val="none"/>
        </w:rPr>
        <w:t>本表即为对本项目“第三篇  项目商务需求”中所列条款进行比较和响应；</w:t>
      </w:r>
    </w:p>
    <w:p>
      <w:pPr>
        <w:snapToGrid w:val="0"/>
        <w:spacing w:line="400" w:lineRule="exact"/>
        <w:ind w:firstLine="480" w:firstLineChars="200"/>
        <w:rPr>
          <w:rFonts w:hint="eastAsia" w:ascii="仿宋" w:hAnsi="仿宋" w:eastAsia="仿宋" w:cs="仿宋"/>
          <w:b/>
          <w:color w:val="auto"/>
          <w:highlight w:val="none"/>
        </w:rPr>
        <w:sectPr>
          <w:headerReference r:id="rId12" w:type="default"/>
          <w:pgSz w:w="11907" w:h="16840"/>
          <w:pgMar w:top="1134" w:right="1191" w:bottom="1134" w:left="1304" w:header="851" w:footer="992" w:gutter="0"/>
          <w:pgNumType w:fmt="numberInDash"/>
          <w:cols w:space="720" w:num="1"/>
          <w:docGrid w:linePitch="380" w:charSpace="-5735"/>
        </w:sectPr>
      </w:pPr>
      <w:r>
        <w:rPr>
          <w:rFonts w:hint="eastAsia" w:ascii="仿宋" w:hAnsi="仿宋" w:eastAsia="仿宋" w:cs="仿宋"/>
          <w:color w:val="auto"/>
          <w:sz w:val="24"/>
          <w:highlight w:val="none"/>
        </w:rPr>
        <w:t>2.本表可扩展。</w:t>
      </w:r>
    </w:p>
    <w:p>
      <w:pPr>
        <w:snapToGrid w:val="0"/>
        <w:spacing w:line="400" w:lineRule="exact"/>
        <w:ind w:firstLine="480" w:firstLineChars="200"/>
        <w:rPr>
          <w:rFonts w:hint="eastAsia" w:ascii="仿宋" w:hAnsi="仿宋" w:eastAsia="仿宋" w:cs="仿宋"/>
          <w:color w:val="auto"/>
          <w:sz w:val="24"/>
          <w:szCs w:val="24"/>
          <w:highlight w:val="none"/>
        </w:rPr>
      </w:pPr>
      <w:bookmarkStart w:id="133" w:name="_Toc283382459"/>
      <w:r>
        <w:rPr>
          <w:rFonts w:hint="eastAsia" w:ascii="仿宋" w:hAnsi="仿宋" w:eastAsia="仿宋" w:cs="仿宋"/>
          <w:color w:val="auto"/>
          <w:sz w:val="24"/>
          <w:szCs w:val="24"/>
          <w:highlight w:val="none"/>
        </w:rPr>
        <w:t>（二）其它优惠承诺（格式自定）</w:t>
      </w:r>
    </w:p>
    <w:p>
      <w:pPr>
        <w:snapToGrid w:val="0"/>
        <w:spacing w:line="400" w:lineRule="exact"/>
        <w:ind w:firstLine="480" w:firstLineChars="200"/>
        <w:rPr>
          <w:rFonts w:hint="eastAsia" w:ascii="仿宋" w:hAnsi="仿宋" w:eastAsia="仿宋" w:cs="仿宋"/>
          <w:color w:val="auto"/>
          <w:sz w:val="24"/>
          <w:szCs w:val="24"/>
          <w:highlight w:val="none"/>
        </w:rPr>
      </w:pPr>
    </w:p>
    <w:p>
      <w:pPr>
        <w:pStyle w:val="2"/>
        <w:adjustRightInd w:val="0"/>
        <w:snapToGrid w:val="0"/>
        <w:spacing w:before="0" w:after="0" w:line="400" w:lineRule="exact"/>
        <w:ind w:firstLine="482" w:firstLineChars="200"/>
        <w:rPr>
          <w:rFonts w:hint="eastAsia" w:ascii="仿宋" w:hAnsi="仿宋" w:eastAsia="仿宋" w:cs="仿宋"/>
          <w:color w:val="auto"/>
          <w:sz w:val="24"/>
          <w:highlight w:val="none"/>
        </w:rPr>
      </w:pPr>
      <w:r>
        <w:rPr>
          <w:rFonts w:hint="eastAsia" w:ascii="仿宋" w:hAnsi="仿宋" w:eastAsia="仿宋" w:cs="仿宋"/>
          <w:color w:val="auto"/>
          <w:sz w:val="24"/>
          <w:szCs w:val="24"/>
          <w:highlight w:val="none"/>
        </w:rPr>
        <w:br w:type="page"/>
      </w:r>
      <w:bookmarkEnd w:id="133"/>
      <w:bookmarkStart w:id="134" w:name="_Toc313008359"/>
      <w:bookmarkStart w:id="135" w:name="_Toc313888363"/>
      <w:bookmarkStart w:id="136" w:name="_Toc76462353"/>
      <w:bookmarkStart w:id="137" w:name="_Toc342913422"/>
      <w:bookmarkStart w:id="138" w:name="_Toc31714"/>
      <w:r>
        <w:rPr>
          <w:rFonts w:hint="eastAsia" w:ascii="仿宋" w:hAnsi="仿宋" w:eastAsia="仿宋" w:cs="仿宋"/>
          <w:color w:val="auto"/>
          <w:sz w:val="24"/>
          <w:highlight w:val="none"/>
        </w:rPr>
        <w:t>四、资格条件</w:t>
      </w:r>
      <w:bookmarkEnd w:id="134"/>
      <w:bookmarkEnd w:id="135"/>
      <w:bookmarkEnd w:id="136"/>
      <w:bookmarkEnd w:id="137"/>
      <w:bookmarkEnd w:id="138"/>
    </w:p>
    <w:p>
      <w:pPr>
        <w:tabs>
          <w:tab w:val="left" w:pos="6300"/>
        </w:tabs>
        <w:snapToGrid w:val="0"/>
        <w:spacing w:line="400" w:lineRule="exact"/>
        <w:ind w:firstLine="57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（一）法人营业执照（副本）或事业单位法人证书（副本）或个体工商户营业执照或有效的自然人身份证明或社会团体法人登记证书复印件</w:t>
      </w:r>
    </w:p>
    <w:p>
      <w:pPr>
        <w:tabs>
          <w:tab w:val="left" w:pos="6300"/>
        </w:tabs>
        <w:snapToGrid w:val="0"/>
        <w:spacing w:line="400" w:lineRule="exact"/>
        <w:ind w:firstLine="570"/>
        <w:rPr>
          <w:rFonts w:hint="eastAsia" w:ascii="仿宋" w:hAnsi="仿宋" w:eastAsia="仿宋" w:cs="仿宋"/>
          <w:color w:val="auto"/>
          <w:highlight w:val="none"/>
        </w:rPr>
      </w:pPr>
    </w:p>
    <w:p>
      <w:pPr>
        <w:tabs>
          <w:tab w:val="left" w:pos="6300"/>
        </w:tabs>
        <w:snapToGrid w:val="0"/>
        <w:spacing w:line="500" w:lineRule="exact"/>
        <w:ind w:firstLine="570"/>
        <w:rPr>
          <w:rFonts w:hint="eastAsia" w:ascii="仿宋" w:hAnsi="仿宋" w:eastAsia="仿宋" w:cs="仿宋"/>
          <w:color w:val="auto"/>
          <w:highlight w:val="none"/>
        </w:rPr>
      </w:pPr>
    </w:p>
    <w:p>
      <w:pPr>
        <w:tabs>
          <w:tab w:val="left" w:pos="6300"/>
        </w:tabs>
        <w:snapToGrid w:val="0"/>
        <w:spacing w:line="500" w:lineRule="exact"/>
        <w:ind w:firstLine="570"/>
        <w:rPr>
          <w:rFonts w:hint="eastAsia" w:ascii="仿宋" w:hAnsi="仿宋" w:eastAsia="仿宋" w:cs="仿宋"/>
          <w:color w:val="auto"/>
          <w:highlight w:val="none"/>
        </w:rPr>
      </w:pPr>
    </w:p>
    <w:p>
      <w:pPr>
        <w:tabs>
          <w:tab w:val="left" w:pos="6300"/>
        </w:tabs>
        <w:snapToGrid w:val="0"/>
        <w:spacing w:line="500" w:lineRule="exact"/>
        <w:ind w:firstLine="570"/>
        <w:rPr>
          <w:rFonts w:hint="eastAsia" w:ascii="仿宋" w:hAnsi="仿宋" w:eastAsia="仿宋" w:cs="仿宋"/>
          <w:color w:val="auto"/>
          <w:highlight w:val="none"/>
        </w:rPr>
      </w:pPr>
    </w:p>
    <w:p>
      <w:pPr>
        <w:tabs>
          <w:tab w:val="left" w:pos="6300"/>
        </w:tabs>
        <w:snapToGrid w:val="0"/>
        <w:spacing w:line="500" w:lineRule="exact"/>
        <w:ind w:firstLine="570"/>
        <w:rPr>
          <w:rFonts w:hint="eastAsia" w:ascii="仿宋" w:hAnsi="仿宋" w:eastAsia="仿宋" w:cs="仿宋"/>
          <w:color w:val="auto"/>
          <w:highlight w:val="none"/>
        </w:rPr>
      </w:pPr>
    </w:p>
    <w:p>
      <w:pPr>
        <w:snapToGrid w:val="0"/>
        <w:spacing w:line="400" w:lineRule="exact"/>
        <w:ind w:firstLine="560" w:firstLineChars="200"/>
        <w:rPr>
          <w:rFonts w:hint="eastAsia" w:ascii="仿宋" w:hAnsi="仿宋" w:eastAsia="仿宋" w:cs="仿宋"/>
          <w:color w:val="auto"/>
          <w:sz w:val="24"/>
          <w:szCs w:val="24"/>
          <w:highlight w:val="none"/>
        </w:rPr>
      </w:pPr>
      <w:r>
        <w:rPr>
          <w:rFonts w:hint="eastAsia" w:ascii="仿宋" w:hAnsi="仿宋" w:eastAsia="仿宋" w:cs="仿宋"/>
          <w:color w:val="auto"/>
          <w:highlight w:val="none"/>
        </w:rPr>
        <w:br w:type="page"/>
      </w:r>
      <w:r>
        <w:rPr>
          <w:rFonts w:hint="eastAsia" w:ascii="仿宋" w:hAnsi="仿宋" w:eastAsia="仿宋" w:cs="仿宋"/>
          <w:color w:val="auto"/>
          <w:sz w:val="24"/>
          <w:szCs w:val="24"/>
          <w:highlight w:val="none"/>
        </w:rPr>
        <w:t>（二）法定代表人身份证明书（格式）</w:t>
      </w:r>
    </w:p>
    <w:p>
      <w:pPr>
        <w:tabs>
          <w:tab w:val="left" w:pos="6300"/>
        </w:tabs>
        <w:snapToGrid w:val="0"/>
        <w:spacing w:line="500" w:lineRule="exact"/>
        <w:ind w:firstLine="570"/>
        <w:rPr>
          <w:rFonts w:hint="eastAsia" w:ascii="仿宋" w:hAnsi="仿宋" w:eastAsia="仿宋" w:cs="仿宋"/>
          <w:color w:val="auto"/>
          <w:sz w:val="24"/>
          <w:highlight w:val="none"/>
        </w:rPr>
      </w:pPr>
    </w:p>
    <w:p>
      <w:pPr>
        <w:tabs>
          <w:tab w:val="left" w:pos="6300"/>
        </w:tabs>
        <w:snapToGrid w:val="0"/>
        <w:spacing w:line="500" w:lineRule="exact"/>
        <w:ind w:firstLine="570"/>
        <w:rPr>
          <w:rFonts w:hint="eastAsia" w:ascii="仿宋" w:hAnsi="仿宋" w:eastAsia="仿宋" w:cs="仿宋"/>
          <w:color w:val="auto"/>
          <w:sz w:val="24"/>
          <w:highlight w:val="none"/>
        </w:rPr>
      </w:pPr>
      <w:r>
        <w:rPr>
          <w:rFonts w:hint="eastAsia" w:ascii="仿宋" w:hAnsi="仿宋" w:eastAsia="仿宋" w:cs="仿宋"/>
          <w:color w:val="auto"/>
          <w:sz w:val="24"/>
          <w:highlight w:val="none"/>
        </w:rPr>
        <w:t>磋商项目名称：</w:t>
      </w:r>
      <w:r>
        <w:rPr>
          <w:rFonts w:hint="eastAsia" w:ascii="仿宋" w:hAnsi="仿宋" w:eastAsia="仿宋" w:cs="仿宋"/>
          <w:color w:val="auto"/>
          <w:sz w:val="24"/>
          <w:highlight w:val="none"/>
          <w:u w:val="single"/>
        </w:rPr>
        <w:t xml:space="preserve">                                                </w:t>
      </w:r>
    </w:p>
    <w:p>
      <w:pPr>
        <w:tabs>
          <w:tab w:val="left" w:pos="6300"/>
        </w:tabs>
        <w:snapToGrid w:val="0"/>
        <w:spacing w:line="500" w:lineRule="exact"/>
        <w:ind w:firstLine="570"/>
        <w:rPr>
          <w:rFonts w:hint="eastAsia" w:ascii="仿宋" w:hAnsi="仿宋" w:eastAsia="仿宋" w:cs="仿宋"/>
          <w:color w:val="auto"/>
          <w:sz w:val="24"/>
          <w:highlight w:val="none"/>
        </w:rPr>
      </w:pPr>
    </w:p>
    <w:p>
      <w:pPr>
        <w:tabs>
          <w:tab w:val="left" w:pos="6300"/>
        </w:tabs>
        <w:snapToGrid w:val="0"/>
        <w:spacing w:line="5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（采购代理机构名称）：</w:t>
      </w:r>
    </w:p>
    <w:p>
      <w:pPr>
        <w:tabs>
          <w:tab w:val="left" w:pos="6300"/>
        </w:tabs>
        <w:snapToGrid w:val="0"/>
        <w:spacing w:line="500" w:lineRule="exact"/>
        <w:ind w:firstLine="570"/>
        <w:rPr>
          <w:rFonts w:hint="eastAsia" w:ascii="仿宋" w:hAnsi="仿宋" w:eastAsia="仿宋" w:cs="仿宋"/>
          <w:color w:val="auto"/>
          <w:sz w:val="24"/>
          <w:highlight w:val="none"/>
        </w:rPr>
      </w:pP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（法定代表人姓名）在</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（供应商名称）任</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（职务名称）职务，是（供应商名称）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的法定代表人。</w:t>
      </w:r>
    </w:p>
    <w:p>
      <w:pPr>
        <w:tabs>
          <w:tab w:val="left" w:pos="6300"/>
        </w:tabs>
        <w:snapToGrid w:val="0"/>
        <w:spacing w:line="500" w:lineRule="exact"/>
        <w:ind w:firstLine="570"/>
        <w:rPr>
          <w:rFonts w:hint="eastAsia" w:ascii="仿宋" w:hAnsi="仿宋" w:eastAsia="仿宋" w:cs="仿宋"/>
          <w:color w:val="auto"/>
          <w:sz w:val="24"/>
          <w:highlight w:val="none"/>
        </w:rPr>
      </w:pPr>
    </w:p>
    <w:p>
      <w:pPr>
        <w:tabs>
          <w:tab w:val="left" w:pos="6300"/>
        </w:tabs>
        <w:snapToGrid w:val="0"/>
        <w:spacing w:line="500" w:lineRule="exact"/>
        <w:ind w:firstLine="570"/>
        <w:rPr>
          <w:rFonts w:hint="eastAsia" w:ascii="仿宋" w:hAnsi="仿宋" w:eastAsia="仿宋" w:cs="仿宋"/>
          <w:color w:val="auto"/>
          <w:sz w:val="24"/>
          <w:highlight w:val="none"/>
        </w:rPr>
      </w:pPr>
      <w:r>
        <w:rPr>
          <w:rFonts w:hint="eastAsia" w:ascii="仿宋" w:hAnsi="仿宋" w:eastAsia="仿宋" w:cs="仿宋"/>
          <w:color w:val="auto"/>
          <w:sz w:val="24"/>
          <w:highlight w:val="none"/>
        </w:rPr>
        <w:t>特此证明。</w:t>
      </w:r>
    </w:p>
    <w:p>
      <w:pPr>
        <w:tabs>
          <w:tab w:val="left" w:pos="6300"/>
        </w:tabs>
        <w:snapToGrid w:val="0"/>
        <w:spacing w:line="500" w:lineRule="exact"/>
        <w:ind w:firstLine="570"/>
        <w:rPr>
          <w:rFonts w:hint="eastAsia" w:ascii="仿宋" w:hAnsi="仿宋" w:eastAsia="仿宋" w:cs="仿宋"/>
          <w:color w:val="auto"/>
          <w:sz w:val="24"/>
          <w:highlight w:val="none"/>
        </w:rPr>
      </w:pPr>
    </w:p>
    <w:p>
      <w:pPr>
        <w:tabs>
          <w:tab w:val="left" w:pos="6300"/>
        </w:tabs>
        <w:snapToGrid w:val="0"/>
        <w:spacing w:line="500" w:lineRule="exact"/>
        <w:ind w:firstLine="570"/>
        <w:rPr>
          <w:rFonts w:hint="eastAsia" w:ascii="仿宋" w:hAnsi="仿宋" w:eastAsia="仿宋" w:cs="仿宋"/>
          <w:color w:val="auto"/>
          <w:sz w:val="24"/>
          <w:highlight w:val="none"/>
        </w:rPr>
      </w:pPr>
    </w:p>
    <w:p>
      <w:pPr>
        <w:tabs>
          <w:tab w:val="left" w:pos="6300"/>
        </w:tabs>
        <w:snapToGrid w:val="0"/>
        <w:spacing w:line="500" w:lineRule="exact"/>
        <w:ind w:firstLine="570"/>
        <w:rPr>
          <w:rFonts w:hint="eastAsia" w:ascii="仿宋" w:hAnsi="仿宋" w:eastAsia="仿宋" w:cs="仿宋"/>
          <w:color w:val="auto"/>
          <w:sz w:val="24"/>
          <w:highlight w:val="none"/>
        </w:rPr>
      </w:pPr>
    </w:p>
    <w:p>
      <w:pPr>
        <w:tabs>
          <w:tab w:val="left" w:pos="6300"/>
        </w:tabs>
        <w:snapToGrid w:val="0"/>
        <w:spacing w:line="500" w:lineRule="exact"/>
        <w:ind w:firstLine="57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（供应商公章）</w:t>
      </w:r>
    </w:p>
    <w:p>
      <w:pPr>
        <w:tabs>
          <w:tab w:val="left" w:pos="6300"/>
        </w:tabs>
        <w:snapToGrid w:val="0"/>
        <w:spacing w:line="500" w:lineRule="exact"/>
        <w:ind w:firstLine="570"/>
        <w:rPr>
          <w:rFonts w:hint="eastAsia" w:ascii="仿宋" w:hAnsi="仿宋" w:eastAsia="仿宋" w:cs="仿宋"/>
          <w:color w:val="auto"/>
          <w:sz w:val="24"/>
          <w:highlight w:val="none"/>
        </w:rPr>
      </w:pPr>
    </w:p>
    <w:p>
      <w:pPr>
        <w:tabs>
          <w:tab w:val="left" w:pos="6300"/>
        </w:tabs>
        <w:snapToGrid w:val="0"/>
        <w:spacing w:line="500" w:lineRule="exact"/>
        <w:ind w:firstLine="57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年   月   日</w:t>
      </w:r>
    </w:p>
    <w:p>
      <w:pPr>
        <w:tabs>
          <w:tab w:val="left" w:pos="6300"/>
        </w:tabs>
        <w:snapToGrid w:val="0"/>
        <w:spacing w:line="500" w:lineRule="exact"/>
        <w:ind w:firstLine="570"/>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法定代表人电话：XXXXXXX      电子邮箱：XXXXXX@XXXXX（若授权他人办理并签署响应文件的可不填写）</w:t>
      </w:r>
    </w:p>
    <w:p>
      <w:pPr>
        <w:tabs>
          <w:tab w:val="left" w:pos="6300"/>
        </w:tabs>
        <w:snapToGrid w:val="0"/>
        <w:spacing w:line="500" w:lineRule="exact"/>
        <w:ind w:firstLine="570"/>
        <w:rPr>
          <w:rFonts w:hint="eastAsia" w:ascii="仿宋" w:hAnsi="仿宋" w:eastAsia="仿宋" w:cs="仿宋"/>
          <w:color w:val="auto"/>
          <w:sz w:val="24"/>
          <w:highlight w:val="none"/>
        </w:rPr>
      </w:pPr>
      <w:r>
        <w:rPr>
          <w:rFonts w:hint="eastAsia" w:ascii="仿宋" w:hAnsi="仿宋" w:eastAsia="仿宋" w:cs="仿宋"/>
          <w:color w:val="auto"/>
          <w:sz w:val="24"/>
          <w:highlight w:val="none"/>
        </w:rPr>
        <w:t>（附：法定代表人身份证正反面复印件）</w:t>
      </w:r>
    </w:p>
    <w:p>
      <w:pPr>
        <w:tabs>
          <w:tab w:val="left" w:pos="6300"/>
        </w:tabs>
        <w:snapToGrid w:val="0"/>
        <w:spacing w:line="500" w:lineRule="exact"/>
        <w:ind w:firstLine="570"/>
        <w:rPr>
          <w:rFonts w:hint="eastAsia" w:ascii="仿宋" w:hAnsi="仿宋" w:eastAsia="仿宋" w:cs="仿宋"/>
          <w:color w:val="auto"/>
          <w:sz w:val="24"/>
          <w:highlight w:val="none"/>
        </w:rPr>
      </w:pPr>
    </w:p>
    <w:p>
      <w:pPr>
        <w:tabs>
          <w:tab w:val="left" w:pos="6300"/>
        </w:tabs>
        <w:snapToGrid w:val="0"/>
        <w:spacing w:line="500" w:lineRule="exact"/>
        <w:ind w:firstLine="570"/>
        <w:rPr>
          <w:rFonts w:hint="eastAsia" w:ascii="仿宋" w:hAnsi="仿宋" w:eastAsia="仿宋" w:cs="仿宋"/>
          <w:color w:val="auto"/>
          <w:sz w:val="24"/>
          <w:highlight w:val="none"/>
        </w:rPr>
      </w:pPr>
    </w:p>
    <w:p>
      <w:pPr>
        <w:tabs>
          <w:tab w:val="left" w:pos="6300"/>
        </w:tabs>
        <w:snapToGrid w:val="0"/>
        <w:spacing w:line="500" w:lineRule="exact"/>
        <w:ind w:firstLine="570"/>
        <w:rPr>
          <w:rFonts w:hint="eastAsia" w:ascii="仿宋" w:hAnsi="仿宋" w:eastAsia="仿宋" w:cs="仿宋"/>
          <w:color w:val="auto"/>
          <w:sz w:val="24"/>
          <w:highlight w:val="none"/>
        </w:rPr>
      </w:pPr>
    </w:p>
    <w:p>
      <w:pPr>
        <w:tabs>
          <w:tab w:val="left" w:pos="6300"/>
        </w:tabs>
        <w:snapToGrid w:val="0"/>
        <w:spacing w:line="500" w:lineRule="exact"/>
        <w:ind w:firstLine="570"/>
        <w:rPr>
          <w:rFonts w:hint="eastAsia" w:ascii="仿宋" w:hAnsi="仿宋" w:eastAsia="仿宋" w:cs="仿宋"/>
          <w:color w:val="auto"/>
          <w:sz w:val="24"/>
          <w:highlight w:val="none"/>
        </w:rPr>
      </w:pPr>
    </w:p>
    <w:p>
      <w:pPr>
        <w:tabs>
          <w:tab w:val="left" w:pos="6300"/>
        </w:tabs>
        <w:snapToGrid w:val="0"/>
        <w:spacing w:line="500" w:lineRule="exact"/>
        <w:ind w:firstLine="570"/>
        <w:rPr>
          <w:rFonts w:hint="eastAsia" w:ascii="仿宋" w:hAnsi="仿宋" w:eastAsia="仿宋" w:cs="仿宋"/>
          <w:color w:val="auto"/>
          <w:sz w:val="24"/>
          <w:highlight w:val="none"/>
        </w:rPr>
      </w:pPr>
    </w:p>
    <w:p>
      <w:pPr>
        <w:tabs>
          <w:tab w:val="left" w:pos="6300"/>
        </w:tabs>
        <w:snapToGrid w:val="0"/>
        <w:spacing w:line="500" w:lineRule="exact"/>
        <w:ind w:firstLine="570"/>
        <w:rPr>
          <w:rFonts w:hint="eastAsia" w:ascii="仿宋" w:hAnsi="仿宋" w:eastAsia="仿宋" w:cs="仿宋"/>
          <w:color w:val="auto"/>
          <w:sz w:val="24"/>
          <w:highlight w:val="none"/>
        </w:rPr>
      </w:pPr>
    </w:p>
    <w:p>
      <w:pPr>
        <w:snapToGrid w:val="0"/>
        <w:spacing w:line="400" w:lineRule="exact"/>
        <w:ind w:firstLine="560" w:firstLineChars="200"/>
        <w:rPr>
          <w:rFonts w:hint="eastAsia" w:ascii="仿宋" w:hAnsi="仿宋" w:eastAsia="仿宋" w:cs="仿宋"/>
          <w:color w:val="auto"/>
          <w:sz w:val="24"/>
          <w:szCs w:val="24"/>
          <w:highlight w:val="none"/>
        </w:rPr>
      </w:pPr>
      <w:r>
        <w:rPr>
          <w:rFonts w:hint="eastAsia" w:ascii="仿宋" w:hAnsi="仿宋" w:eastAsia="仿宋" w:cs="仿宋"/>
          <w:color w:val="auto"/>
          <w:highlight w:val="none"/>
        </w:rPr>
        <w:br w:type="column"/>
      </w:r>
      <w:r>
        <w:rPr>
          <w:rFonts w:hint="eastAsia" w:ascii="仿宋" w:hAnsi="仿宋" w:eastAsia="仿宋" w:cs="仿宋"/>
          <w:color w:val="auto"/>
          <w:sz w:val="24"/>
          <w:szCs w:val="24"/>
          <w:highlight w:val="none"/>
        </w:rPr>
        <w:t>（三）法定代表人授权委托书（格式）</w:t>
      </w:r>
    </w:p>
    <w:p>
      <w:pPr>
        <w:tabs>
          <w:tab w:val="left" w:pos="6300"/>
        </w:tabs>
        <w:snapToGrid w:val="0"/>
        <w:spacing w:line="500" w:lineRule="exact"/>
        <w:ind w:firstLine="57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p>
      <w:pPr>
        <w:tabs>
          <w:tab w:val="left" w:pos="6300"/>
        </w:tabs>
        <w:snapToGrid w:val="0"/>
        <w:spacing w:line="5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szCs w:val="28"/>
          <w:highlight w:val="none"/>
        </w:rPr>
        <w:t>磋商项目名称</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 xml:space="preserve">                                                </w:t>
      </w:r>
    </w:p>
    <w:p>
      <w:pPr>
        <w:tabs>
          <w:tab w:val="left" w:pos="6300"/>
        </w:tabs>
        <w:snapToGrid w:val="0"/>
        <w:spacing w:line="500" w:lineRule="exact"/>
        <w:ind w:firstLine="570"/>
        <w:rPr>
          <w:rFonts w:hint="eastAsia" w:ascii="仿宋" w:hAnsi="仿宋" w:eastAsia="仿宋" w:cs="仿宋"/>
          <w:color w:val="auto"/>
          <w:sz w:val="24"/>
          <w:highlight w:val="none"/>
        </w:rPr>
      </w:pPr>
    </w:p>
    <w:p>
      <w:pPr>
        <w:tabs>
          <w:tab w:val="left" w:pos="6300"/>
        </w:tabs>
        <w:snapToGrid w:val="0"/>
        <w:spacing w:line="5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（采购代理机构名称）：</w:t>
      </w:r>
    </w:p>
    <w:p>
      <w:pPr>
        <w:tabs>
          <w:tab w:val="left" w:pos="6300"/>
        </w:tabs>
        <w:snapToGrid w:val="0"/>
        <w:spacing w:line="5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（供应商法定代表人名称）是</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（供应商名称）的法定代表人，特授权</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（被授权人姓名及身份证代码）代表我单位全权办理上述项目的磋商、签约等具体工作，并签署全部有关文件、协议及合同。</w:t>
      </w:r>
    </w:p>
    <w:p>
      <w:pPr>
        <w:tabs>
          <w:tab w:val="left" w:pos="6300"/>
        </w:tabs>
        <w:snapToGrid w:val="0"/>
        <w:spacing w:line="5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我单位对被授权人的</w:t>
      </w:r>
      <w:r>
        <w:rPr>
          <w:rFonts w:hint="eastAsia" w:ascii="仿宋" w:hAnsi="仿宋" w:eastAsia="仿宋" w:cs="仿宋"/>
          <w:color w:val="auto"/>
          <w:sz w:val="24"/>
          <w:szCs w:val="28"/>
          <w:highlight w:val="none"/>
        </w:rPr>
        <w:t>签署</w:t>
      </w:r>
      <w:r>
        <w:rPr>
          <w:rFonts w:hint="eastAsia" w:ascii="仿宋" w:hAnsi="仿宋" w:eastAsia="仿宋" w:cs="仿宋"/>
          <w:color w:val="auto"/>
          <w:sz w:val="24"/>
          <w:highlight w:val="none"/>
        </w:rPr>
        <w:t>负全部责任。</w:t>
      </w:r>
    </w:p>
    <w:p>
      <w:pPr>
        <w:tabs>
          <w:tab w:val="left" w:pos="6300"/>
        </w:tabs>
        <w:snapToGrid w:val="0"/>
        <w:spacing w:line="5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在撤销授权的书面通知以前，本授权书一直有效。被授权人在授权书有效期内签署的所有文件不因授权的撤销而失效。</w:t>
      </w:r>
    </w:p>
    <w:p>
      <w:pPr>
        <w:tabs>
          <w:tab w:val="left" w:pos="6300"/>
        </w:tabs>
        <w:snapToGrid w:val="0"/>
        <w:spacing w:line="500" w:lineRule="exact"/>
        <w:ind w:firstLine="570"/>
        <w:rPr>
          <w:rFonts w:hint="eastAsia" w:ascii="仿宋" w:hAnsi="仿宋" w:eastAsia="仿宋" w:cs="仿宋"/>
          <w:color w:val="auto"/>
          <w:sz w:val="24"/>
          <w:highlight w:val="none"/>
        </w:rPr>
      </w:pPr>
    </w:p>
    <w:p>
      <w:pPr>
        <w:tabs>
          <w:tab w:val="left" w:pos="6300"/>
        </w:tabs>
        <w:snapToGrid w:val="0"/>
        <w:spacing w:line="500" w:lineRule="exact"/>
        <w:ind w:firstLine="570"/>
        <w:rPr>
          <w:rFonts w:hint="eastAsia" w:ascii="仿宋" w:hAnsi="仿宋" w:eastAsia="仿宋" w:cs="仿宋"/>
          <w:color w:val="auto"/>
          <w:sz w:val="24"/>
          <w:highlight w:val="none"/>
        </w:rPr>
      </w:pPr>
    </w:p>
    <w:p>
      <w:pPr>
        <w:tabs>
          <w:tab w:val="left" w:pos="6300"/>
        </w:tabs>
        <w:snapToGrid w:val="0"/>
        <w:spacing w:line="500" w:lineRule="exact"/>
        <w:ind w:firstLine="570"/>
        <w:rPr>
          <w:rFonts w:hint="eastAsia" w:ascii="仿宋" w:hAnsi="仿宋" w:eastAsia="仿宋" w:cs="仿宋"/>
          <w:color w:val="auto"/>
          <w:sz w:val="24"/>
          <w:highlight w:val="none"/>
        </w:rPr>
      </w:pPr>
      <w:r>
        <w:rPr>
          <w:rFonts w:hint="eastAsia" w:ascii="仿宋" w:hAnsi="仿宋" w:eastAsia="仿宋" w:cs="仿宋"/>
          <w:color w:val="auto"/>
          <w:sz w:val="24"/>
          <w:highlight w:val="none"/>
        </w:rPr>
        <w:t>被授权人：                                 供应商法定代表人：</w:t>
      </w:r>
    </w:p>
    <w:p>
      <w:pPr>
        <w:tabs>
          <w:tab w:val="left" w:pos="6300"/>
        </w:tabs>
        <w:snapToGrid w:val="0"/>
        <w:spacing w:line="500" w:lineRule="exact"/>
        <w:ind w:firstLine="570"/>
        <w:rPr>
          <w:rFonts w:hint="eastAsia" w:ascii="仿宋" w:hAnsi="仿宋" w:eastAsia="仿宋" w:cs="仿宋"/>
          <w:color w:val="auto"/>
          <w:sz w:val="24"/>
          <w:szCs w:val="28"/>
          <w:highlight w:val="none"/>
        </w:rPr>
      </w:pPr>
      <w:r>
        <w:rPr>
          <w:rFonts w:hint="eastAsia" w:ascii="仿宋" w:hAnsi="仿宋" w:eastAsia="仿宋" w:cs="仿宋"/>
          <w:color w:val="auto"/>
          <w:sz w:val="24"/>
          <w:szCs w:val="28"/>
          <w:highlight w:val="none"/>
        </w:rPr>
        <w:t>（签署或盖章）                                （签署或盖章）</w:t>
      </w:r>
    </w:p>
    <w:p>
      <w:pPr>
        <w:tabs>
          <w:tab w:val="left" w:pos="6300"/>
        </w:tabs>
        <w:snapToGrid w:val="0"/>
        <w:spacing w:line="500" w:lineRule="exact"/>
        <w:ind w:firstLine="570"/>
        <w:rPr>
          <w:rFonts w:hint="eastAsia" w:ascii="仿宋" w:hAnsi="仿宋" w:eastAsia="仿宋" w:cs="仿宋"/>
          <w:color w:val="auto"/>
          <w:sz w:val="24"/>
          <w:szCs w:val="28"/>
          <w:highlight w:val="none"/>
        </w:rPr>
      </w:pPr>
    </w:p>
    <w:p>
      <w:pPr>
        <w:tabs>
          <w:tab w:val="left" w:pos="6300"/>
        </w:tabs>
        <w:snapToGrid w:val="0"/>
        <w:spacing w:line="500" w:lineRule="exact"/>
        <w:ind w:firstLine="570"/>
        <w:rPr>
          <w:rFonts w:hint="eastAsia" w:ascii="仿宋" w:hAnsi="仿宋" w:eastAsia="仿宋" w:cs="仿宋"/>
          <w:color w:val="auto"/>
          <w:sz w:val="24"/>
          <w:highlight w:val="none"/>
        </w:rPr>
      </w:pPr>
    </w:p>
    <w:p>
      <w:pPr>
        <w:tabs>
          <w:tab w:val="left" w:pos="6300"/>
        </w:tabs>
        <w:snapToGrid w:val="0"/>
        <w:spacing w:line="500" w:lineRule="exact"/>
        <w:ind w:firstLine="570"/>
        <w:rPr>
          <w:rFonts w:hint="eastAsia" w:ascii="仿宋" w:hAnsi="仿宋" w:eastAsia="仿宋" w:cs="仿宋"/>
          <w:color w:val="auto"/>
          <w:sz w:val="24"/>
          <w:highlight w:val="none"/>
        </w:rPr>
      </w:pPr>
      <w:r>
        <w:rPr>
          <w:rFonts w:hint="eastAsia" w:ascii="仿宋" w:hAnsi="仿宋" w:eastAsia="仿宋" w:cs="仿宋"/>
          <w:color w:val="auto"/>
          <w:sz w:val="24"/>
          <w:highlight w:val="none"/>
        </w:rPr>
        <w:t>（附：被授权人身份证正反面复印件）</w:t>
      </w:r>
    </w:p>
    <w:p>
      <w:pPr>
        <w:tabs>
          <w:tab w:val="left" w:pos="6300"/>
        </w:tabs>
        <w:snapToGrid w:val="0"/>
        <w:spacing w:line="500" w:lineRule="exact"/>
        <w:ind w:firstLine="57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p>
      <w:pPr>
        <w:tabs>
          <w:tab w:val="left" w:pos="6300"/>
        </w:tabs>
        <w:snapToGrid w:val="0"/>
        <w:spacing w:line="500" w:lineRule="exact"/>
        <w:ind w:firstLine="570"/>
        <w:rPr>
          <w:rFonts w:hint="eastAsia" w:ascii="仿宋" w:hAnsi="仿宋" w:eastAsia="仿宋" w:cs="仿宋"/>
          <w:color w:val="auto"/>
          <w:sz w:val="24"/>
          <w:highlight w:val="none"/>
        </w:rPr>
      </w:pPr>
    </w:p>
    <w:p>
      <w:pPr>
        <w:tabs>
          <w:tab w:val="left" w:pos="6300"/>
        </w:tabs>
        <w:snapToGrid w:val="0"/>
        <w:spacing w:line="500" w:lineRule="exact"/>
        <w:ind w:firstLine="570"/>
        <w:rPr>
          <w:rFonts w:hint="eastAsia" w:ascii="仿宋" w:hAnsi="仿宋" w:eastAsia="仿宋" w:cs="仿宋"/>
          <w:color w:val="auto"/>
          <w:sz w:val="24"/>
          <w:highlight w:val="none"/>
        </w:rPr>
      </w:pPr>
    </w:p>
    <w:p>
      <w:pPr>
        <w:tabs>
          <w:tab w:val="left" w:pos="6300"/>
        </w:tabs>
        <w:snapToGrid w:val="0"/>
        <w:spacing w:line="500" w:lineRule="exact"/>
        <w:ind w:right="480" w:firstLine="570"/>
        <w:jc w:val="right"/>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（供应商公章）</w:t>
      </w:r>
    </w:p>
    <w:p>
      <w:pPr>
        <w:tabs>
          <w:tab w:val="left" w:pos="6300"/>
        </w:tabs>
        <w:snapToGrid w:val="0"/>
        <w:spacing w:line="500" w:lineRule="exact"/>
        <w:ind w:right="480" w:firstLine="570"/>
        <w:jc w:val="right"/>
        <w:rPr>
          <w:rFonts w:hint="eastAsia" w:ascii="仿宋" w:hAnsi="仿宋" w:eastAsia="仿宋" w:cs="仿宋"/>
          <w:color w:val="auto"/>
          <w:sz w:val="24"/>
          <w:highlight w:val="none"/>
        </w:rPr>
      </w:pPr>
      <w:r>
        <w:rPr>
          <w:rFonts w:hint="eastAsia" w:ascii="仿宋" w:hAnsi="仿宋" w:eastAsia="仿宋" w:cs="仿宋"/>
          <w:color w:val="auto"/>
          <w:sz w:val="24"/>
          <w:highlight w:val="none"/>
        </w:rPr>
        <w:t>年   月   日</w:t>
      </w:r>
    </w:p>
    <w:p>
      <w:pPr>
        <w:tabs>
          <w:tab w:val="left" w:pos="6300"/>
        </w:tabs>
        <w:snapToGrid w:val="0"/>
        <w:spacing w:line="500" w:lineRule="exact"/>
        <w:ind w:right="480" w:firstLine="57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被授权人电话：XXXXXXX     电子邮箱：XXXXXX@XXXXX（若法定代表人办理并签署响应文件的可不填写）</w:t>
      </w:r>
    </w:p>
    <w:p>
      <w:pPr>
        <w:tabs>
          <w:tab w:val="left" w:pos="6300"/>
        </w:tabs>
        <w:snapToGrid w:val="0"/>
        <w:spacing w:line="500" w:lineRule="exact"/>
        <w:ind w:right="480" w:firstLine="57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注：若为法定代表人办理并签署响应文件的，不提供此文件。</w:t>
      </w:r>
    </w:p>
    <w:p>
      <w:pPr>
        <w:tabs>
          <w:tab w:val="left" w:pos="6300"/>
        </w:tabs>
        <w:snapToGrid w:val="0"/>
        <w:spacing w:line="500" w:lineRule="exact"/>
        <w:ind w:firstLine="570"/>
        <w:rPr>
          <w:rFonts w:hint="eastAsia" w:ascii="仿宋" w:hAnsi="仿宋" w:eastAsia="仿宋" w:cs="仿宋"/>
          <w:color w:val="auto"/>
          <w:sz w:val="24"/>
          <w:szCs w:val="24"/>
          <w:highlight w:val="none"/>
        </w:rPr>
      </w:pPr>
      <w:r>
        <w:rPr>
          <w:rFonts w:hint="eastAsia" w:ascii="仿宋" w:hAnsi="仿宋" w:eastAsia="仿宋" w:cs="仿宋"/>
          <w:color w:val="auto"/>
          <w:highlight w:val="none"/>
        </w:rPr>
        <w:br w:type="column"/>
      </w:r>
      <w:r>
        <w:rPr>
          <w:rFonts w:hint="eastAsia" w:ascii="仿宋" w:hAnsi="仿宋" w:eastAsia="仿宋" w:cs="仿宋"/>
          <w:color w:val="auto"/>
          <w:sz w:val="24"/>
          <w:szCs w:val="24"/>
          <w:highlight w:val="none"/>
        </w:rPr>
        <w:t>（四）</w:t>
      </w:r>
      <w:r>
        <w:rPr>
          <w:rFonts w:hint="eastAsia" w:ascii="仿宋" w:hAnsi="仿宋" w:eastAsia="仿宋" w:cs="仿宋"/>
          <w:color w:val="auto"/>
          <w:sz w:val="24"/>
          <w:szCs w:val="28"/>
          <w:highlight w:val="none"/>
        </w:rPr>
        <w:t>基本资格条件承诺函</w:t>
      </w:r>
    </w:p>
    <w:p>
      <w:pPr>
        <w:tabs>
          <w:tab w:val="left" w:pos="6300"/>
        </w:tabs>
        <w:snapToGrid w:val="0"/>
        <w:spacing w:line="500" w:lineRule="exact"/>
        <w:ind w:firstLine="643" w:firstLineChars="200"/>
        <w:jc w:val="center"/>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基本资格条件承诺函</w:t>
      </w:r>
    </w:p>
    <w:p>
      <w:pPr>
        <w:tabs>
          <w:tab w:val="left" w:pos="6300"/>
        </w:tabs>
        <w:snapToGrid w:val="0"/>
        <w:spacing w:line="530" w:lineRule="exact"/>
        <w:rPr>
          <w:rFonts w:hint="eastAsia" w:ascii="仿宋" w:hAnsi="仿宋" w:eastAsia="仿宋" w:cs="仿宋"/>
          <w:color w:val="auto"/>
          <w:sz w:val="24"/>
          <w:highlight w:val="none"/>
        </w:rPr>
      </w:pPr>
    </w:p>
    <w:p>
      <w:pPr>
        <w:tabs>
          <w:tab w:val="left" w:pos="6300"/>
        </w:tabs>
        <w:snapToGrid w:val="0"/>
        <w:spacing w:line="5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（采购代理机构名称）：</w:t>
      </w:r>
    </w:p>
    <w:p>
      <w:pPr>
        <w:tabs>
          <w:tab w:val="left" w:pos="6300"/>
        </w:tabs>
        <w:snapToGrid w:val="0"/>
        <w:spacing w:line="5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（供应商名称）郑重承诺：</w:t>
      </w:r>
    </w:p>
    <w:p>
      <w:pPr>
        <w:tabs>
          <w:tab w:val="left" w:pos="6300"/>
        </w:tabs>
        <w:snapToGrid w:val="0"/>
        <w:spacing w:line="5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1.我方具有良好的商业信誉和健全的财务会计制度，具有履行合同所必需的设备和专业技术能力，具</w:t>
      </w:r>
      <w:r>
        <w:rPr>
          <w:rFonts w:hint="eastAsia" w:ascii="仿宋" w:hAnsi="仿宋" w:eastAsia="仿宋" w:cs="仿宋"/>
          <w:color w:val="auto"/>
          <w:sz w:val="24"/>
          <w:highlight w:val="none"/>
          <w:lang w:val="zh-CN"/>
        </w:rPr>
        <w:t>有依法缴纳税收和社会保障金的良好记录</w:t>
      </w:r>
      <w:r>
        <w:rPr>
          <w:rFonts w:hint="eastAsia" w:ascii="仿宋" w:hAnsi="仿宋" w:eastAsia="仿宋" w:cs="仿宋"/>
          <w:color w:val="auto"/>
          <w:sz w:val="24"/>
          <w:highlight w:val="none"/>
        </w:rPr>
        <w:t>，参加本项目采购活动前三年内无重大违法活动记录。</w:t>
      </w:r>
    </w:p>
    <w:p>
      <w:pPr>
        <w:tabs>
          <w:tab w:val="left" w:pos="6300"/>
        </w:tabs>
        <w:snapToGrid w:val="0"/>
        <w:spacing w:line="5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2.我方未列入在信用中国网站（www.creditchina.gov.cn）“失信被执行人”、“重大税收违法案件当事人名单”中，也未列入中国政府采购网（www.ccgp.gov.cn）“政府采购严重违法失信行为记录名单”中。</w:t>
      </w:r>
    </w:p>
    <w:p>
      <w:pPr>
        <w:tabs>
          <w:tab w:val="left" w:pos="6300"/>
        </w:tabs>
        <w:snapToGrid w:val="0"/>
        <w:spacing w:line="5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3.我方在采购项目评审（评标）环节结束后，随时接受采购人、采购代理机构的检查验证，配合提供相关证明材料，证明符合《中华人民共和国政府采购法》规定的供应商基本资格条件。</w:t>
      </w:r>
    </w:p>
    <w:p>
      <w:pPr>
        <w:tabs>
          <w:tab w:val="left" w:pos="6300"/>
        </w:tabs>
        <w:snapToGrid w:val="0"/>
        <w:spacing w:line="5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我方对以上承诺负全部法律责任。</w:t>
      </w:r>
    </w:p>
    <w:p>
      <w:pPr>
        <w:tabs>
          <w:tab w:val="left" w:pos="6300"/>
        </w:tabs>
        <w:snapToGrid w:val="0"/>
        <w:spacing w:line="5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特此承诺。</w:t>
      </w:r>
    </w:p>
    <w:p>
      <w:pPr>
        <w:tabs>
          <w:tab w:val="left" w:pos="6300"/>
        </w:tabs>
        <w:snapToGrid w:val="0"/>
        <w:spacing w:line="500" w:lineRule="exact"/>
        <w:ind w:firstLine="480" w:firstLineChars="200"/>
        <w:rPr>
          <w:rFonts w:hint="eastAsia" w:ascii="仿宋" w:hAnsi="仿宋" w:eastAsia="仿宋" w:cs="仿宋"/>
          <w:color w:val="auto"/>
          <w:sz w:val="24"/>
          <w:highlight w:val="none"/>
        </w:rPr>
      </w:pPr>
    </w:p>
    <w:p>
      <w:pPr>
        <w:tabs>
          <w:tab w:val="left" w:pos="6300"/>
        </w:tabs>
        <w:snapToGrid w:val="0"/>
        <w:spacing w:line="500" w:lineRule="exact"/>
        <w:ind w:firstLine="480" w:firstLineChars="200"/>
        <w:jc w:val="right"/>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（供应商公章）</w:t>
      </w:r>
    </w:p>
    <w:p>
      <w:pPr>
        <w:tabs>
          <w:tab w:val="left" w:pos="6300"/>
        </w:tabs>
        <w:snapToGrid w:val="0"/>
        <w:spacing w:line="500" w:lineRule="exact"/>
        <w:ind w:firstLine="7920" w:firstLineChars="3300"/>
        <w:rPr>
          <w:rFonts w:hint="eastAsia" w:ascii="仿宋" w:hAnsi="仿宋" w:eastAsia="仿宋" w:cs="仿宋"/>
          <w:color w:val="auto"/>
          <w:sz w:val="24"/>
          <w:szCs w:val="24"/>
          <w:highlight w:val="none"/>
        </w:rPr>
      </w:pPr>
      <w:r>
        <w:rPr>
          <w:rFonts w:hint="eastAsia" w:ascii="仿宋" w:hAnsi="仿宋" w:eastAsia="仿宋" w:cs="仿宋"/>
          <w:color w:val="auto"/>
          <w:sz w:val="24"/>
          <w:highlight w:val="none"/>
        </w:rPr>
        <w:t>年   月   日</w:t>
      </w:r>
    </w:p>
    <w:p>
      <w:pPr>
        <w:snapToGrid w:val="0"/>
        <w:spacing w:line="400" w:lineRule="exact"/>
        <w:ind w:firstLine="560" w:firstLineChars="200"/>
        <w:rPr>
          <w:rFonts w:hint="eastAsia" w:ascii="仿宋" w:hAnsi="仿宋" w:eastAsia="仿宋" w:cs="仿宋"/>
          <w:color w:val="auto"/>
          <w:sz w:val="24"/>
          <w:szCs w:val="24"/>
          <w:highlight w:val="none"/>
        </w:rPr>
      </w:pPr>
      <w:r>
        <w:rPr>
          <w:rFonts w:hint="eastAsia" w:ascii="仿宋" w:hAnsi="仿宋" w:eastAsia="仿宋" w:cs="仿宋"/>
          <w:color w:val="auto"/>
          <w:highlight w:val="none"/>
        </w:rPr>
        <w:br w:type="page"/>
      </w:r>
      <w:r>
        <w:rPr>
          <w:rFonts w:hint="eastAsia" w:ascii="仿宋" w:hAnsi="仿宋" w:eastAsia="仿宋" w:cs="仿宋"/>
          <w:color w:val="auto"/>
          <w:sz w:val="24"/>
          <w:szCs w:val="24"/>
          <w:highlight w:val="none"/>
        </w:rPr>
        <w:t>（五）特定资格条件证明文件</w:t>
      </w:r>
    </w:p>
    <w:p>
      <w:pPr>
        <w:tabs>
          <w:tab w:val="left" w:pos="6300"/>
        </w:tabs>
        <w:snapToGrid w:val="0"/>
        <w:spacing w:line="400" w:lineRule="exact"/>
        <w:ind w:firstLine="480" w:firstLineChars="200"/>
        <w:rPr>
          <w:rFonts w:hint="eastAsia" w:ascii="仿宋" w:hAnsi="仿宋" w:eastAsia="仿宋" w:cs="仿宋"/>
          <w:color w:val="auto"/>
          <w:sz w:val="24"/>
          <w:szCs w:val="24"/>
          <w:highlight w:val="none"/>
        </w:rPr>
      </w:pPr>
    </w:p>
    <w:p>
      <w:pPr>
        <w:pStyle w:val="2"/>
        <w:adjustRightInd w:val="0"/>
        <w:snapToGrid w:val="0"/>
        <w:spacing w:before="0" w:after="0" w:line="400" w:lineRule="exact"/>
        <w:ind w:firstLine="560" w:firstLineChars="200"/>
        <w:rPr>
          <w:rFonts w:hint="eastAsia" w:ascii="仿宋" w:hAnsi="仿宋" w:eastAsia="仿宋" w:cs="仿宋"/>
          <w:color w:val="auto"/>
          <w:sz w:val="24"/>
          <w:highlight w:val="none"/>
        </w:rPr>
      </w:pPr>
      <w:bookmarkStart w:id="139" w:name="_Toc14422"/>
      <w:r>
        <w:rPr>
          <w:rFonts w:hint="eastAsia" w:ascii="仿宋" w:hAnsi="仿宋" w:eastAsia="仿宋" w:cs="仿宋"/>
          <w:b w:val="0"/>
          <w:color w:val="auto"/>
          <w:sz w:val="28"/>
          <w:highlight w:val="none"/>
        </w:rPr>
        <w:br w:type="page"/>
      </w:r>
      <w:bookmarkStart w:id="140" w:name="_Toc76462354"/>
      <w:bookmarkStart w:id="141" w:name="_Toc19327"/>
      <w:r>
        <w:rPr>
          <w:rFonts w:hint="eastAsia" w:ascii="仿宋" w:hAnsi="仿宋" w:eastAsia="仿宋" w:cs="仿宋"/>
          <w:color w:val="auto"/>
          <w:sz w:val="24"/>
          <w:highlight w:val="none"/>
        </w:rPr>
        <w:t>五、其他资料</w:t>
      </w:r>
      <w:bookmarkEnd w:id="139"/>
      <w:bookmarkEnd w:id="140"/>
      <w:bookmarkEnd w:id="141"/>
    </w:p>
    <w:p>
      <w:pPr>
        <w:tabs>
          <w:tab w:val="left" w:pos="6300"/>
        </w:tabs>
        <w:snapToGrid w:val="0"/>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（一）中小企业声明函、监狱企业证明文件、残疾人福利性单位声明函</w:t>
      </w:r>
    </w:p>
    <w:p>
      <w:pPr>
        <w:tabs>
          <w:tab w:val="left" w:pos="6300"/>
        </w:tabs>
        <w:snapToGrid w:val="0"/>
        <w:spacing w:line="360" w:lineRule="auto"/>
        <w:ind w:firstLine="560" w:firstLineChars="200"/>
        <w:jc w:val="center"/>
        <w:rPr>
          <w:rFonts w:ascii="仿宋" w:hAnsi="仿宋" w:eastAsia="仿宋" w:cs="仿宋"/>
          <w:color w:val="auto"/>
          <w:highlight w:val="none"/>
        </w:rPr>
      </w:pPr>
      <w:r>
        <w:rPr>
          <w:rFonts w:hint="eastAsia" w:ascii="仿宋" w:hAnsi="仿宋" w:eastAsia="仿宋" w:cs="仿宋"/>
          <w:color w:val="auto"/>
          <w:highlight w:val="none"/>
        </w:rPr>
        <w:t>中小企业声明函</w:t>
      </w:r>
    </w:p>
    <w:p>
      <w:pPr>
        <w:tabs>
          <w:tab w:val="left" w:pos="6300"/>
        </w:tabs>
        <w:snapToGrid w:val="0"/>
        <w:spacing w:line="360" w:lineRule="auto"/>
        <w:ind w:firstLine="480" w:firstLineChars="200"/>
        <w:rPr>
          <w:rFonts w:ascii="仿宋" w:hAnsi="仿宋" w:eastAsia="仿宋" w:cs="仿宋"/>
          <w:color w:val="auto"/>
          <w:sz w:val="24"/>
          <w:szCs w:val="28"/>
          <w:highlight w:val="none"/>
        </w:rPr>
      </w:pPr>
      <w:r>
        <w:rPr>
          <w:rFonts w:hint="eastAsia" w:ascii="仿宋" w:hAnsi="仿宋" w:eastAsia="仿宋" w:cs="仿宋"/>
          <w:color w:val="auto"/>
          <w:sz w:val="24"/>
          <w:szCs w:val="28"/>
          <w:highlight w:val="none"/>
        </w:rPr>
        <w:t>本公司郑重声明，根据《政府采购促进中小企业发展管理办法》（</w:t>
      </w:r>
      <w:r>
        <w:rPr>
          <w:rFonts w:hint="eastAsia" w:ascii="仿宋" w:hAnsi="仿宋" w:eastAsia="仿宋" w:cs="仿宋"/>
          <w:color w:val="auto"/>
          <w:sz w:val="24"/>
          <w:szCs w:val="24"/>
          <w:highlight w:val="none"/>
        </w:rPr>
        <w:t>财库〔2020〕46号</w:t>
      </w:r>
      <w:r>
        <w:rPr>
          <w:rFonts w:hint="eastAsia" w:ascii="仿宋" w:hAnsi="仿宋" w:eastAsia="仿宋" w:cs="仿宋"/>
          <w:color w:val="auto"/>
          <w:sz w:val="24"/>
          <w:szCs w:val="28"/>
          <w:highlight w:val="none"/>
        </w:rPr>
        <w:t>）的规定，本公司参加</w:t>
      </w:r>
      <w:r>
        <w:rPr>
          <w:rFonts w:hint="eastAsia" w:ascii="仿宋" w:hAnsi="仿宋" w:eastAsia="仿宋" w:cs="仿宋"/>
          <w:i/>
          <w:color w:val="auto"/>
          <w:sz w:val="24"/>
          <w:szCs w:val="28"/>
          <w:highlight w:val="none"/>
          <w:u w:val="single"/>
        </w:rPr>
        <w:t>（单位名称）</w:t>
      </w:r>
      <w:r>
        <w:rPr>
          <w:rFonts w:hint="eastAsia" w:ascii="仿宋" w:hAnsi="仿宋" w:eastAsia="仿宋" w:cs="仿宋"/>
          <w:color w:val="auto"/>
          <w:sz w:val="24"/>
          <w:szCs w:val="28"/>
          <w:highlight w:val="none"/>
        </w:rPr>
        <w:t>的</w:t>
      </w:r>
      <w:r>
        <w:rPr>
          <w:rFonts w:hint="eastAsia" w:ascii="仿宋" w:hAnsi="仿宋" w:eastAsia="仿宋" w:cs="仿宋"/>
          <w:i/>
          <w:color w:val="auto"/>
          <w:sz w:val="24"/>
          <w:szCs w:val="28"/>
          <w:highlight w:val="none"/>
          <w:u w:val="single"/>
        </w:rPr>
        <w:t>（项目名称）</w:t>
      </w:r>
      <w:r>
        <w:rPr>
          <w:rFonts w:hint="eastAsia" w:ascii="仿宋" w:hAnsi="仿宋" w:eastAsia="仿宋" w:cs="仿宋"/>
          <w:color w:val="auto"/>
          <w:sz w:val="24"/>
          <w:szCs w:val="28"/>
          <w:highlight w:val="none"/>
        </w:rPr>
        <w:t>采购活动，服务全部由符合政策要求的中小企业承接。相关企业的具体情况如下：</w:t>
      </w:r>
    </w:p>
    <w:p>
      <w:pPr>
        <w:tabs>
          <w:tab w:val="left" w:pos="6300"/>
        </w:tabs>
        <w:snapToGrid w:val="0"/>
        <w:spacing w:line="360" w:lineRule="auto"/>
        <w:ind w:firstLine="480" w:firstLineChars="200"/>
        <w:rPr>
          <w:rFonts w:ascii="仿宋" w:hAnsi="仿宋" w:eastAsia="仿宋" w:cs="仿宋"/>
          <w:color w:val="auto"/>
          <w:sz w:val="24"/>
          <w:szCs w:val="28"/>
          <w:highlight w:val="none"/>
        </w:rPr>
      </w:pPr>
      <w:r>
        <w:rPr>
          <w:rFonts w:hint="eastAsia" w:ascii="仿宋" w:hAnsi="仿宋" w:eastAsia="仿宋" w:cs="仿宋"/>
          <w:color w:val="auto"/>
          <w:sz w:val="24"/>
          <w:szCs w:val="28"/>
          <w:highlight w:val="none"/>
        </w:rPr>
        <w:t>1.</w:t>
      </w:r>
      <w:r>
        <w:rPr>
          <w:rFonts w:hint="eastAsia" w:ascii="仿宋" w:hAnsi="仿宋" w:eastAsia="仿宋" w:cs="仿宋"/>
          <w:i/>
          <w:color w:val="auto"/>
          <w:sz w:val="24"/>
          <w:szCs w:val="28"/>
          <w:highlight w:val="none"/>
          <w:u w:val="single"/>
        </w:rPr>
        <w:t>（标的名称）</w:t>
      </w:r>
      <w:r>
        <w:rPr>
          <w:rFonts w:hint="eastAsia" w:ascii="仿宋" w:hAnsi="仿宋" w:eastAsia="仿宋" w:cs="仿宋"/>
          <w:color w:val="auto"/>
          <w:sz w:val="24"/>
          <w:szCs w:val="28"/>
          <w:highlight w:val="none"/>
        </w:rPr>
        <w:t>，属于</w:t>
      </w:r>
      <w:r>
        <w:rPr>
          <w:rFonts w:hint="eastAsia" w:ascii="仿宋" w:hAnsi="仿宋" w:eastAsia="仿宋" w:cs="仿宋"/>
          <w:i/>
          <w:color w:val="auto"/>
          <w:sz w:val="24"/>
          <w:szCs w:val="28"/>
          <w:highlight w:val="none"/>
          <w:u w:val="single"/>
        </w:rPr>
        <w:t>（采购文件中明确的所属行业）</w:t>
      </w:r>
      <w:r>
        <w:rPr>
          <w:rFonts w:hint="eastAsia" w:ascii="仿宋" w:hAnsi="仿宋" w:eastAsia="仿宋" w:cs="仿宋"/>
          <w:color w:val="auto"/>
          <w:sz w:val="24"/>
          <w:szCs w:val="28"/>
          <w:highlight w:val="none"/>
        </w:rPr>
        <w:t>；承接企业为</w:t>
      </w:r>
      <w:r>
        <w:rPr>
          <w:rFonts w:hint="eastAsia" w:ascii="仿宋" w:hAnsi="仿宋" w:eastAsia="仿宋" w:cs="仿宋"/>
          <w:i/>
          <w:color w:val="auto"/>
          <w:sz w:val="24"/>
          <w:szCs w:val="28"/>
          <w:highlight w:val="none"/>
          <w:u w:val="single"/>
        </w:rPr>
        <w:t>（企业名称）</w:t>
      </w:r>
      <w:r>
        <w:rPr>
          <w:rFonts w:hint="eastAsia" w:ascii="仿宋" w:hAnsi="仿宋" w:eastAsia="仿宋" w:cs="仿宋"/>
          <w:color w:val="auto"/>
          <w:sz w:val="24"/>
          <w:szCs w:val="28"/>
          <w:highlight w:val="none"/>
        </w:rPr>
        <w:t>，从业人员</w:t>
      </w:r>
      <w:r>
        <w:rPr>
          <w:rFonts w:hint="eastAsia" w:ascii="仿宋" w:hAnsi="仿宋" w:eastAsia="仿宋" w:cs="仿宋"/>
          <w:color w:val="auto"/>
          <w:sz w:val="24"/>
          <w:szCs w:val="28"/>
          <w:highlight w:val="none"/>
          <w:u w:val="single"/>
        </w:rPr>
        <w:t xml:space="preserve">      </w:t>
      </w:r>
      <w:r>
        <w:rPr>
          <w:rFonts w:hint="eastAsia" w:ascii="仿宋" w:hAnsi="仿宋" w:eastAsia="仿宋" w:cs="仿宋"/>
          <w:color w:val="auto"/>
          <w:sz w:val="24"/>
          <w:szCs w:val="28"/>
          <w:highlight w:val="none"/>
        </w:rPr>
        <w:t>人，营业收入为</w:t>
      </w:r>
      <w:r>
        <w:rPr>
          <w:rFonts w:hint="eastAsia" w:ascii="仿宋" w:hAnsi="仿宋" w:eastAsia="仿宋" w:cs="仿宋"/>
          <w:color w:val="auto"/>
          <w:sz w:val="24"/>
          <w:szCs w:val="28"/>
          <w:highlight w:val="none"/>
          <w:u w:val="single"/>
        </w:rPr>
        <w:t xml:space="preserve">    </w:t>
      </w:r>
      <w:r>
        <w:rPr>
          <w:rFonts w:hint="eastAsia" w:ascii="仿宋" w:hAnsi="仿宋" w:eastAsia="仿宋" w:cs="仿宋"/>
          <w:color w:val="auto"/>
          <w:sz w:val="24"/>
          <w:szCs w:val="28"/>
          <w:highlight w:val="none"/>
        </w:rPr>
        <w:t>万元，资产总额为</w:t>
      </w:r>
      <w:r>
        <w:rPr>
          <w:rFonts w:hint="eastAsia" w:ascii="仿宋" w:hAnsi="仿宋" w:eastAsia="仿宋" w:cs="仿宋"/>
          <w:color w:val="auto"/>
          <w:sz w:val="24"/>
          <w:szCs w:val="28"/>
          <w:highlight w:val="none"/>
          <w:u w:val="single"/>
        </w:rPr>
        <w:t xml:space="preserve">    </w:t>
      </w:r>
      <w:r>
        <w:rPr>
          <w:rFonts w:hint="eastAsia" w:ascii="仿宋" w:hAnsi="仿宋" w:eastAsia="仿宋" w:cs="仿宋"/>
          <w:color w:val="auto"/>
          <w:sz w:val="24"/>
          <w:szCs w:val="28"/>
          <w:highlight w:val="none"/>
        </w:rPr>
        <w:t>万元，属于</w:t>
      </w:r>
      <w:r>
        <w:rPr>
          <w:rFonts w:hint="eastAsia" w:ascii="仿宋" w:hAnsi="仿宋" w:eastAsia="仿宋" w:cs="仿宋"/>
          <w:i/>
          <w:color w:val="auto"/>
          <w:sz w:val="24"/>
          <w:szCs w:val="28"/>
          <w:highlight w:val="none"/>
          <w:u w:val="single"/>
        </w:rPr>
        <w:t>（中型企业、小型企业、微型企业）</w:t>
      </w:r>
      <w:r>
        <w:rPr>
          <w:rFonts w:hint="eastAsia" w:ascii="仿宋" w:hAnsi="仿宋" w:eastAsia="仿宋" w:cs="仿宋"/>
          <w:color w:val="auto"/>
          <w:sz w:val="24"/>
          <w:szCs w:val="28"/>
          <w:highlight w:val="none"/>
        </w:rPr>
        <w:t>；</w:t>
      </w:r>
    </w:p>
    <w:p>
      <w:pPr>
        <w:tabs>
          <w:tab w:val="left" w:pos="6300"/>
        </w:tabs>
        <w:snapToGrid w:val="0"/>
        <w:spacing w:line="360" w:lineRule="auto"/>
        <w:ind w:firstLine="480" w:firstLineChars="200"/>
        <w:rPr>
          <w:rFonts w:ascii="仿宋" w:hAnsi="仿宋" w:eastAsia="仿宋" w:cs="仿宋"/>
          <w:color w:val="auto"/>
          <w:sz w:val="24"/>
          <w:szCs w:val="28"/>
          <w:highlight w:val="none"/>
        </w:rPr>
      </w:pPr>
      <w:r>
        <w:rPr>
          <w:rFonts w:hint="eastAsia" w:ascii="仿宋" w:hAnsi="仿宋" w:eastAsia="仿宋" w:cs="仿宋"/>
          <w:color w:val="auto"/>
          <w:sz w:val="24"/>
          <w:szCs w:val="28"/>
          <w:highlight w:val="none"/>
        </w:rPr>
        <w:t>为本标的提供的服务人员</w:t>
      </w:r>
      <w:r>
        <w:rPr>
          <w:rFonts w:hint="eastAsia" w:ascii="仿宋" w:hAnsi="仿宋" w:eastAsia="仿宋" w:cs="仿宋"/>
          <w:color w:val="auto"/>
          <w:sz w:val="24"/>
          <w:szCs w:val="28"/>
          <w:highlight w:val="none"/>
          <w:u w:val="single"/>
        </w:rPr>
        <w:t xml:space="preserve">   </w:t>
      </w:r>
      <w:r>
        <w:rPr>
          <w:rFonts w:hint="eastAsia" w:ascii="仿宋" w:hAnsi="仿宋" w:eastAsia="仿宋" w:cs="仿宋"/>
          <w:color w:val="auto"/>
          <w:sz w:val="24"/>
          <w:szCs w:val="28"/>
          <w:highlight w:val="none"/>
        </w:rPr>
        <w:t>人，其中与本企业签订劳动合同</w:t>
      </w:r>
      <w:r>
        <w:rPr>
          <w:rFonts w:hint="eastAsia" w:ascii="仿宋" w:hAnsi="仿宋" w:eastAsia="仿宋" w:cs="仿宋"/>
          <w:color w:val="auto"/>
          <w:sz w:val="24"/>
          <w:szCs w:val="28"/>
          <w:highlight w:val="none"/>
          <w:u w:val="single"/>
        </w:rPr>
        <w:t xml:space="preserve">   </w:t>
      </w:r>
      <w:r>
        <w:rPr>
          <w:rFonts w:hint="eastAsia" w:ascii="仿宋" w:hAnsi="仿宋" w:eastAsia="仿宋" w:cs="仿宋"/>
          <w:color w:val="auto"/>
          <w:sz w:val="24"/>
          <w:szCs w:val="28"/>
          <w:highlight w:val="none"/>
        </w:rPr>
        <w:t>人，其他人员</w:t>
      </w:r>
      <w:r>
        <w:rPr>
          <w:rFonts w:hint="eastAsia" w:ascii="仿宋" w:hAnsi="仿宋" w:eastAsia="仿宋" w:cs="仿宋"/>
          <w:color w:val="auto"/>
          <w:sz w:val="24"/>
          <w:szCs w:val="28"/>
          <w:highlight w:val="none"/>
          <w:u w:val="single"/>
        </w:rPr>
        <w:t xml:space="preserve">   </w:t>
      </w:r>
      <w:r>
        <w:rPr>
          <w:rFonts w:hint="eastAsia" w:ascii="仿宋" w:hAnsi="仿宋" w:eastAsia="仿宋" w:cs="仿宋"/>
          <w:color w:val="auto"/>
          <w:sz w:val="24"/>
          <w:szCs w:val="28"/>
          <w:highlight w:val="none"/>
        </w:rPr>
        <w:t>人。有其他人员的不符合中小企业扶持政策;</w:t>
      </w:r>
    </w:p>
    <w:p>
      <w:pPr>
        <w:tabs>
          <w:tab w:val="left" w:pos="6300"/>
        </w:tabs>
        <w:snapToGrid w:val="0"/>
        <w:spacing w:line="360" w:lineRule="auto"/>
        <w:ind w:firstLine="480" w:firstLineChars="200"/>
        <w:rPr>
          <w:rFonts w:ascii="仿宋" w:hAnsi="仿宋" w:eastAsia="仿宋" w:cs="仿宋"/>
          <w:color w:val="auto"/>
          <w:sz w:val="24"/>
          <w:szCs w:val="28"/>
          <w:highlight w:val="none"/>
        </w:rPr>
      </w:pPr>
      <w:r>
        <w:rPr>
          <w:rFonts w:hint="eastAsia" w:ascii="仿宋" w:hAnsi="仿宋" w:eastAsia="仿宋" w:cs="仿宋"/>
          <w:color w:val="auto"/>
          <w:sz w:val="24"/>
          <w:szCs w:val="28"/>
          <w:highlight w:val="none"/>
        </w:rPr>
        <w:t>以上企业，不属于大企业的分支机构，不存在控股股东为大企业的情形，也不存在与大企业的负责人为同一人的情形。</w:t>
      </w:r>
    </w:p>
    <w:p>
      <w:pPr>
        <w:tabs>
          <w:tab w:val="left" w:pos="6300"/>
        </w:tabs>
        <w:snapToGrid w:val="0"/>
        <w:spacing w:line="360" w:lineRule="auto"/>
        <w:ind w:firstLine="480" w:firstLineChars="200"/>
        <w:rPr>
          <w:rFonts w:ascii="仿宋" w:hAnsi="仿宋" w:eastAsia="仿宋" w:cs="仿宋"/>
          <w:color w:val="auto"/>
          <w:sz w:val="24"/>
          <w:szCs w:val="28"/>
          <w:highlight w:val="none"/>
        </w:rPr>
      </w:pPr>
      <w:r>
        <w:rPr>
          <w:rFonts w:hint="eastAsia" w:ascii="仿宋" w:hAnsi="仿宋" w:eastAsia="仿宋" w:cs="仿宋"/>
          <w:color w:val="auto"/>
          <w:sz w:val="24"/>
          <w:szCs w:val="28"/>
          <w:highlight w:val="none"/>
        </w:rPr>
        <w:t>本企业对上述声明内容的真实性负责。如有虚假，将依法承担相应责任。</w:t>
      </w:r>
    </w:p>
    <w:p>
      <w:pPr>
        <w:tabs>
          <w:tab w:val="left" w:pos="6300"/>
        </w:tabs>
        <w:snapToGrid w:val="0"/>
        <w:spacing w:line="360" w:lineRule="auto"/>
        <w:ind w:firstLine="480" w:firstLineChars="200"/>
        <w:rPr>
          <w:rFonts w:ascii="仿宋" w:hAnsi="仿宋" w:eastAsia="仿宋" w:cs="仿宋"/>
          <w:color w:val="auto"/>
          <w:sz w:val="24"/>
          <w:szCs w:val="28"/>
          <w:highlight w:val="none"/>
        </w:rPr>
      </w:pPr>
      <w:r>
        <w:rPr>
          <w:rFonts w:hint="eastAsia" w:ascii="仿宋" w:hAnsi="仿宋" w:eastAsia="仿宋" w:cs="仿宋"/>
          <w:color w:val="auto"/>
          <w:sz w:val="24"/>
          <w:szCs w:val="28"/>
          <w:highlight w:val="none"/>
        </w:rPr>
        <w:t xml:space="preserve">                                                    </w:t>
      </w:r>
    </w:p>
    <w:p>
      <w:pPr>
        <w:tabs>
          <w:tab w:val="left" w:pos="6300"/>
        </w:tabs>
        <w:snapToGrid w:val="0"/>
        <w:spacing w:line="360" w:lineRule="auto"/>
        <w:ind w:firstLine="6120" w:firstLineChars="2550"/>
        <w:rPr>
          <w:rFonts w:ascii="仿宋" w:hAnsi="仿宋" w:eastAsia="仿宋" w:cs="仿宋"/>
          <w:color w:val="auto"/>
          <w:sz w:val="24"/>
          <w:szCs w:val="28"/>
          <w:highlight w:val="none"/>
        </w:rPr>
      </w:pPr>
    </w:p>
    <w:p>
      <w:pPr>
        <w:tabs>
          <w:tab w:val="left" w:pos="6300"/>
        </w:tabs>
        <w:snapToGrid w:val="0"/>
        <w:spacing w:line="360" w:lineRule="auto"/>
        <w:ind w:firstLine="6120" w:firstLineChars="2550"/>
        <w:rPr>
          <w:rFonts w:ascii="仿宋" w:hAnsi="仿宋" w:eastAsia="仿宋" w:cs="仿宋"/>
          <w:color w:val="auto"/>
          <w:sz w:val="24"/>
          <w:szCs w:val="28"/>
          <w:highlight w:val="none"/>
        </w:rPr>
      </w:pPr>
    </w:p>
    <w:p>
      <w:pPr>
        <w:tabs>
          <w:tab w:val="left" w:pos="6300"/>
        </w:tabs>
        <w:snapToGrid w:val="0"/>
        <w:spacing w:line="360" w:lineRule="auto"/>
        <w:ind w:firstLine="6120" w:firstLineChars="2550"/>
        <w:rPr>
          <w:rFonts w:ascii="仿宋" w:hAnsi="仿宋" w:eastAsia="仿宋" w:cs="仿宋"/>
          <w:color w:val="auto"/>
          <w:sz w:val="24"/>
          <w:szCs w:val="28"/>
          <w:highlight w:val="none"/>
        </w:rPr>
      </w:pPr>
    </w:p>
    <w:p>
      <w:pPr>
        <w:tabs>
          <w:tab w:val="left" w:pos="6300"/>
        </w:tabs>
        <w:snapToGrid w:val="0"/>
        <w:spacing w:line="360" w:lineRule="auto"/>
        <w:ind w:firstLine="6120" w:firstLineChars="2550"/>
        <w:rPr>
          <w:rFonts w:ascii="仿宋" w:hAnsi="仿宋" w:eastAsia="仿宋" w:cs="仿宋"/>
          <w:color w:val="auto"/>
          <w:sz w:val="24"/>
          <w:szCs w:val="28"/>
          <w:highlight w:val="none"/>
        </w:rPr>
      </w:pPr>
    </w:p>
    <w:p>
      <w:pPr>
        <w:tabs>
          <w:tab w:val="left" w:pos="6300"/>
        </w:tabs>
        <w:snapToGrid w:val="0"/>
        <w:spacing w:line="360" w:lineRule="auto"/>
        <w:ind w:firstLine="6120" w:firstLineChars="2550"/>
        <w:rPr>
          <w:rFonts w:ascii="仿宋" w:hAnsi="仿宋" w:eastAsia="仿宋" w:cs="仿宋"/>
          <w:color w:val="auto"/>
          <w:sz w:val="24"/>
          <w:szCs w:val="28"/>
          <w:highlight w:val="none"/>
        </w:rPr>
      </w:pPr>
      <w:r>
        <w:rPr>
          <w:rFonts w:hint="eastAsia" w:ascii="仿宋" w:hAnsi="仿宋" w:eastAsia="仿宋" w:cs="仿宋"/>
          <w:color w:val="auto"/>
          <w:sz w:val="24"/>
          <w:szCs w:val="28"/>
          <w:highlight w:val="none"/>
        </w:rPr>
        <w:t xml:space="preserve">企业名称（盖章）： </w:t>
      </w:r>
    </w:p>
    <w:p>
      <w:pPr>
        <w:tabs>
          <w:tab w:val="left" w:pos="6300"/>
        </w:tabs>
        <w:snapToGrid w:val="0"/>
        <w:spacing w:line="360" w:lineRule="auto"/>
        <w:ind w:right="784" w:firstLine="6120" w:firstLineChars="2550"/>
        <w:rPr>
          <w:rFonts w:ascii="仿宋" w:hAnsi="仿宋" w:eastAsia="仿宋" w:cs="仿宋"/>
          <w:color w:val="auto"/>
          <w:sz w:val="24"/>
          <w:highlight w:val="none"/>
        </w:rPr>
      </w:pPr>
      <w:r>
        <w:rPr>
          <w:rFonts w:hint="eastAsia" w:ascii="仿宋" w:hAnsi="仿宋" w:eastAsia="仿宋" w:cs="仿宋"/>
          <w:color w:val="auto"/>
          <w:sz w:val="24"/>
          <w:szCs w:val="28"/>
          <w:highlight w:val="none"/>
        </w:rPr>
        <w:t>日期：</w:t>
      </w:r>
    </w:p>
    <w:p>
      <w:pPr>
        <w:tabs>
          <w:tab w:val="left" w:pos="6300"/>
        </w:tabs>
        <w:snapToGrid w:val="0"/>
        <w:spacing w:line="360" w:lineRule="auto"/>
        <w:rPr>
          <w:rFonts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填写时应注意以下事项：</w:t>
      </w:r>
    </w:p>
    <w:p>
      <w:pPr>
        <w:tabs>
          <w:tab w:val="left" w:pos="6300"/>
        </w:tabs>
        <w:snapToGrid w:val="0"/>
        <w:spacing w:line="360" w:lineRule="auto"/>
        <w:ind w:firstLine="420" w:firstLineChars="200"/>
        <w:rPr>
          <w:rFonts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1.从业人员、营业收入、资产总额填报上一年度数据，无上一年度数据的新成立企业可不填报。</w:t>
      </w:r>
    </w:p>
    <w:p>
      <w:pPr>
        <w:tabs>
          <w:tab w:val="left" w:pos="6300"/>
        </w:tabs>
        <w:snapToGrid w:val="0"/>
        <w:spacing w:line="360" w:lineRule="auto"/>
        <w:ind w:firstLine="422" w:firstLineChars="200"/>
        <w:rPr>
          <w:rFonts w:ascii="仿宋" w:hAnsi="仿宋" w:eastAsia="仿宋" w:cs="仿宋"/>
          <w:b/>
          <w:color w:val="auto"/>
          <w:kern w:val="0"/>
          <w:sz w:val="21"/>
          <w:szCs w:val="21"/>
          <w:highlight w:val="none"/>
        </w:rPr>
      </w:pPr>
      <w:r>
        <w:rPr>
          <w:rFonts w:hint="eastAsia" w:ascii="仿宋" w:hAnsi="仿宋" w:eastAsia="仿宋" w:cs="仿宋"/>
          <w:b/>
          <w:color w:val="auto"/>
          <w:kern w:val="0"/>
          <w:sz w:val="21"/>
          <w:szCs w:val="21"/>
          <w:highlight w:val="none"/>
        </w:rPr>
        <w:t>2.中小企业应当按照《中小企业划型标准规定》（工信部联企业〔2011〕300号），如实填写并提交《中小企业声明函》。</w:t>
      </w:r>
    </w:p>
    <w:p>
      <w:pPr>
        <w:tabs>
          <w:tab w:val="left" w:pos="6300"/>
        </w:tabs>
        <w:snapToGrid w:val="0"/>
        <w:spacing w:line="360" w:lineRule="auto"/>
        <w:ind w:firstLine="422" w:firstLineChars="200"/>
        <w:rPr>
          <w:rFonts w:ascii="仿宋" w:hAnsi="仿宋" w:eastAsia="仿宋" w:cs="仿宋"/>
          <w:b/>
          <w:color w:val="auto"/>
          <w:kern w:val="0"/>
          <w:sz w:val="21"/>
          <w:szCs w:val="21"/>
          <w:highlight w:val="none"/>
        </w:rPr>
      </w:pPr>
      <w:r>
        <w:rPr>
          <w:rFonts w:hint="eastAsia" w:ascii="仿宋" w:hAnsi="仿宋" w:eastAsia="仿宋" w:cs="仿宋"/>
          <w:b/>
          <w:color w:val="auto"/>
          <w:kern w:val="0"/>
          <w:sz w:val="21"/>
          <w:szCs w:val="21"/>
          <w:highlight w:val="none"/>
        </w:rPr>
        <w:t>3.供应商填写《中小企业声明函》中所属行业时，应与采购文件第一篇“采购标的对应的中小企业划分标准所属行业”中填写的所属行业一致。</w:t>
      </w:r>
    </w:p>
    <w:p>
      <w:pPr>
        <w:tabs>
          <w:tab w:val="left" w:pos="6300"/>
        </w:tabs>
        <w:snapToGrid w:val="0"/>
        <w:ind w:firstLine="422" w:firstLineChars="200"/>
        <w:rPr>
          <w:rFonts w:hint="eastAsia" w:ascii="仿宋" w:hAnsi="仿宋" w:eastAsia="仿宋" w:cs="仿宋"/>
          <w:b/>
          <w:color w:val="auto"/>
          <w:kern w:val="0"/>
          <w:sz w:val="21"/>
          <w:szCs w:val="21"/>
          <w:highlight w:val="none"/>
        </w:rPr>
      </w:pPr>
      <w:r>
        <w:rPr>
          <w:rFonts w:hint="eastAsia" w:ascii="仿宋" w:hAnsi="仿宋" w:eastAsia="仿宋" w:cs="仿宋"/>
          <w:b/>
          <w:color w:val="auto"/>
          <w:kern w:val="0"/>
          <w:sz w:val="21"/>
          <w:szCs w:val="21"/>
          <w:highlight w:val="none"/>
        </w:rPr>
        <w:t>4.本声明函“企业名称（盖章）”处为供应商盖章。</w:t>
      </w:r>
    </w:p>
    <w:p>
      <w:pP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br w:type="page"/>
      </w:r>
    </w:p>
    <w:p>
      <w:pPr>
        <w:tabs>
          <w:tab w:val="left" w:pos="6300"/>
        </w:tabs>
        <w:snapToGrid w:val="0"/>
        <w:ind w:firstLine="420" w:firstLineChars="200"/>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注：各行业划型标准：</w:t>
      </w:r>
    </w:p>
    <w:p>
      <w:pPr>
        <w:tabs>
          <w:tab w:val="left" w:pos="6300"/>
        </w:tabs>
        <w:snapToGrid w:val="0"/>
        <w:ind w:firstLine="420" w:firstLineChars="200"/>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（一）农、林、牧、渔业。营业收入20000万元以下的为中小微型企业。其中，营业收入500万元及以上的为中型企业，营业收入50万元及以上的为小型企业，营业收入50万元以下的为微型企业。</w:t>
      </w:r>
    </w:p>
    <w:p>
      <w:pPr>
        <w:tabs>
          <w:tab w:val="left" w:pos="6300"/>
        </w:tabs>
        <w:snapToGrid w:val="0"/>
        <w:ind w:firstLine="420" w:firstLineChars="200"/>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tabs>
          <w:tab w:val="left" w:pos="6300"/>
        </w:tabs>
        <w:snapToGrid w:val="0"/>
        <w:ind w:firstLine="420" w:firstLineChars="200"/>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tabs>
          <w:tab w:val="left" w:pos="6300"/>
        </w:tabs>
        <w:snapToGrid w:val="0"/>
        <w:ind w:firstLine="420" w:firstLineChars="200"/>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tabs>
          <w:tab w:val="left" w:pos="6300"/>
        </w:tabs>
        <w:snapToGrid w:val="0"/>
        <w:ind w:firstLine="420" w:firstLineChars="200"/>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tabs>
          <w:tab w:val="left" w:pos="6300"/>
        </w:tabs>
        <w:snapToGrid w:val="0"/>
        <w:ind w:firstLine="420" w:firstLineChars="200"/>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tabs>
          <w:tab w:val="left" w:pos="6300"/>
        </w:tabs>
        <w:snapToGrid w:val="0"/>
        <w:ind w:firstLine="420" w:firstLineChars="200"/>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tabs>
          <w:tab w:val="left" w:pos="6300"/>
        </w:tabs>
        <w:snapToGrid w:val="0"/>
        <w:ind w:firstLine="420" w:firstLineChars="200"/>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tabs>
          <w:tab w:val="left" w:pos="6300"/>
        </w:tabs>
        <w:snapToGrid w:val="0"/>
        <w:ind w:firstLine="420" w:firstLineChars="200"/>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tabs>
          <w:tab w:val="left" w:pos="6300"/>
        </w:tabs>
        <w:snapToGrid w:val="0"/>
        <w:ind w:firstLine="420" w:firstLineChars="200"/>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tabs>
          <w:tab w:val="left" w:pos="6300"/>
        </w:tabs>
        <w:snapToGrid w:val="0"/>
        <w:ind w:firstLine="420" w:firstLineChars="200"/>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tabs>
          <w:tab w:val="left" w:pos="6300"/>
        </w:tabs>
        <w:snapToGrid w:val="0"/>
        <w:ind w:firstLine="420" w:firstLineChars="200"/>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（十六）其他未列明行业。从业人员300人以下的为中小微型企业。其中，从业人员100人及以上的为中型企业；从业人员10人及以上的为小型企业；从业人员10人以下的为微型企业。</w:t>
      </w:r>
    </w:p>
    <w:p>
      <w:pPr>
        <w:tabs>
          <w:tab w:val="left" w:pos="6300"/>
        </w:tabs>
        <w:snapToGrid w:val="0"/>
        <w:spacing w:line="500" w:lineRule="exact"/>
        <w:ind w:firstLine="480" w:firstLineChars="200"/>
        <w:jc w:val="center"/>
        <w:rPr>
          <w:rFonts w:hint="eastAsia" w:ascii="仿宋" w:hAnsi="仿宋" w:eastAsia="仿宋" w:cs="仿宋"/>
          <w:color w:val="auto"/>
          <w:highlight w:val="none"/>
        </w:rPr>
      </w:pPr>
      <w:r>
        <w:rPr>
          <w:rFonts w:hint="eastAsia" w:ascii="仿宋" w:hAnsi="仿宋" w:eastAsia="仿宋" w:cs="仿宋"/>
          <w:color w:val="auto"/>
          <w:sz w:val="24"/>
          <w:szCs w:val="24"/>
          <w:highlight w:val="none"/>
        </w:rPr>
        <w:br w:type="page"/>
      </w:r>
      <w:r>
        <w:rPr>
          <w:rFonts w:hint="eastAsia" w:ascii="仿宋" w:hAnsi="仿宋" w:eastAsia="仿宋" w:cs="仿宋"/>
          <w:color w:val="auto"/>
          <w:highlight w:val="none"/>
        </w:rPr>
        <w:t>监狱企业证明文件</w:t>
      </w:r>
    </w:p>
    <w:p>
      <w:pPr>
        <w:tabs>
          <w:tab w:val="left" w:pos="6300"/>
        </w:tabs>
        <w:snapToGrid w:val="0"/>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以省级以上监狱管理局、戒毒管理局（含新疆生产建设兵团）出具的属于监狱企业的证明文件为准。</w:t>
      </w:r>
    </w:p>
    <w:p>
      <w:pPr>
        <w:tabs>
          <w:tab w:val="left" w:pos="6300"/>
        </w:tabs>
        <w:snapToGrid w:val="0"/>
        <w:spacing w:line="500" w:lineRule="exact"/>
        <w:ind w:firstLine="480" w:firstLineChars="200"/>
        <w:jc w:val="center"/>
        <w:rPr>
          <w:rFonts w:hint="eastAsia" w:ascii="仿宋" w:hAnsi="仿宋" w:eastAsia="仿宋" w:cs="仿宋"/>
          <w:color w:val="auto"/>
          <w:highlight w:val="none"/>
        </w:rPr>
      </w:pPr>
      <w:r>
        <w:rPr>
          <w:rFonts w:hint="eastAsia" w:ascii="仿宋" w:hAnsi="仿宋" w:eastAsia="仿宋" w:cs="仿宋"/>
          <w:color w:val="auto"/>
          <w:sz w:val="24"/>
          <w:highlight w:val="none"/>
        </w:rPr>
        <w:br w:type="page"/>
      </w:r>
      <w:r>
        <w:rPr>
          <w:rFonts w:hint="eastAsia" w:ascii="仿宋" w:hAnsi="仿宋" w:eastAsia="仿宋" w:cs="仿宋"/>
          <w:color w:val="auto"/>
          <w:highlight w:val="none"/>
        </w:rPr>
        <w:t>残疾人福利性单位声明函</w:t>
      </w:r>
    </w:p>
    <w:p>
      <w:pPr>
        <w:tabs>
          <w:tab w:val="left" w:pos="6300"/>
        </w:tabs>
        <w:snapToGrid w:val="0"/>
        <w:spacing w:line="5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tabs>
          <w:tab w:val="left" w:pos="6300"/>
        </w:tabs>
        <w:snapToGrid w:val="0"/>
        <w:spacing w:line="5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本单位对上述声明的真实性负责。如有虚假，将依法承担相应责任。</w:t>
      </w:r>
    </w:p>
    <w:p>
      <w:pPr>
        <w:tabs>
          <w:tab w:val="left" w:pos="6300"/>
        </w:tabs>
        <w:snapToGrid w:val="0"/>
        <w:spacing w:line="500" w:lineRule="exact"/>
        <w:ind w:firstLine="480" w:firstLineChars="200"/>
        <w:rPr>
          <w:rFonts w:hint="eastAsia" w:ascii="仿宋" w:hAnsi="仿宋" w:eastAsia="仿宋" w:cs="仿宋"/>
          <w:color w:val="auto"/>
          <w:sz w:val="24"/>
          <w:highlight w:val="none"/>
        </w:rPr>
      </w:pPr>
    </w:p>
    <w:p>
      <w:pPr>
        <w:tabs>
          <w:tab w:val="left" w:pos="6300"/>
        </w:tabs>
        <w:snapToGrid w:val="0"/>
        <w:spacing w:line="500" w:lineRule="exact"/>
        <w:ind w:firstLine="480" w:firstLineChars="200"/>
        <w:rPr>
          <w:rFonts w:hint="eastAsia" w:ascii="仿宋" w:hAnsi="仿宋" w:eastAsia="仿宋" w:cs="仿宋"/>
          <w:color w:val="auto"/>
          <w:sz w:val="24"/>
          <w:highlight w:val="none"/>
        </w:rPr>
      </w:pPr>
    </w:p>
    <w:p>
      <w:pPr>
        <w:tabs>
          <w:tab w:val="left" w:pos="6300"/>
        </w:tabs>
        <w:snapToGrid w:val="0"/>
        <w:spacing w:line="5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供应商名称（盖章）：</w:t>
      </w:r>
    </w:p>
    <w:p>
      <w:pPr>
        <w:snapToGrid w:val="0"/>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日  期：</w:t>
      </w:r>
    </w:p>
    <w:p>
      <w:pPr>
        <w:snapToGrid w:val="0"/>
        <w:spacing w:line="440" w:lineRule="exact"/>
        <w:ind w:firstLine="480" w:firstLineChars="200"/>
        <w:rPr>
          <w:rFonts w:hint="eastAsia" w:ascii="仿宋" w:hAnsi="仿宋" w:eastAsia="仿宋" w:cs="仿宋"/>
          <w:color w:val="auto"/>
          <w:sz w:val="24"/>
          <w:highlight w:val="none"/>
        </w:rPr>
      </w:pPr>
    </w:p>
    <w:p>
      <w:pPr>
        <w:snapToGrid w:val="0"/>
        <w:spacing w:line="440" w:lineRule="exact"/>
        <w:ind w:firstLine="480" w:firstLineChars="200"/>
        <w:rPr>
          <w:rFonts w:hint="eastAsia" w:ascii="仿宋" w:hAnsi="仿宋" w:eastAsia="仿宋" w:cs="仿宋"/>
          <w:color w:val="auto"/>
          <w:sz w:val="24"/>
          <w:highlight w:val="none"/>
        </w:rPr>
      </w:pPr>
    </w:p>
    <w:p>
      <w:pPr>
        <w:snapToGrid w:val="0"/>
        <w:spacing w:line="440" w:lineRule="exact"/>
        <w:ind w:firstLine="480" w:firstLineChars="200"/>
        <w:rPr>
          <w:rFonts w:hint="eastAsia" w:ascii="仿宋" w:hAnsi="仿宋" w:eastAsia="仿宋" w:cs="仿宋"/>
          <w:color w:val="auto"/>
          <w:sz w:val="24"/>
          <w:highlight w:val="none"/>
        </w:rPr>
      </w:pPr>
    </w:p>
    <w:p>
      <w:pPr>
        <w:snapToGrid w:val="0"/>
        <w:spacing w:line="440" w:lineRule="exact"/>
        <w:ind w:firstLine="480" w:firstLineChars="200"/>
        <w:rPr>
          <w:rFonts w:hint="eastAsia" w:ascii="仿宋" w:hAnsi="仿宋" w:eastAsia="仿宋" w:cs="仿宋"/>
          <w:color w:val="auto"/>
          <w:sz w:val="24"/>
          <w:highlight w:val="none"/>
        </w:rPr>
      </w:pPr>
    </w:p>
    <w:p>
      <w:pPr>
        <w:snapToGrid w:val="0"/>
        <w:spacing w:line="440" w:lineRule="exact"/>
        <w:ind w:firstLine="480" w:firstLineChars="200"/>
        <w:rPr>
          <w:rFonts w:hint="eastAsia" w:ascii="仿宋" w:hAnsi="仿宋" w:eastAsia="仿宋" w:cs="仿宋"/>
          <w:color w:val="auto"/>
          <w:sz w:val="24"/>
          <w:highlight w:val="none"/>
        </w:rPr>
      </w:pPr>
    </w:p>
    <w:p>
      <w:pPr>
        <w:snapToGrid w:val="0"/>
        <w:spacing w:line="440" w:lineRule="exact"/>
        <w:ind w:firstLine="480" w:firstLineChars="200"/>
        <w:rPr>
          <w:rFonts w:hint="eastAsia" w:ascii="仿宋" w:hAnsi="仿宋" w:eastAsia="仿宋" w:cs="仿宋"/>
          <w:color w:val="auto"/>
          <w:sz w:val="24"/>
          <w:highlight w:val="none"/>
        </w:rPr>
      </w:pPr>
    </w:p>
    <w:p>
      <w:pPr>
        <w:snapToGrid w:val="0"/>
        <w:spacing w:line="440" w:lineRule="exact"/>
        <w:ind w:firstLine="480" w:firstLineChars="200"/>
        <w:rPr>
          <w:rFonts w:hint="eastAsia" w:ascii="仿宋" w:hAnsi="仿宋" w:eastAsia="仿宋" w:cs="仿宋"/>
          <w:color w:val="auto"/>
          <w:sz w:val="24"/>
          <w:highlight w:val="none"/>
        </w:rPr>
      </w:pPr>
    </w:p>
    <w:p>
      <w:pPr>
        <w:snapToGrid w:val="0"/>
        <w:spacing w:line="440" w:lineRule="exact"/>
        <w:ind w:firstLine="480" w:firstLineChars="200"/>
        <w:rPr>
          <w:rFonts w:hint="eastAsia" w:ascii="仿宋" w:hAnsi="仿宋" w:eastAsia="仿宋" w:cs="仿宋"/>
          <w:color w:val="auto"/>
          <w:sz w:val="24"/>
          <w:highlight w:val="none"/>
        </w:rPr>
      </w:pPr>
    </w:p>
    <w:p>
      <w:pPr>
        <w:snapToGrid w:val="0"/>
        <w:spacing w:line="440" w:lineRule="exact"/>
        <w:ind w:firstLine="480" w:firstLineChars="200"/>
        <w:rPr>
          <w:rFonts w:hint="eastAsia" w:ascii="仿宋" w:hAnsi="仿宋" w:eastAsia="仿宋" w:cs="仿宋"/>
          <w:color w:val="auto"/>
          <w:sz w:val="24"/>
          <w:highlight w:val="none"/>
        </w:rPr>
      </w:pPr>
    </w:p>
    <w:p>
      <w:pPr>
        <w:snapToGrid w:val="0"/>
        <w:spacing w:line="440" w:lineRule="exact"/>
        <w:ind w:firstLine="480" w:firstLineChars="200"/>
        <w:rPr>
          <w:rFonts w:hint="eastAsia" w:ascii="仿宋" w:hAnsi="仿宋" w:eastAsia="仿宋" w:cs="仿宋"/>
          <w:color w:val="auto"/>
          <w:sz w:val="24"/>
          <w:highlight w:val="none"/>
        </w:rPr>
      </w:pPr>
    </w:p>
    <w:p>
      <w:pPr>
        <w:snapToGrid w:val="0"/>
        <w:spacing w:line="440" w:lineRule="exact"/>
        <w:ind w:firstLine="480" w:firstLineChars="200"/>
        <w:rPr>
          <w:rFonts w:hint="eastAsia" w:ascii="仿宋" w:hAnsi="仿宋" w:eastAsia="仿宋" w:cs="仿宋"/>
          <w:color w:val="auto"/>
          <w:sz w:val="24"/>
          <w:highlight w:val="none"/>
        </w:rPr>
      </w:pPr>
    </w:p>
    <w:p>
      <w:pPr>
        <w:snapToGrid w:val="0"/>
        <w:spacing w:line="440" w:lineRule="exact"/>
        <w:ind w:firstLine="480" w:firstLineChars="200"/>
        <w:rPr>
          <w:rFonts w:hint="eastAsia" w:ascii="仿宋" w:hAnsi="仿宋" w:eastAsia="仿宋" w:cs="仿宋"/>
          <w:color w:val="auto"/>
          <w:sz w:val="24"/>
          <w:highlight w:val="none"/>
        </w:rPr>
      </w:pPr>
    </w:p>
    <w:p>
      <w:pPr>
        <w:snapToGrid w:val="0"/>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若成交供应商为残疾人福利性单位的，将在结果公告时公告其《残疾人福利性单位声明函》。</w:t>
      </w:r>
    </w:p>
    <w:p>
      <w:pPr>
        <w:snapToGrid w:val="0"/>
        <w:spacing w:line="440" w:lineRule="exact"/>
        <w:ind w:firstLine="480" w:firstLineChars="200"/>
        <w:rPr>
          <w:rFonts w:hint="eastAsia" w:ascii="仿宋" w:hAnsi="仿宋" w:eastAsia="仿宋" w:cs="仿宋"/>
          <w:color w:val="auto"/>
          <w:sz w:val="24"/>
          <w:highlight w:val="none"/>
        </w:rPr>
      </w:pPr>
    </w:p>
    <w:p>
      <w:pPr>
        <w:snapToGrid w:val="0"/>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br w:type="page"/>
      </w:r>
      <w:r>
        <w:rPr>
          <w:rFonts w:hint="eastAsia" w:ascii="仿宋" w:hAnsi="仿宋" w:eastAsia="仿宋" w:cs="仿宋"/>
          <w:color w:val="auto"/>
          <w:sz w:val="24"/>
          <w:szCs w:val="24"/>
          <w:highlight w:val="none"/>
        </w:rPr>
        <w:t>（二）其他与项目有关的资料</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其他与项目有关的资料（自附）：供应商总体情况介绍、其他与本项目有关的资料等。</w:t>
      </w:r>
    </w:p>
    <w:p>
      <w:pPr>
        <w:spacing w:line="360" w:lineRule="auto"/>
        <w:ind w:firstLine="480" w:firstLineChars="200"/>
        <w:rPr>
          <w:rFonts w:hint="eastAsia" w:ascii="仿宋" w:hAnsi="仿宋" w:eastAsia="仿宋" w:cs="仿宋"/>
          <w:color w:val="auto"/>
          <w:sz w:val="24"/>
          <w:szCs w:val="24"/>
          <w:highlight w:val="none"/>
        </w:rPr>
      </w:pPr>
    </w:p>
    <w:p>
      <w:pPr>
        <w:spacing w:line="360" w:lineRule="auto"/>
        <w:ind w:firstLine="480" w:firstLineChars="200"/>
        <w:jc w:val="center"/>
        <w:rPr>
          <w:rFonts w:hint="eastAsia" w:ascii="仿宋" w:hAnsi="仿宋" w:eastAsia="仿宋" w:cs="仿宋"/>
          <w:color w:val="auto"/>
          <w:sz w:val="24"/>
          <w:szCs w:val="24"/>
          <w:highlight w:val="none"/>
        </w:rPr>
      </w:pPr>
    </w:p>
    <w:p>
      <w:pPr>
        <w:spacing w:line="360" w:lineRule="auto"/>
        <w:ind w:firstLine="480" w:firstLineChars="200"/>
        <w:jc w:val="center"/>
        <w:rPr>
          <w:rFonts w:hint="eastAsia" w:ascii="仿宋" w:hAnsi="仿宋" w:eastAsia="仿宋" w:cs="仿宋"/>
          <w:color w:val="auto"/>
          <w:sz w:val="24"/>
          <w:szCs w:val="24"/>
          <w:highlight w:val="none"/>
        </w:rPr>
      </w:pPr>
    </w:p>
    <w:p>
      <w:pPr>
        <w:spacing w:line="360" w:lineRule="auto"/>
        <w:ind w:firstLine="480" w:firstLineChars="200"/>
        <w:jc w:val="center"/>
        <w:rPr>
          <w:rFonts w:hint="eastAsia" w:ascii="仿宋" w:hAnsi="仿宋" w:eastAsia="仿宋" w:cs="仿宋"/>
          <w:color w:val="auto"/>
          <w:sz w:val="24"/>
          <w:szCs w:val="24"/>
          <w:highlight w:val="none"/>
        </w:rPr>
      </w:pPr>
    </w:p>
    <w:p>
      <w:pPr>
        <w:spacing w:line="360" w:lineRule="auto"/>
        <w:ind w:firstLine="480" w:firstLineChars="200"/>
        <w:jc w:val="center"/>
        <w:rPr>
          <w:rFonts w:hint="eastAsia" w:ascii="仿宋" w:hAnsi="仿宋" w:eastAsia="仿宋" w:cs="仿宋"/>
          <w:color w:val="auto"/>
          <w:sz w:val="24"/>
          <w:szCs w:val="24"/>
          <w:highlight w:val="none"/>
        </w:rPr>
      </w:pPr>
    </w:p>
    <w:p>
      <w:pPr>
        <w:spacing w:line="360" w:lineRule="auto"/>
        <w:ind w:firstLine="480" w:firstLineChars="200"/>
        <w:jc w:val="center"/>
        <w:rPr>
          <w:rFonts w:hint="eastAsia" w:ascii="仿宋" w:hAnsi="仿宋" w:eastAsia="仿宋" w:cs="仿宋"/>
          <w:color w:val="auto"/>
          <w:sz w:val="24"/>
          <w:szCs w:val="24"/>
          <w:highlight w:val="none"/>
        </w:rPr>
      </w:pPr>
    </w:p>
    <w:p>
      <w:pPr>
        <w:spacing w:line="360" w:lineRule="auto"/>
        <w:ind w:firstLine="480" w:firstLineChars="200"/>
        <w:jc w:val="center"/>
        <w:rPr>
          <w:rFonts w:hint="eastAsia" w:ascii="仿宋" w:hAnsi="仿宋" w:eastAsia="仿宋" w:cs="仿宋"/>
          <w:color w:val="auto"/>
          <w:sz w:val="24"/>
          <w:szCs w:val="24"/>
          <w:highlight w:val="none"/>
        </w:rPr>
      </w:pPr>
    </w:p>
    <w:p>
      <w:pPr>
        <w:spacing w:line="360" w:lineRule="auto"/>
        <w:ind w:firstLine="480" w:firstLineChars="200"/>
        <w:jc w:val="center"/>
        <w:rPr>
          <w:rFonts w:hint="eastAsia" w:ascii="仿宋" w:hAnsi="仿宋" w:eastAsia="仿宋" w:cs="仿宋"/>
          <w:color w:val="auto"/>
          <w:sz w:val="24"/>
          <w:szCs w:val="24"/>
          <w:highlight w:val="none"/>
        </w:rPr>
      </w:pPr>
    </w:p>
    <w:p>
      <w:pPr>
        <w:spacing w:line="360" w:lineRule="auto"/>
        <w:ind w:firstLine="480" w:firstLineChars="200"/>
        <w:jc w:val="center"/>
        <w:rPr>
          <w:rFonts w:hint="eastAsia" w:ascii="仿宋" w:hAnsi="仿宋" w:eastAsia="仿宋" w:cs="仿宋"/>
          <w:color w:val="auto"/>
          <w:sz w:val="24"/>
          <w:szCs w:val="24"/>
          <w:highlight w:val="none"/>
        </w:rPr>
      </w:pPr>
    </w:p>
    <w:p>
      <w:pPr>
        <w:spacing w:line="360" w:lineRule="auto"/>
        <w:ind w:firstLine="480" w:firstLineChars="200"/>
        <w:jc w:val="center"/>
        <w:rPr>
          <w:rFonts w:hint="eastAsia" w:ascii="仿宋" w:hAnsi="仿宋" w:eastAsia="仿宋" w:cs="仿宋"/>
          <w:color w:val="auto"/>
          <w:sz w:val="24"/>
          <w:szCs w:val="24"/>
          <w:highlight w:val="none"/>
        </w:rPr>
      </w:pPr>
    </w:p>
    <w:p>
      <w:pPr>
        <w:spacing w:line="360" w:lineRule="auto"/>
        <w:ind w:firstLine="480" w:firstLineChars="200"/>
        <w:jc w:val="center"/>
        <w:rPr>
          <w:rFonts w:hint="eastAsia" w:ascii="仿宋" w:hAnsi="仿宋" w:eastAsia="仿宋" w:cs="仿宋"/>
          <w:color w:val="auto"/>
          <w:sz w:val="24"/>
          <w:szCs w:val="24"/>
          <w:highlight w:val="none"/>
        </w:rPr>
      </w:pPr>
    </w:p>
    <w:p>
      <w:pPr>
        <w:spacing w:line="360" w:lineRule="auto"/>
        <w:ind w:firstLine="480" w:firstLineChars="200"/>
        <w:jc w:val="center"/>
        <w:rPr>
          <w:rFonts w:hint="eastAsia" w:ascii="仿宋" w:hAnsi="仿宋" w:eastAsia="仿宋" w:cs="仿宋"/>
          <w:color w:val="auto"/>
          <w:sz w:val="24"/>
          <w:szCs w:val="24"/>
          <w:highlight w:val="none"/>
        </w:rPr>
      </w:pPr>
    </w:p>
    <w:p>
      <w:pPr>
        <w:spacing w:line="360" w:lineRule="auto"/>
        <w:ind w:firstLine="480" w:firstLineChars="200"/>
        <w:jc w:val="center"/>
        <w:rPr>
          <w:rFonts w:hint="eastAsia" w:ascii="仿宋" w:hAnsi="仿宋" w:eastAsia="仿宋" w:cs="仿宋"/>
          <w:color w:val="auto"/>
          <w:sz w:val="24"/>
          <w:szCs w:val="24"/>
          <w:highlight w:val="none"/>
        </w:rPr>
      </w:pPr>
    </w:p>
    <w:p>
      <w:pPr>
        <w:spacing w:line="360" w:lineRule="auto"/>
        <w:ind w:firstLine="480" w:firstLineChars="200"/>
        <w:jc w:val="center"/>
        <w:rPr>
          <w:rFonts w:hint="eastAsia" w:ascii="仿宋" w:hAnsi="仿宋" w:eastAsia="仿宋" w:cs="仿宋"/>
          <w:color w:val="auto"/>
          <w:sz w:val="24"/>
          <w:szCs w:val="24"/>
          <w:highlight w:val="none"/>
        </w:rPr>
      </w:pPr>
    </w:p>
    <w:p>
      <w:pPr>
        <w:spacing w:line="360" w:lineRule="auto"/>
        <w:ind w:firstLine="480" w:firstLineChars="200"/>
        <w:jc w:val="center"/>
        <w:rPr>
          <w:rFonts w:hint="eastAsia" w:ascii="仿宋" w:hAnsi="仿宋" w:eastAsia="仿宋" w:cs="仿宋"/>
          <w:color w:val="auto"/>
          <w:sz w:val="24"/>
          <w:szCs w:val="24"/>
          <w:highlight w:val="none"/>
        </w:rPr>
      </w:pPr>
    </w:p>
    <w:p>
      <w:pPr>
        <w:spacing w:line="360" w:lineRule="auto"/>
        <w:ind w:firstLine="480" w:firstLineChars="200"/>
        <w:jc w:val="center"/>
        <w:rPr>
          <w:rFonts w:hint="eastAsia" w:ascii="仿宋" w:hAnsi="仿宋" w:eastAsia="仿宋" w:cs="仿宋"/>
          <w:color w:val="auto"/>
          <w:sz w:val="24"/>
          <w:szCs w:val="24"/>
          <w:highlight w:val="none"/>
        </w:rPr>
      </w:pPr>
    </w:p>
    <w:p>
      <w:pPr>
        <w:spacing w:line="360" w:lineRule="auto"/>
        <w:ind w:firstLine="480" w:firstLineChars="200"/>
        <w:jc w:val="center"/>
        <w:outlineLvl w:val="0"/>
        <w:rPr>
          <w:rFonts w:hint="eastAsia" w:ascii="仿宋" w:hAnsi="仿宋" w:eastAsia="仿宋" w:cs="仿宋"/>
          <w:color w:val="auto"/>
          <w:highlight w:val="none"/>
        </w:rPr>
      </w:pPr>
      <w:r>
        <w:rPr>
          <w:rFonts w:hint="eastAsia" w:ascii="仿宋" w:hAnsi="仿宋" w:eastAsia="仿宋" w:cs="仿宋"/>
          <w:color w:val="auto"/>
          <w:sz w:val="24"/>
          <w:szCs w:val="24"/>
          <w:highlight w:val="none"/>
        </w:rPr>
        <w:t>（结束）</w:t>
      </w:r>
    </w:p>
    <w:p>
      <w:pPr>
        <w:rPr>
          <w:rFonts w:hint="eastAsia" w:ascii="仿宋" w:hAnsi="仿宋" w:eastAsia="仿宋" w:cs="仿宋"/>
          <w:color w:val="auto"/>
          <w:highlight w:val="none"/>
        </w:rPr>
      </w:pPr>
    </w:p>
    <w:sectPr>
      <w:pgSz w:w="11907" w:h="16840"/>
      <w:pgMar w:top="1134" w:right="1191" w:bottom="1134" w:left="1304" w:header="851" w:footer="992" w:gutter="0"/>
      <w:pgNumType w:fmt="numberInDash"/>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jc w:val="center"/>
      <w:rPr>
        <w:rStyle w:val="14"/>
        <w:rFonts w:hint="eastAsia" w:ascii="宋体"/>
        <w:sz w:val="21"/>
        <w:szCs w:val="21"/>
      </w:rPr>
    </w:pPr>
    <w:r>
      <w:rPr>
        <w:rFonts w:ascii="宋体"/>
        <w:sz w:val="21"/>
        <w:szCs w:val="21"/>
      </w:rPr>
      <w:fldChar w:fldCharType="begin"/>
    </w:r>
    <w:r>
      <w:rPr>
        <w:rStyle w:val="14"/>
        <w:rFonts w:ascii="宋体"/>
        <w:sz w:val="21"/>
        <w:szCs w:val="21"/>
      </w:rPr>
      <w:instrText xml:space="preserve">PAGE  </w:instrText>
    </w:r>
    <w:r>
      <w:rPr>
        <w:rFonts w:ascii="宋体"/>
        <w:sz w:val="21"/>
        <w:szCs w:val="21"/>
      </w:rPr>
      <w:fldChar w:fldCharType="separate"/>
    </w:r>
    <w:r>
      <w:rPr>
        <w:rStyle w:val="14"/>
        <w:rFonts w:ascii="宋体"/>
        <w:sz w:val="21"/>
        <w:szCs w:val="21"/>
      </w:rPr>
      <w:t>- 5 -</w:t>
    </w:r>
    <w:r>
      <w:rPr>
        <w:rFonts w:ascii="宋体"/>
        <w:sz w:val="21"/>
        <w:szCs w:val="21"/>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4"/>
      </w:rPr>
    </w:pPr>
    <w:r>
      <w:fldChar w:fldCharType="begin"/>
    </w:r>
    <w:r>
      <w:rPr>
        <w:rStyle w:val="14"/>
      </w:rPr>
      <w:instrText xml:space="preserve">PAGE  </w:instrText>
    </w:r>
    <w:r>
      <w:fldChar w:fldCharType="separate"/>
    </w:r>
    <w: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4"/>
      </w:rPr>
    </w:pPr>
  </w:p>
  <w:p>
    <w:pPr>
      <w:pStyle w:val="8"/>
      <w:jc w:val="center"/>
      <w:rPr>
        <w:rFonts w:hint="eastAsia" w:ascii="宋体" w:hAnsi="宋体"/>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hint="eastAsia" w:ascii="宋体" w:hAnsi="宋体"/>
        <w:sz w:val="21"/>
        <w:szCs w:val="21"/>
      </w:rPr>
    </w:pPr>
    <w:r>
      <w:rPr>
        <w:rFonts w:ascii="宋体" w:hAnsi="宋体"/>
        <w:sz w:val="21"/>
        <w:szCs w:val="21"/>
      </w:rPr>
      <w:fldChar w:fldCharType="begin"/>
    </w:r>
    <w:r>
      <w:rPr>
        <w:rStyle w:val="14"/>
        <w:rFonts w:ascii="宋体" w:hAnsi="宋体"/>
        <w:sz w:val="21"/>
        <w:szCs w:val="21"/>
      </w:rPr>
      <w:instrText xml:space="preserve"> PAGE </w:instrText>
    </w:r>
    <w:r>
      <w:rPr>
        <w:rFonts w:ascii="宋体" w:hAnsi="宋体"/>
        <w:sz w:val="21"/>
        <w:szCs w:val="21"/>
      </w:rPr>
      <w:fldChar w:fldCharType="separate"/>
    </w:r>
    <w:r>
      <w:rPr>
        <w:rStyle w:val="14"/>
        <w:rFonts w:ascii="宋体" w:hAnsi="宋体"/>
        <w:sz w:val="21"/>
        <w:szCs w:val="21"/>
      </w:rPr>
      <w:t>- 11 -</w:t>
    </w:r>
    <w:r>
      <w:rPr>
        <w:rFonts w:ascii="宋体" w:hAnsi="宋体"/>
        <w:sz w:val="21"/>
        <w:szCs w:val="2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4"/>
      </w:rPr>
    </w:pPr>
    <w:r>
      <w:fldChar w:fldCharType="begin"/>
    </w:r>
    <w:r>
      <w:rPr>
        <w:rStyle w:val="14"/>
      </w:rPr>
      <w:instrText xml:space="preserve">PAGE  </w:instrText>
    </w:r>
    <w:r>
      <w:fldChar w:fldCharType="separate"/>
    </w:r>
    <w:r>
      <w:fldChar w:fldCharType="end"/>
    </w:r>
  </w:p>
  <w:p>
    <w:pPr>
      <w:pStyle w:val="8"/>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hint="eastAsia" w:ascii="宋体" w:hAnsi="宋体"/>
        <w:sz w:val="21"/>
        <w:szCs w:val="21"/>
      </w:rPr>
    </w:pPr>
    <w:r>
      <w:rPr>
        <w:rFonts w:ascii="宋体" w:hAnsi="宋体"/>
        <w:sz w:val="21"/>
        <w:szCs w:val="21"/>
      </w:rPr>
      <w:fldChar w:fldCharType="begin"/>
    </w:r>
    <w:r>
      <w:rPr>
        <w:rStyle w:val="14"/>
        <w:rFonts w:ascii="宋体" w:hAnsi="宋体"/>
        <w:sz w:val="21"/>
        <w:szCs w:val="21"/>
      </w:rPr>
      <w:instrText xml:space="preserve"> PAGE </w:instrText>
    </w:r>
    <w:r>
      <w:rPr>
        <w:rFonts w:ascii="宋体" w:hAnsi="宋体"/>
        <w:sz w:val="21"/>
        <w:szCs w:val="21"/>
      </w:rPr>
      <w:fldChar w:fldCharType="separate"/>
    </w:r>
    <w:r>
      <w:rPr>
        <w:rStyle w:val="14"/>
        <w:rFonts w:ascii="宋体" w:hAnsi="宋体"/>
        <w:sz w:val="21"/>
        <w:szCs w:val="21"/>
      </w:rPr>
      <w:t>- 30 -</w:t>
    </w:r>
    <w:r>
      <w:rPr>
        <w:rFonts w:ascii="宋体" w:hAnsi="宋体"/>
        <w:sz w:val="21"/>
        <w:szCs w:val="21"/>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4"/>
      </w:rPr>
    </w:pPr>
    <w:r>
      <w:fldChar w:fldCharType="begin"/>
    </w:r>
    <w:r>
      <w:rPr>
        <w:rStyle w:val="14"/>
      </w:rPr>
      <w:instrText xml:space="preserve">PAGE  </w:instrText>
    </w:r>
    <w:r>
      <w:fldChar w:fldCharType="separate"/>
    </w:r>
    <w:r>
      <w:fldChar w:fldCharType="end"/>
    </w:r>
  </w:p>
  <w:p>
    <w:pPr>
      <w:pStyle w:val="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left"/>
      <w:rPr>
        <w:rFonts w:hint="eastAsia" w:ascii="方正仿宋_GBK" w:eastAsia="方正仿宋_GBK"/>
        <w:sz w:val="21"/>
        <w:szCs w:val="21"/>
      </w:rPr>
    </w:pPr>
    <w:r>
      <w:rPr>
        <w:rFonts w:hint="eastAsia" w:ascii="方正仿宋_GBK" w:eastAsia="方正仿宋_GBK"/>
        <w:sz w:val="21"/>
        <w:szCs w:val="21"/>
      </w:rPr>
      <w:t xml:space="preserve">  重庆高企恒工程咨询有限公司                                        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rPr>
        <w:rFonts w:hint="eastAsia" w:ascii="方正仿宋_GBK" w:eastAsia="方正仿宋_GBK"/>
        <w:sz w:val="21"/>
        <w:szCs w:val="21"/>
      </w:rPr>
    </w:pPr>
    <w:r>
      <w:rPr>
        <w:rFonts w:hint="eastAsia" w:ascii="方正仿宋_GBK" w:eastAsia="方正仿宋_GBK"/>
        <w:sz w:val="21"/>
        <w:szCs w:val="21"/>
      </w:rPr>
      <w:t xml:space="preserve">                                                                          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5EE6C2"/>
    <w:multiLevelType w:val="singleLevel"/>
    <w:tmpl w:val="945EE6C2"/>
    <w:lvl w:ilvl="0" w:tentative="0">
      <w:start w:val="1"/>
      <w:numFmt w:val="chineseCounting"/>
      <w:suff w:val="nothing"/>
      <w:lvlText w:val="（%1）"/>
      <w:lvlJc w:val="left"/>
      <w:pPr>
        <w:ind w:left="0" w:firstLine="420"/>
      </w:pPr>
      <w:rPr>
        <w:rFonts w:hint="eastAsia"/>
      </w:rPr>
    </w:lvl>
  </w:abstractNum>
  <w:abstractNum w:abstractNumId="1">
    <w:nsid w:val="B693ADE6"/>
    <w:multiLevelType w:val="singleLevel"/>
    <w:tmpl w:val="B693ADE6"/>
    <w:lvl w:ilvl="0" w:tentative="0">
      <w:start w:val="1"/>
      <w:numFmt w:val="chineseCounting"/>
      <w:suff w:val="nothing"/>
      <w:lvlText w:val="%1、"/>
      <w:lvlJc w:val="left"/>
      <w:rPr>
        <w:rFonts w:hint="eastAsia"/>
      </w:rPr>
    </w:lvl>
  </w:abstractNum>
  <w:abstractNum w:abstractNumId="2">
    <w:nsid w:val="0FFBD766"/>
    <w:multiLevelType w:val="singleLevel"/>
    <w:tmpl w:val="0FFBD766"/>
    <w:lvl w:ilvl="0" w:tentative="0">
      <w:start w:val="1"/>
      <w:numFmt w:val="decimal"/>
      <w:suff w:val="nothing"/>
      <w:lvlText w:val="%1、"/>
      <w:lvlJc w:val="left"/>
    </w:lvl>
  </w:abstractNum>
  <w:abstractNum w:abstractNumId="3">
    <w:nsid w:val="2FBE99FB"/>
    <w:multiLevelType w:val="singleLevel"/>
    <w:tmpl w:val="2FBE99FB"/>
    <w:lvl w:ilvl="0" w:tentative="0">
      <w:start w:val="1"/>
      <w:numFmt w:val="chineseCounting"/>
      <w:suff w:val="nothing"/>
      <w:lvlText w:val="（%1）"/>
      <w:lvlJc w:val="left"/>
      <w:pPr>
        <w:ind w:left="0" w:firstLine="420"/>
      </w:pPr>
      <w:rPr>
        <w:rFonts w:hint="eastAsia"/>
      </w:rPr>
    </w:lvl>
  </w:abstractNum>
  <w:abstractNum w:abstractNumId="4">
    <w:nsid w:val="6709C16F"/>
    <w:multiLevelType w:val="singleLevel"/>
    <w:tmpl w:val="6709C16F"/>
    <w:lvl w:ilvl="0" w:tentative="0">
      <w:start w:val="1"/>
      <w:numFmt w:val="chineseCounting"/>
      <w:suff w:val="nothing"/>
      <w:lvlText w:val="（%1）"/>
      <w:lvlJc w:val="left"/>
      <w:pPr>
        <w:ind w:left="0" w:firstLine="420"/>
      </w:pPr>
      <w:rPr>
        <w:rFonts w:hint="eastAsia"/>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RkOGE5NTFlOWNkMmY0ODUwNTZiNjc0NTIxY2RmMzkifQ=="/>
  </w:docVars>
  <w:rsids>
    <w:rsidRoot w:val="00000000"/>
    <w:rsid w:val="00C14E0F"/>
    <w:rsid w:val="01DB3FBE"/>
    <w:rsid w:val="033C31C8"/>
    <w:rsid w:val="03CD6086"/>
    <w:rsid w:val="05BD7047"/>
    <w:rsid w:val="0F337DA7"/>
    <w:rsid w:val="191953CD"/>
    <w:rsid w:val="1CB92167"/>
    <w:rsid w:val="232F14A9"/>
    <w:rsid w:val="259C09E2"/>
    <w:rsid w:val="2B767845"/>
    <w:rsid w:val="367A5E86"/>
    <w:rsid w:val="379F736A"/>
    <w:rsid w:val="37F562F5"/>
    <w:rsid w:val="39137B1A"/>
    <w:rsid w:val="42E62BCA"/>
    <w:rsid w:val="479B1EC8"/>
    <w:rsid w:val="481B4EE4"/>
    <w:rsid w:val="4EA059CA"/>
    <w:rsid w:val="550D2468"/>
    <w:rsid w:val="56D91418"/>
    <w:rsid w:val="57045560"/>
    <w:rsid w:val="575A62B2"/>
    <w:rsid w:val="59AD716E"/>
    <w:rsid w:val="64A553A1"/>
    <w:rsid w:val="70BB6A17"/>
    <w:rsid w:val="714E7405"/>
    <w:rsid w:val="73F93D30"/>
    <w:rsid w:val="76083631"/>
    <w:rsid w:val="777528E2"/>
    <w:rsid w:val="77BB3AC3"/>
    <w:rsid w:val="78547ECF"/>
    <w:rsid w:val="78771534"/>
    <w:rsid w:val="79D84F02"/>
    <w:rsid w:val="7A5B17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3">
    <w:name w:val="Body Text"/>
    <w:basedOn w:val="1"/>
    <w:next w:val="1"/>
    <w:qFormat/>
    <w:uiPriority w:val="0"/>
    <w:rPr>
      <w:rFonts w:ascii="仿宋_GB2312" w:eastAsia="仿宋_GB2312"/>
      <w:sz w:val="32"/>
    </w:rPr>
  </w:style>
  <w:style w:type="paragraph" w:styleId="4">
    <w:name w:val="Body Text Indent"/>
    <w:basedOn w:val="1"/>
    <w:qFormat/>
    <w:uiPriority w:val="0"/>
    <w:pPr>
      <w:spacing w:line="700" w:lineRule="exact"/>
      <w:ind w:left="960"/>
    </w:pPr>
    <w:rPr>
      <w:sz w:val="44"/>
    </w:rPr>
  </w:style>
  <w:style w:type="paragraph" w:styleId="5">
    <w:name w:val="Plain Text"/>
    <w:basedOn w:val="1"/>
    <w:qFormat/>
    <w:uiPriority w:val="0"/>
    <w:rPr>
      <w:rFonts w:ascii="宋体" w:hAnsi="Courier New"/>
      <w:sz w:val="21"/>
    </w:rPr>
  </w:style>
  <w:style w:type="paragraph" w:styleId="6">
    <w:name w:val="Date"/>
    <w:basedOn w:val="1"/>
    <w:next w:val="1"/>
    <w:qFormat/>
    <w:uiPriority w:val="0"/>
  </w:style>
  <w:style w:type="paragraph" w:styleId="7">
    <w:name w:val="Body Text Indent 2"/>
    <w:basedOn w:val="1"/>
    <w:qFormat/>
    <w:uiPriority w:val="0"/>
    <w:pPr>
      <w:snapToGrid w:val="0"/>
      <w:spacing w:line="560" w:lineRule="atLeast"/>
      <w:ind w:firstLine="54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rPr>
  </w:style>
  <w:style w:type="paragraph" w:styleId="10">
    <w:name w:val="toc 1"/>
    <w:basedOn w:val="1"/>
    <w:next w:val="1"/>
    <w:qFormat/>
    <w:uiPriority w:val="0"/>
    <w:pPr>
      <w:spacing w:line="180" w:lineRule="auto"/>
      <w:jc w:val="center"/>
    </w:pPr>
    <w:rPr>
      <w:sz w:val="30"/>
    </w:rPr>
  </w:style>
  <w:style w:type="paragraph" w:styleId="11">
    <w:name w:val="toc 2"/>
    <w:basedOn w:val="1"/>
    <w:next w:val="1"/>
    <w:qFormat/>
    <w:uiPriority w:val="39"/>
    <w:pPr>
      <w:ind w:left="420" w:leftChars="200"/>
    </w:pPr>
  </w:style>
  <w:style w:type="character" w:styleId="14">
    <w:name w:val="page number"/>
    <w:qFormat/>
    <w:uiPriority w:val="0"/>
  </w:style>
  <w:style w:type="character" w:styleId="15">
    <w:name w:val="Hyperlink"/>
    <w:qFormat/>
    <w:uiPriority w:val="99"/>
    <w:rPr>
      <w:color w:val="0000FF"/>
      <w:u w:val="single"/>
    </w:rPr>
  </w:style>
  <w:style w:type="paragraph" w:customStyle="1" w:styleId="16">
    <w:name w:val="图例"/>
    <w:basedOn w:val="1"/>
    <w:qFormat/>
    <w:uiPriority w:val="0"/>
    <w:pPr>
      <w:spacing w:before="120" w:beforeLines="0" w:beforeAutospacing="0" w:after="120" w:afterLines="0" w:afterAutospacing="0" w:line="360" w:lineRule="auto"/>
      <w:jc w:val="center"/>
    </w:pPr>
    <w:rPr>
      <w:rFonts w:eastAsia="仿宋_GB2312"/>
      <w:b/>
      <w:sz w:val="24"/>
    </w:rPr>
  </w:style>
  <w:style w:type="paragraph" w:customStyle="1" w:styleId="17">
    <w:name w:val="1"/>
    <w:basedOn w:val="1"/>
    <w:next w:val="5"/>
    <w:qFormat/>
    <w:uiPriority w:val="0"/>
    <w:rPr>
      <w:rFonts w:ascii="宋体" w:hAnsi="Courier New"/>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theme" Target="theme/theme1.xml"/><Relationship Id="rId12" Type="http://schemas.openxmlformats.org/officeDocument/2006/relationships/header" Target="header3.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2023-10-26T11:28:00Z</dcterms:created>
  <dc:creator>XJN</dc:creator>
  <cp:lastModifiedBy>mooring</cp:lastModifiedBy>
  <dcterms:modified xsi:type="dcterms:W3CDTF">2023-11-06T09:39:14Z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3569DC0D60344658AACD790D0D4541D8_12</vt:lpwstr>
  </property>
</Properties>
</file>