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color w:val="auto"/>
          <w:highlight w:val="none"/>
        </w:rPr>
      </w:pPr>
    </w:p>
    <w:p>
      <w:pPr>
        <w:jc w:val="center"/>
        <w:rPr>
          <w:rFonts w:ascii="宋体" w:hAnsi="宋体" w:cs="宋体"/>
          <w:color w:val="auto"/>
          <w:highlight w:val="none"/>
        </w:rPr>
      </w:pPr>
    </w:p>
    <w:p>
      <w:pPr>
        <w:jc w:val="center"/>
        <w:rPr>
          <w:rFonts w:ascii="宋体" w:hAnsi="宋体" w:cs="宋体"/>
          <w:color w:val="auto"/>
          <w:highlight w:val="none"/>
        </w:rPr>
      </w:pPr>
    </w:p>
    <w:p>
      <w:pPr>
        <w:jc w:val="center"/>
        <w:rPr>
          <w:rFonts w:ascii="宋体" w:hAnsi="宋体" w:cs="宋体"/>
          <w:color w:val="auto"/>
          <w:sz w:val="84"/>
          <w:szCs w:val="84"/>
          <w:highlight w:val="none"/>
        </w:rPr>
      </w:pPr>
    </w:p>
    <w:p>
      <w:pPr>
        <w:jc w:val="center"/>
        <w:rPr>
          <w:rFonts w:ascii="宋体" w:hAnsi="宋体" w:cs="宋体"/>
          <w:color w:val="auto"/>
          <w:sz w:val="84"/>
          <w:szCs w:val="84"/>
          <w:highlight w:val="none"/>
        </w:rPr>
      </w:pPr>
      <w:r>
        <w:rPr>
          <w:rFonts w:hint="eastAsia" w:ascii="宋体" w:hAnsi="宋体" w:cs="宋体"/>
          <w:color w:val="auto"/>
          <w:sz w:val="84"/>
          <w:szCs w:val="84"/>
          <w:highlight w:val="none"/>
        </w:rPr>
        <w:t>竞争性磋商文件</w:t>
      </w:r>
    </w:p>
    <w:p>
      <w:pPr>
        <w:spacing w:line="700" w:lineRule="exact"/>
        <w:jc w:val="center"/>
        <w:rPr>
          <w:rFonts w:ascii="宋体" w:hAnsi="宋体" w:cs="宋体"/>
          <w:color w:val="auto"/>
          <w:sz w:val="32"/>
          <w:highlight w:val="none"/>
        </w:rPr>
      </w:pPr>
    </w:p>
    <w:p>
      <w:pPr>
        <w:spacing w:line="700" w:lineRule="exact"/>
        <w:jc w:val="center"/>
        <w:rPr>
          <w:rFonts w:ascii="宋体" w:hAnsi="宋体" w:cs="宋体"/>
          <w:color w:val="auto"/>
          <w:sz w:val="32"/>
          <w:highlight w:val="none"/>
        </w:rPr>
      </w:pPr>
    </w:p>
    <w:p>
      <w:pPr>
        <w:spacing w:line="700" w:lineRule="exact"/>
        <w:jc w:val="center"/>
        <w:rPr>
          <w:rFonts w:ascii="宋体" w:hAnsi="宋体" w:cs="宋体"/>
          <w:color w:val="auto"/>
          <w:sz w:val="32"/>
          <w:highlight w:val="none"/>
        </w:rPr>
      </w:pPr>
    </w:p>
    <w:p>
      <w:pPr>
        <w:spacing w:line="700" w:lineRule="exact"/>
        <w:jc w:val="center"/>
        <w:rPr>
          <w:rFonts w:ascii="宋体" w:hAnsi="宋体" w:cs="宋体"/>
          <w:color w:val="auto"/>
          <w:sz w:val="32"/>
          <w:highlight w:val="none"/>
        </w:rPr>
      </w:pPr>
    </w:p>
    <w:p>
      <w:pPr>
        <w:spacing w:line="700" w:lineRule="exact"/>
        <w:jc w:val="center"/>
        <w:rPr>
          <w:rFonts w:ascii="宋体" w:hAnsi="宋体" w:cs="宋体"/>
          <w:color w:val="auto"/>
          <w:sz w:val="32"/>
          <w:highlight w:val="none"/>
        </w:rPr>
      </w:pPr>
    </w:p>
    <w:p>
      <w:pPr>
        <w:spacing w:line="700" w:lineRule="exact"/>
        <w:ind w:left="2520" w:hanging="2520" w:hangingChars="700"/>
        <w:rPr>
          <w:rFonts w:ascii="宋体" w:hAnsi="宋体" w:cs="宋体"/>
          <w:color w:val="auto"/>
          <w:sz w:val="36"/>
          <w:szCs w:val="30"/>
          <w:highlight w:val="none"/>
        </w:rPr>
      </w:pPr>
      <w:r>
        <w:rPr>
          <w:rFonts w:hint="eastAsia" w:ascii="宋体" w:hAnsi="宋体" w:cs="宋体"/>
          <w:color w:val="auto"/>
          <w:sz w:val="36"/>
          <w:szCs w:val="30"/>
          <w:highlight w:val="none"/>
        </w:rPr>
        <w:t>磋商项目名称：重庆小面体验中心二期项目全过程造价控制采购</w:t>
      </w:r>
    </w:p>
    <w:p>
      <w:pPr>
        <w:spacing w:line="700" w:lineRule="exact"/>
        <w:ind w:firstLine="1749" w:firstLineChars="486"/>
        <w:rPr>
          <w:rFonts w:ascii="宋体" w:hAnsi="宋体" w:cs="宋体"/>
          <w:color w:val="auto"/>
          <w:sz w:val="36"/>
          <w:szCs w:val="30"/>
          <w:highlight w:val="none"/>
        </w:rPr>
      </w:pPr>
    </w:p>
    <w:p>
      <w:pPr>
        <w:spacing w:line="700" w:lineRule="exact"/>
        <w:ind w:firstLine="1749" w:firstLineChars="486"/>
        <w:rPr>
          <w:rFonts w:ascii="宋体" w:hAnsi="宋体" w:cs="宋体"/>
          <w:color w:val="auto"/>
          <w:sz w:val="36"/>
          <w:szCs w:val="30"/>
          <w:highlight w:val="none"/>
        </w:rPr>
      </w:pPr>
    </w:p>
    <w:p>
      <w:pPr>
        <w:spacing w:line="700" w:lineRule="exact"/>
        <w:jc w:val="center"/>
        <w:rPr>
          <w:rFonts w:ascii="宋体" w:hAnsi="宋体" w:cs="宋体"/>
          <w:b/>
          <w:color w:val="auto"/>
          <w:sz w:val="30"/>
          <w:szCs w:val="30"/>
          <w:highlight w:val="none"/>
        </w:rPr>
      </w:pPr>
    </w:p>
    <w:p>
      <w:pPr>
        <w:spacing w:line="700" w:lineRule="exact"/>
        <w:jc w:val="center"/>
        <w:rPr>
          <w:rFonts w:ascii="宋体" w:hAnsi="宋体" w:cs="宋体"/>
          <w:color w:val="auto"/>
          <w:sz w:val="36"/>
          <w:szCs w:val="30"/>
          <w:highlight w:val="none"/>
        </w:rPr>
      </w:pPr>
      <w:r>
        <w:rPr>
          <w:rFonts w:hint="eastAsia" w:ascii="宋体" w:hAnsi="宋体" w:cs="宋体"/>
          <w:color w:val="auto"/>
          <w:sz w:val="36"/>
          <w:szCs w:val="30"/>
          <w:highlight w:val="none"/>
        </w:rPr>
        <w:t>采购人：重庆建桥实业发展有限公司</w:t>
      </w:r>
    </w:p>
    <w:p>
      <w:pPr>
        <w:spacing w:line="720" w:lineRule="exact"/>
        <w:jc w:val="center"/>
        <w:outlineLvl w:val="0"/>
        <w:rPr>
          <w:rFonts w:ascii="宋体" w:hAnsi="宋体" w:cs="宋体"/>
          <w:color w:val="auto"/>
          <w:sz w:val="36"/>
          <w:szCs w:val="30"/>
          <w:highlight w:val="none"/>
        </w:rPr>
      </w:pPr>
    </w:p>
    <w:p>
      <w:pPr>
        <w:spacing w:line="720" w:lineRule="exact"/>
        <w:jc w:val="center"/>
        <w:outlineLvl w:val="0"/>
        <w:rPr>
          <w:rFonts w:ascii="宋体" w:hAnsi="宋体" w:cs="宋体"/>
          <w:color w:val="auto"/>
          <w:sz w:val="36"/>
          <w:szCs w:val="30"/>
          <w:highlight w:val="none"/>
        </w:rPr>
      </w:pPr>
      <w:r>
        <w:rPr>
          <w:rFonts w:hint="eastAsia" w:ascii="宋体" w:hAnsi="宋体" w:cs="宋体"/>
          <w:color w:val="auto"/>
          <w:sz w:val="36"/>
          <w:szCs w:val="30"/>
          <w:highlight w:val="none"/>
        </w:rPr>
        <w:t>二〇二三年</w:t>
      </w:r>
      <w:r>
        <w:rPr>
          <w:rFonts w:hint="eastAsia" w:ascii="宋体" w:hAnsi="宋体" w:cs="宋体"/>
          <w:color w:val="auto"/>
          <w:sz w:val="36"/>
          <w:szCs w:val="30"/>
          <w:highlight w:val="none"/>
          <w:lang w:eastAsia="zh-CN"/>
        </w:rPr>
        <w:t>十</w:t>
      </w:r>
      <w:r>
        <w:rPr>
          <w:rFonts w:hint="eastAsia" w:ascii="宋体" w:hAnsi="宋体" w:cs="宋体"/>
          <w:color w:val="auto"/>
          <w:sz w:val="36"/>
          <w:szCs w:val="30"/>
          <w:highlight w:val="none"/>
        </w:rPr>
        <w:t>月</w:t>
      </w:r>
    </w:p>
    <w:p>
      <w:pPr>
        <w:spacing w:line="480" w:lineRule="exact"/>
        <w:jc w:val="center"/>
        <w:outlineLvl w:val="0"/>
        <w:rPr>
          <w:rFonts w:ascii="宋体" w:hAnsi="宋体" w:cs="宋体"/>
          <w:color w:val="auto"/>
          <w:sz w:val="44"/>
          <w:szCs w:val="28"/>
          <w:highlight w:val="none"/>
        </w:rPr>
      </w:pPr>
      <w:r>
        <w:rPr>
          <w:rFonts w:hint="eastAsia" w:ascii="宋体" w:hAnsi="宋体" w:cs="宋体"/>
          <w:color w:val="auto"/>
          <w:sz w:val="44"/>
          <w:szCs w:val="28"/>
          <w:highlight w:val="none"/>
        </w:rPr>
        <w:br w:type="page"/>
      </w:r>
      <w:r>
        <w:rPr>
          <w:rFonts w:hint="eastAsia" w:ascii="宋体" w:hAnsi="宋体" w:cs="宋体"/>
          <w:color w:val="auto"/>
          <w:sz w:val="44"/>
          <w:szCs w:val="28"/>
          <w:highlight w:val="none"/>
        </w:rPr>
        <w:t>目   录</w:t>
      </w:r>
    </w:p>
    <w:p>
      <w:pPr>
        <w:pStyle w:val="12"/>
        <w:tabs>
          <w:tab w:val="right" w:leader="dot" w:pos="9402"/>
        </w:tabs>
        <w:ind w:left="560"/>
        <w:rPr>
          <w:rFonts w:ascii="宋体" w:hAnsi="宋体" w:cs="宋体"/>
          <w:color w:val="auto"/>
          <w:sz w:val="21"/>
          <w:szCs w:val="22"/>
          <w:highlight w:val="none"/>
        </w:rPr>
      </w:pP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TOC \o "1-3" \h \z </w:instrText>
      </w:r>
      <w:r>
        <w:rPr>
          <w:rFonts w:hint="eastAsia" w:ascii="宋体" w:hAnsi="宋体" w:cs="宋体"/>
          <w:color w:val="auto"/>
          <w:sz w:val="21"/>
          <w:szCs w:val="21"/>
          <w:highlight w:val="none"/>
        </w:rPr>
        <w:fldChar w:fldCharType="separate"/>
      </w:r>
      <w:r>
        <w:rPr>
          <w:color w:val="auto"/>
          <w:highlight w:val="none"/>
        </w:rPr>
        <w:fldChar w:fldCharType="begin"/>
      </w:r>
      <w:r>
        <w:rPr>
          <w:color w:val="auto"/>
          <w:highlight w:val="none"/>
        </w:rPr>
        <w:instrText xml:space="preserve"> HYPERLINK \l "_Toc54278968" </w:instrText>
      </w:r>
      <w:r>
        <w:rPr>
          <w:color w:val="auto"/>
          <w:highlight w:val="none"/>
        </w:rPr>
        <w:fldChar w:fldCharType="separate"/>
      </w:r>
      <w:r>
        <w:rPr>
          <w:rStyle w:val="17"/>
          <w:rFonts w:hint="eastAsia" w:ascii="宋体" w:hAnsi="宋体" w:cs="宋体"/>
          <w:color w:val="auto"/>
          <w:highlight w:val="none"/>
        </w:rPr>
        <w:t>第一篇  采购邀请书</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_Toc54278968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"_Toc54278969" </w:instrText>
      </w:r>
      <w:r>
        <w:rPr>
          <w:color w:val="auto"/>
          <w:highlight w:val="none"/>
        </w:rPr>
        <w:fldChar w:fldCharType="separate"/>
      </w:r>
      <w:r>
        <w:rPr>
          <w:rStyle w:val="17"/>
          <w:rFonts w:hint="eastAsia" w:ascii="宋体" w:hAnsi="宋体" w:cs="宋体"/>
          <w:color w:val="auto"/>
          <w:highlight w:val="none"/>
        </w:rPr>
        <w:t>一、竞争性磋商内容</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_Toc54278969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"_Toc54278970" </w:instrText>
      </w:r>
      <w:r>
        <w:rPr>
          <w:color w:val="auto"/>
          <w:highlight w:val="none"/>
        </w:rPr>
        <w:fldChar w:fldCharType="separate"/>
      </w:r>
      <w:r>
        <w:rPr>
          <w:rStyle w:val="17"/>
          <w:rFonts w:hint="eastAsia" w:ascii="宋体" w:hAnsi="宋体" w:cs="宋体"/>
          <w:color w:val="auto"/>
          <w:highlight w:val="none"/>
        </w:rPr>
        <w:t>二、资金来源</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_Toc54278970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"_Toc54278971" </w:instrText>
      </w:r>
      <w:r>
        <w:rPr>
          <w:color w:val="auto"/>
          <w:highlight w:val="none"/>
        </w:rPr>
        <w:fldChar w:fldCharType="separate"/>
      </w:r>
      <w:r>
        <w:rPr>
          <w:rStyle w:val="17"/>
          <w:rFonts w:hint="eastAsia" w:ascii="宋体" w:hAnsi="宋体" w:cs="宋体"/>
          <w:color w:val="auto"/>
          <w:highlight w:val="none"/>
        </w:rPr>
        <w:t>三、供应商资格条件</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_Toc54278971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Style w:val="17"/>
          <w:rFonts w:ascii="宋体" w:hAnsi="宋体" w:cs="宋体"/>
          <w:color w:val="auto"/>
          <w:highlight w:val="none"/>
        </w:rPr>
      </w:pPr>
      <w:r>
        <w:rPr>
          <w:color w:val="auto"/>
          <w:highlight w:val="none"/>
        </w:rPr>
        <w:fldChar w:fldCharType="begin"/>
      </w:r>
      <w:r>
        <w:rPr>
          <w:color w:val="auto"/>
          <w:highlight w:val="none"/>
        </w:rPr>
        <w:instrText xml:space="preserve"> HYPERLINK \l "_Toc54278972" </w:instrText>
      </w:r>
      <w:r>
        <w:rPr>
          <w:color w:val="auto"/>
          <w:highlight w:val="none"/>
        </w:rPr>
        <w:fldChar w:fldCharType="separate"/>
      </w:r>
      <w:r>
        <w:rPr>
          <w:rStyle w:val="17"/>
          <w:rFonts w:hint="eastAsia" w:ascii="宋体" w:hAnsi="宋体" w:cs="宋体"/>
          <w:color w:val="auto"/>
          <w:highlight w:val="none"/>
        </w:rPr>
        <w:t>四、磋商有关说明</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_Toc54278972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Style w:val="17"/>
          <w:rFonts w:ascii="宋体" w:hAnsi="宋体" w:cs="宋体"/>
          <w:color w:val="auto"/>
          <w:highlight w:val="none"/>
        </w:rPr>
      </w:pPr>
      <w:r>
        <w:rPr>
          <w:color w:val="auto"/>
          <w:highlight w:val="none"/>
        </w:rPr>
        <w:fldChar w:fldCharType="begin"/>
      </w:r>
      <w:r>
        <w:rPr>
          <w:color w:val="auto"/>
          <w:highlight w:val="none"/>
        </w:rPr>
        <w:instrText xml:space="preserve"> HYPERLINK \l "_Toc54278972" </w:instrText>
      </w:r>
      <w:r>
        <w:rPr>
          <w:color w:val="auto"/>
          <w:highlight w:val="none"/>
        </w:rPr>
        <w:fldChar w:fldCharType="separate"/>
      </w:r>
      <w:r>
        <w:rPr>
          <w:rStyle w:val="17"/>
          <w:rFonts w:hint="eastAsia" w:ascii="宋体" w:hAnsi="宋体" w:cs="宋体"/>
          <w:color w:val="auto"/>
          <w:highlight w:val="none"/>
        </w:rPr>
        <w:t>五、磋商保证金</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_Toc54278972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highlight w:val="none"/>
          <w:u w:val="single"/>
        </w:rPr>
      </w:pPr>
      <w:r>
        <w:rPr>
          <w:color w:val="auto"/>
          <w:highlight w:val="none"/>
        </w:rPr>
        <w:fldChar w:fldCharType="begin"/>
      </w:r>
      <w:r>
        <w:rPr>
          <w:color w:val="auto"/>
          <w:highlight w:val="none"/>
        </w:rPr>
        <w:instrText xml:space="preserve"> HYPERLINK \l "_Toc54278972" </w:instrText>
      </w:r>
      <w:r>
        <w:rPr>
          <w:color w:val="auto"/>
          <w:highlight w:val="none"/>
        </w:rPr>
        <w:fldChar w:fldCharType="separate"/>
      </w:r>
      <w:r>
        <w:rPr>
          <w:rStyle w:val="17"/>
          <w:rFonts w:hint="eastAsia" w:ascii="宋体" w:hAnsi="宋体" w:cs="宋体"/>
          <w:color w:val="auto"/>
          <w:highlight w:val="none"/>
        </w:rPr>
        <w:t>六、履约保证金</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_Toc54278972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"_Toc54278973" </w:instrText>
      </w:r>
      <w:r>
        <w:rPr>
          <w:color w:val="auto"/>
          <w:highlight w:val="none"/>
        </w:rPr>
        <w:fldChar w:fldCharType="separate"/>
      </w:r>
      <w:r>
        <w:rPr>
          <w:rStyle w:val="17"/>
          <w:rFonts w:hint="eastAsia" w:ascii="宋体" w:hAnsi="宋体" w:cs="宋体"/>
          <w:color w:val="auto"/>
          <w:highlight w:val="none"/>
        </w:rPr>
        <w:t>七、采购项目需落实的政府采购政策</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_Toc54278973 \h </w:instrText>
      </w:r>
      <w:r>
        <w:rPr>
          <w:rFonts w:hint="eastAsia" w:ascii="宋体" w:hAnsi="宋体" w:cs="宋体"/>
          <w:color w:val="auto"/>
          <w:highlight w:val="none"/>
        </w:rPr>
        <w:fldChar w:fldCharType="separate"/>
      </w:r>
      <w:r>
        <w:rPr>
          <w:rFonts w:hint="eastAsia" w:ascii="宋体" w:hAnsi="宋体" w:cs="宋体"/>
          <w:color w:val="auto"/>
          <w:highlight w:val="none"/>
        </w:rPr>
        <w:t>- 5 -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"_Toc54278974" </w:instrText>
      </w:r>
      <w:r>
        <w:rPr>
          <w:color w:val="auto"/>
          <w:highlight w:val="none"/>
        </w:rPr>
        <w:fldChar w:fldCharType="separate"/>
      </w:r>
      <w:r>
        <w:rPr>
          <w:rStyle w:val="17"/>
          <w:rFonts w:hint="eastAsia" w:ascii="宋体" w:hAnsi="宋体" w:cs="宋体"/>
          <w:color w:val="auto"/>
          <w:highlight w:val="none"/>
        </w:rPr>
        <w:t>八、其它有关规定</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_Toc54278974 \h </w:instrText>
      </w:r>
      <w:r>
        <w:rPr>
          <w:rFonts w:hint="eastAsia" w:ascii="宋体" w:hAnsi="宋体" w:cs="宋体"/>
          <w:color w:val="auto"/>
          <w:highlight w:val="none"/>
        </w:rPr>
        <w:fldChar w:fldCharType="separate"/>
      </w:r>
      <w:r>
        <w:rPr>
          <w:rFonts w:hint="eastAsia" w:ascii="宋体" w:hAnsi="宋体" w:cs="宋体"/>
          <w:color w:val="auto"/>
          <w:highlight w:val="none"/>
        </w:rPr>
        <w:t>- 6 -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"_Toc54278975" </w:instrText>
      </w:r>
      <w:r>
        <w:rPr>
          <w:color w:val="auto"/>
          <w:highlight w:val="none"/>
        </w:rPr>
        <w:fldChar w:fldCharType="separate"/>
      </w:r>
      <w:r>
        <w:rPr>
          <w:rStyle w:val="17"/>
          <w:rFonts w:hint="eastAsia" w:ascii="宋体" w:hAnsi="宋体" w:cs="宋体"/>
          <w:color w:val="auto"/>
          <w:highlight w:val="none"/>
        </w:rPr>
        <w:t>九、联系方式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_Toc54278975 \h </w:instrText>
      </w:r>
      <w:r>
        <w:rPr>
          <w:rFonts w:hint="eastAsia" w:ascii="宋体" w:hAnsi="宋体" w:cs="宋体"/>
          <w:color w:val="auto"/>
          <w:highlight w:val="none"/>
        </w:rPr>
        <w:fldChar w:fldCharType="separate"/>
      </w:r>
      <w:r>
        <w:rPr>
          <w:rFonts w:hint="eastAsia" w:ascii="宋体" w:hAnsi="宋体" w:cs="宋体"/>
          <w:color w:val="auto"/>
          <w:highlight w:val="none"/>
        </w:rPr>
        <w:t>- 7 -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2"/>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"_Toc54278977" </w:instrText>
      </w:r>
      <w:r>
        <w:rPr>
          <w:color w:val="auto"/>
          <w:highlight w:val="none"/>
        </w:rPr>
        <w:fldChar w:fldCharType="separate"/>
      </w:r>
      <w:r>
        <w:rPr>
          <w:rStyle w:val="17"/>
          <w:rFonts w:hint="eastAsia" w:ascii="宋体" w:hAnsi="宋体" w:cs="宋体"/>
          <w:color w:val="auto"/>
          <w:highlight w:val="none"/>
        </w:rPr>
        <w:t>第二篇  项目服务需求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_Toc54278977 \h </w:instrText>
      </w:r>
      <w:r>
        <w:rPr>
          <w:rFonts w:hint="eastAsia" w:ascii="宋体" w:hAnsi="宋体" w:cs="宋体"/>
          <w:color w:val="auto"/>
          <w:highlight w:val="none"/>
        </w:rPr>
        <w:fldChar w:fldCharType="separate"/>
      </w:r>
      <w:r>
        <w:rPr>
          <w:rFonts w:hint="eastAsia" w:ascii="宋体" w:hAnsi="宋体" w:cs="宋体"/>
          <w:color w:val="auto"/>
          <w:highlight w:val="none"/>
        </w:rPr>
        <w:t>- 8 -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"_Toc54278978" </w:instrText>
      </w:r>
      <w:r>
        <w:rPr>
          <w:color w:val="auto"/>
          <w:highlight w:val="none"/>
        </w:rPr>
        <w:fldChar w:fldCharType="separate"/>
      </w:r>
      <w:r>
        <w:rPr>
          <w:rStyle w:val="17"/>
          <w:rFonts w:hint="eastAsia" w:ascii="宋体" w:hAnsi="宋体" w:cs="宋体"/>
          <w:color w:val="auto"/>
          <w:highlight w:val="none"/>
        </w:rPr>
        <w:t>一、建设地点</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_Toc54278977 \h </w:instrText>
      </w:r>
      <w:r>
        <w:rPr>
          <w:rFonts w:hint="eastAsia" w:ascii="宋体" w:hAnsi="宋体" w:cs="宋体"/>
          <w:color w:val="auto"/>
          <w:highlight w:val="none"/>
        </w:rPr>
        <w:fldChar w:fldCharType="separate"/>
      </w:r>
      <w:r>
        <w:rPr>
          <w:rFonts w:hint="eastAsia" w:ascii="宋体" w:hAnsi="宋体" w:cs="宋体"/>
          <w:color w:val="auto"/>
          <w:highlight w:val="none"/>
        </w:rPr>
        <w:t>- 8 -</w:t>
      </w:r>
      <w:r>
        <w:rPr>
          <w:rFonts w:hint="eastAsia" w:ascii="宋体" w:hAnsi="宋体" w:cs="宋体"/>
          <w:color w:val="auto"/>
          <w:highlight w:val="none"/>
        </w:rPr>
        <w:fldChar w:fldCharType="end"/>
      </w:r>
      <w:r>
        <w:rPr>
          <w:rFonts w:hint="eastAsia" w:ascii="宋体" w:hAnsi="宋体" w:cs="宋体"/>
          <w:color w:val="auto"/>
          <w:highlight w:val="none"/>
        </w:rPr>
        <w:t xml:space="preserve"> </w:t>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"_Toc54278979" </w:instrText>
      </w:r>
      <w:r>
        <w:rPr>
          <w:color w:val="auto"/>
          <w:highlight w:val="none"/>
        </w:rPr>
        <w:fldChar w:fldCharType="separate"/>
      </w:r>
      <w:r>
        <w:rPr>
          <w:rStyle w:val="17"/>
          <w:rFonts w:hint="eastAsia" w:ascii="宋体" w:hAnsi="宋体" w:cs="宋体"/>
          <w:color w:val="auto"/>
          <w:highlight w:val="none"/>
        </w:rPr>
        <w:t>二、建设规模</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_Toc54278977 \h </w:instrText>
      </w:r>
      <w:r>
        <w:rPr>
          <w:rFonts w:hint="eastAsia" w:ascii="宋体" w:hAnsi="宋体" w:cs="宋体"/>
          <w:color w:val="auto"/>
          <w:highlight w:val="none"/>
        </w:rPr>
        <w:fldChar w:fldCharType="separate"/>
      </w:r>
      <w:r>
        <w:rPr>
          <w:rFonts w:hint="eastAsia" w:ascii="宋体" w:hAnsi="宋体" w:cs="宋体"/>
          <w:color w:val="auto"/>
          <w:highlight w:val="none"/>
        </w:rPr>
        <w:t>- 8 -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2"/>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"_Toc54278984" </w:instrText>
      </w:r>
      <w:r>
        <w:rPr>
          <w:color w:val="auto"/>
          <w:highlight w:val="none"/>
        </w:rPr>
        <w:fldChar w:fldCharType="separate"/>
      </w:r>
      <w:r>
        <w:rPr>
          <w:rStyle w:val="17"/>
          <w:rFonts w:hint="eastAsia" w:ascii="宋体" w:hAnsi="宋体" w:cs="宋体"/>
          <w:color w:val="auto"/>
          <w:highlight w:val="none"/>
        </w:rPr>
        <w:t>第三篇  项目商务需求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_Toc54278984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"_Toc54278985" </w:instrText>
      </w:r>
      <w:r>
        <w:rPr>
          <w:color w:val="auto"/>
          <w:highlight w:val="none"/>
        </w:rPr>
        <w:fldChar w:fldCharType="separate"/>
      </w:r>
      <w:r>
        <w:rPr>
          <w:rStyle w:val="17"/>
          <w:rFonts w:hint="eastAsia" w:ascii="宋体" w:hAnsi="宋体" w:cs="宋体"/>
          <w:color w:val="auto"/>
          <w:highlight w:val="none"/>
        </w:rPr>
        <w:t>一、服务期、地点及验收方式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_Toc54278985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"_Toc54278986" </w:instrText>
      </w:r>
      <w:r>
        <w:rPr>
          <w:color w:val="auto"/>
          <w:highlight w:val="none"/>
        </w:rPr>
        <w:fldChar w:fldCharType="separate"/>
      </w:r>
      <w:r>
        <w:rPr>
          <w:rStyle w:val="17"/>
          <w:rFonts w:hint="eastAsia" w:ascii="宋体" w:hAnsi="宋体" w:cs="宋体"/>
          <w:color w:val="auto"/>
          <w:highlight w:val="none"/>
        </w:rPr>
        <w:t>二、报价要求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_Toc54278986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"_Toc54278987" </w:instrText>
      </w:r>
      <w:r>
        <w:rPr>
          <w:color w:val="auto"/>
          <w:highlight w:val="none"/>
        </w:rPr>
        <w:fldChar w:fldCharType="separate"/>
      </w:r>
      <w:r>
        <w:rPr>
          <w:rStyle w:val="17"/>
          <w:rFonts w:hint="eastAsia" w:ascii="宋体" w:hAnsi="宋体" w:cs="宋体"/>
          <w:color w:val="auto"/>
          <w:highlight w:val="none"/>
        </w:rPr>
        <w:t>三、结算原则</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_Toc54278986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"_Toc54278988" </w:instrText>
      </w:r>
      <w:r>
        <w:rPr>
          <w:color w:val="auto"/>
          <w:highlight w:val="none"/>
        </w:rPr>
        <w:fldChar w:fldCharType="separate"/>
      </w:r>
      <w:r>
        <w:rPr>
          <w:rStyle w:val="17"/>
          <w:rFonts w:hint="eastAsia" w:ascii="宋体" w:hAnsi="宋体" w:cs="宋体"/>
          <w:color w:val="auto"/>
          <w:highlight w:val="none"/>
        </w:rPr>
        <w:t>四、付款方式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_Toc54278986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"_Toc54278989" </w:instrText>
      </w:r>
      <w:r>
        <w:rPr>
          <w:color w:val="auto"/>
          <w:highlight w:val="none"/>
        </w:rPr>
        <w:fldChar w:fldCharType="separate"/>
      </w:r>
      <w:r>
        <w:rPr>
          <w:rStyle w:val="17"/>
          <w:rFonts w:hint="eastAsia" w:ascii="宋体" w:hAnsi="宋体" w:cs="宋体"/>
          <w:color w:val="auto"/>
          <w:highlight w:val="none"/>
        </w:rPr>
        <w:t>五、知识产权</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_Toc54278986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"_Toc54278991" </w:instrText>
      </w:r>
      <w:r>
        <w:rPr>
          <w:color w:val="auto"/>
          <w:highlight w:val="none"/>
        </w:rPr>
        <w:fldChar w:fldCharType="separate"/>
      </w:r>
      <w:r>
        <w:rPr>
          <w:rStyle w:val="17"/>
          <w:rFonts w:hint="eastAsia" w:ascii="宋体" w:hAnsi="宋体" w:cs="宋体"/>
          <w:color w:val="auto"/>
          <w:highlight w:val="none"/>
        </w:rPr>
        <w:t>六、其他</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_Toc54278986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2"/>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"_Toc54278994" </w:instrText>
      </w:r>
      <w:r>
        <w:rPr>
          <w:color w:val="auto"/>
          <w:highlight w:val="none"/>
        </w:rPr>
        <w:fldChar w:fldCharType="separate"/>
      </w:r>
      <w:r>
        <w:rPr>
          <w:rStyle w:val="17"/>
          <w:rFonts w:hint="eastAsia" w:ascii="宋体" w:hAnsi="宋体" w:cs="宋体"/>
          <w:color w:val="auto"/>
          <w:highlight w:val="none"/>
        </w:rPr>
        <w:t>第四篇  磋商程序及方法、评审标准、无效响应和采购终止</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_Toc54278994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"_Toc54278995" </w:instrText>
      </w:r>
      <w:r>
        <w:rPr>
          <w:color w:val="auto"/>
          <w:highlight w:val="none"/>
        </w:rPr>
        <w:fldChar w:fldCharType="separate"/>
      </w:r>
      <w:r>
        <w:rPr>
          <w:rStyle w:val="17"/>
          <w:rFonts w:hint="eastAsia" w:ascii="宋体" w:hAnsi="宋体" w:cs="宋体"/>
          <w:color w:val="auto"/>
          <w:highlight w:val="none"/>
        </w:rPr>
        <w:t>一、磋商程序及方法</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_Toc54278995 \h </w:instrText>
      </w:r>
      <w:r>
        <w:rPr>
          <w:rFonts w:hint="eastAsia" w:ascii="宋体" w:hAnsi="宋体" w:cs="宋体"/>
          <w:color w:val="auto"/>
          <w:highlight w:val="none"/>
        </w:rPr>
        <w:fldChar w:fldCharType="separate"/>
      </w:r>
      <w:r>
        <w:rPr>
          <w:rFonts w:hint="eastAsia" w:ascii="宋体" w:hAnsi="宋体" w:cs="宋体"/>
          <w:color w:val="auto"/>
          <w:highlight w:val="none"/>
        </w:rPr>
        <w:t>- 12 -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"_Toc54278996" </w:instrText>
      </w:r>
      <w:r>
        <w:rPr>
          <w:color w:val="auto"/>
          <w:highlight w:val="none"/>
        </w:rPr>
        <w:fldChar w:fldCharType="separate"/>
      </w:r>
      <w:r>
        <w:rPr>
          <w:rStyle w:val="17"/>
          <w:rFonts w:hint="eastAsia" w:ascii="宋体" w:hAnsi="宋体" w:cs="宋体"/>
          <w:color w:val="auto"/>
          <w:highlight w:val="none"/>
        </w:rPr>
        <w:t>二、评审标准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_Toc54278996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"_Toc54278997" </w:instrText>
      </w:r>
      <w:r>
        <w:rPr>
          <w:color w:val="auto"/>
          <w:highlight w:val="none"/>
        </w:rPr>
        <w:fldChar w:fldCharType="separate"/>
      </w:r>
      <w:r>
        <w:rPr>
          <w:rStyle w:val="17"/>
          <w:rFonts w:hint="eastAsia" w:ascii="宋体" w:hAnsi="宋体" w:cs="宋体"/>
          <w:color w:val="auto"/>
          <w:highlight w:val="none"/>
        </w:rPr>
        <w:t>三、无效响应</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_Toc54278997 \h </w:instrText>
      </w:r>
      <w:r>
        <w:rPr>
          <w:rFonts w:hint="eastAsia" w:ascii="宋体" w:hAnsi="宋体" w:cs="宋体"/>
          <w:color w:val="auto"/>
          <w:highlight w:val="none"/>
        </w:rPr>
        <w:fldChar w:fldCharType="separate"/>
      </w:r>
      <w:r>
        <w:rPr>
          <w:rFonts w:hint="eastAsia" w:ascii="宋体" w:hAnsi="宋体" w:cs="宋体"/>
          <w:color w:val="auto"/>
          <w:highlight w:val="none"/>
        </w:rPr>
        <w:t>- 15 -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"_Toc54278998" </w:instrText>
      </w:r>
      <w:r>
        <w:rPr>
          <w:color w:val="auto"/>
          <w:highlight w:val="none"/>
        </w:rPr>
        <w:fldChar w:fldCharType="separate"/>
      </w:r>
      <w:r>
        <w:rPr>
          <w:rStyle w:val="17"/>
          <w:rFonts w:hint="eastAsia" w:ascii="宋体" w:hAnsi="宋体" w:cs="宋体"/>
          <w:color w:val="auto"/>
          <w:highlight w:val="none"/>
        </w:rPr>
        <w:t>四、采购终止</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- 15 -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2"/>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"_Toc54278999" </w:instrText>
      </w:r>
      <w:r>
        <w:rPr>
          <w:color w:val="auto"/>
          <w:highlight w:val="none"/>
        </w:rPr>
        <w:fldChar w:fldCharType="separate"/>
      </w:r>
      <w:r>
        <w:rPr>
          <w:rStyle w:val="17"/>
          <w:rFonts w:hint="eastAsia" w:ascii="宋体" w:hAnsi="宋体" w:cs="宋体"/>
          <w:color w:val="auto"/>
          <w:highlight w:val="none"/>
        </w:rPr>
        <w:t>第五篇  供应商须知</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_Toc54278999 \h </w:instrText>
      </w:r>
      <w:r>
        <w:rPr>
          <w:rFonts w:hint="eastAsia" w:ascii="宋体" w:hAnsi="宋体" w:cs="宋体"/>
          <w:color w:val="auto"/>
          <w:highlight w:val="none"/>
        </w:rPr>
        <w:fldChar w:fldCharType="separate"/>
      </w:r>
      <w:r>
        <w:rPr>
          <w:rFonts w:hint="eastAsia" w:ascii="宋体" w:hAnsi="宋体" w:cs="宋体"/>
          <w:color w:val="auto"/>
          <w:highlight w:val="none"/>
        </w:rPr>
        <w:t>- 17 -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"_Toc54279000" </w:instrText>
      </w:r>
      <w:r>
        <w:rPr>
          <w:color w:val="auto"/>
          <w:highlight w:val="none"/>
        </w:rPr>
        <w:fldChar w:fldCharType="separate"/>
      </w:r>
      <w:r>
        <w:rPr>
          <w:rStyle w:val="17"/>
          <w:rFonts w:hint="eastAsia" w:ascii="宋体" w:hAnsi="宋体" w:cs="宋体"/>
          <w:color w:val="auto"/>
          <w:highlight w:val="none"/>
        </w:rPr>
        <w:t>一、磋商费用</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_Toc54279000 \h </w:instrText>
      </w:r>
      <w:r>
        <w:rPr>
          <w:rFonts w:hint="eastAsia" w:ascii="宋体" w:hAnsi="宋体" w:cs="宋体"/>
          <w:color w:val="auto"/>
          <w:highlight w:val="none"/>
        </w:rPr>
        <w:fldChar w:fldCharType="separate"/>
      </w:r>
      <w:r>
        <w:rPr>
          <w:rFonts w:hint="eastAsia" w:ascii="宋体" w:hAnsi="宋体" w:cs="宋体"/>
          <w:color w:val="auto"/>
          <w:highlight w:val="none"/>
        </w:rPr>
        <w:t>- 17 -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"_Toc54279001" </w:instrText>
      </w:r>
      <w:r>
        <w:rPr>
          <w:color w:val="auto"/>
          <w:highlight w:val="none"/>
        </w:rPr>
        <w:fldChar w:fldCharType="separate"/>
      </w:r>
      <w:r>
        <w:rPr>
          <w:rStyle w:val="17"/>
          <w:rFonts w:hint="eastAsia" w:ascii="宋体" w:hAnsi="宋体" w:cs="宋体"/>
          <w:color w:val="auto"/>
          <w:highlight w:val="none"/>
        </w:rPr>
        <w:t>二、竞争性磋商文件</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_Toc54279001 \h </w:instrText>
      </w:r>
      <w:r>
        <w:rPr>
          <w:rFonts w:hint="eastAsia" w:ascii="宋体" w:hAnsi="宋体" w:cs="宋体"/>
          <w:color w:val="auto"/>
          <w:highlight w:val="none"/>
        </w:rPr>
        <w:fldChar w:fldCharType="separate"/>
      </w:r>
      <w:r>
        <w:rPr>
          <w:rFonts w:hint="eastAsia" w:ascii="宋体" w:hAnsi="宋体" w:cs="宋体"/>
          <w:color w:val="auto"/>
          <w:highlight w:val="none"/>
        </w:rPr>
        <w:t>- 17 -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"_Toc54279002" </w:instrText>
      </w:r>
      <w:r>
        <w:rPr>
          <w:color w:val="auto"/>
          <w:highlight w:val="none"/>
        </w:rPr>
        <w:fldChar w:fldCharType="separate"/>
      </w:r>
      <w:r>
        <w:rPr>
          <w:rStyle w:val="17"/>
          <w:rFonts w:hint="eastAsia" w:ascii="宋体" w:hAnsi="宋体" w:cs="宋体"/>
          <w:color w:val="auto"/>
          <w:highlight w:val="none"/>
        </w:rPr>
        <w:t>三、磋商要求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_Toc54279002 \h </w:instrText>
      </w:r>
      <w:r>
        <w:rPr>
          <w:rFonts w:hint="eastAsia" w:ascii="宋体" w:hAnsi="宋体" w:cs="宋体"/>
          <w:color w:val="auto"/>
          <w:highlight w:val="none"/>
        </w:rPr>
        <w:fldChar w:fldCharType="separate"/>
      </w:r>
      <w:r>
        <w:rPr>
          <w:rFonts w:hint="eastAsia" w:ascii="宋体" w:hAnsi="宋体" w:cs="宋体"/>
          <w:color w:val="auto"/>
          <w:highlight w:val="none"/>
        </w:rPr>
        <w:t>- 17 -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"_Toc54279003" </w:instrText>
      </w:r>
      <w:r>
        <w:rPr>
          <w:color w:val="auto"/>
          <w:highlight w:val="none"/>
        </w:rPr>
        <w:fldChar w:fldCharType="separate"/>
      </w:r>
      <w:r>
        <w:rPr>
          <w:rStyle w:val="17"/>
          <w:rFonts w:hint="eastAsia" w:ascii="宋体" w:hAnsi="宋体" w:cs="宋体"/>
          <w:color w:val="auto"/>
          <w:highlight w:val="none"/>
        </w:rPr>
        <w:t>四、成交供应商的确认和变更</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_Toc54279003 \h </w:instrText>
      </w:r>
      <w:r>
        <w:rPr>
          <w:rFonts w:hint="eastAsia" w:ascii="宋体" w:hAnsi="宋体" w:cs="宋体"/>
          <w:color w:val="auto"/>
          <w:highlight w:val="none"/>
        </w:rPr>
        <w:fldChar w:fldCharType="separate"/>
      </w:r>
      <w:r>
        <w:rPr>
          <w:rFonts w:hint="eastAsia" w:ascii="宋体" w:hAnsi="宋体" w:cs="宋体"/>
          <w:color w:val="auto"/>
          <w:highlight w:val="none"/>
        </w:rPr>
        <w:t>- 18 -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"_Toc54279004" </w:instrText>
      </w:r>
      <w:r>
        <w:rPr>
          <w:color w:val="auto"/>
          <w:highlight w:val="none"/>
        </w:rPr>
        <w:fldChar w:fldCharType="separate"/>
      </w:r>
      <w:r>
        <w:rPr>
          <w:rStyle w:val="17"/>
          <w:rFonts w:hint="eastAsia" w:ascii="宋体" w:hAnsi="宋体" w:cs="宋体"/>
          <w:color w:val="auto"/>
          <w:highlight w:val="none"/>
        </w:rPr>
        <w:t>五、成交通知</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_Toc54279004 \h </w:instrText>
      </w:r>
      <w:r>
        <w:rPr>
          <w:rFonts w:hint="eastAsia" w:ascii="宋体" w:hAnsi="宋体" w:cs="宋体"/>
          <w:color w:val="auto"/>
          <w:highlight w:val="none"/>
        </w:rPr>
        <w:fldChar w:fldCharType="separate"/>
      </w:r>
      <w:r>
        <w:rPr>
          <w:rFonts w:hint="eastAsia" w:ascii="宋体" w:hAnsi="宋体" w:cs="宋体"/>
          <w:color w:val="auto"/>
          <w:highlight w:val="none"/>
        </w:rPr>
        <w:t>- 18 -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"_Toc54279005" </w:instrText>
      </w:r>
      <w:r>
        <w:rPr>
          <w:color w:val="auto"/>
          <w:highlight w:val="none"/>
        </w:rPr>
        <w:fldChar w:fldCharType="separate"/>
      </w:r>
      <w:r>
        <w:rPr>
          <w:rStyle w:val="17"/>
          <w:rFonts w:hint="eastAsia" w:ascii="宋体" w:hAnsi="宋体" w:cs="宋体"/>
          <w:color w:val="auto"/>
          <w:highlight w:val="none"/>
        </w:rPr>
        <w:t>六、关于质疑和投诉</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_Toc54279005 \h </w:instrText>
      </w:r>
      <w:r>
        <w:rPr>
          <w:rFonts w:hint="eastAsia" w:ascii="宋体" w:hAnsi="宋体" w:cs="宋体"/>
          <w:color w:val="auto"/>
          <w:highlight w:val="none"/>
        </w:rPr>
        <w:fldChar w:fldCharType="separate"/>
      </w:r>
      <w:r>
        <w:rPr>
          <w:rFonts w:hint="eastAsia" w:ascii="宋体" w:hAnsi="宋体" w:cs="宋体"/>
          <w:color w:val="auto"/>
          <w:highlight w:val="none"/>
        </w:rPr>
        <w:t>- 19 -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"_Toc54279008" </w:instrText>
      </w:r>
      <w:r>
        <w:rPr>
          <w:color w:val="auto"/>
          <w:highlight w:val="none"/>
        </w:rPr>
        <w:fldChar w:fldCharType="separate"/>
      </w:r>
      <w:r>
        <w:rPr>
          <w:rStyle w:val="17"/>
          <w:rFonts w:hint="eastAsia" w:ascii="宋体" w:hAnsi="宋体" w:cs="宋体"/>
          <w:color w:val="auto"/>
          <w:highlight w:val="none"/>
        </w:rPr>
        <w:t>七、签订合同</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_Toc54279008 \h </w:instrText>
      </w:r>
      <w:r>
        <w:rPr>
          <w:rFonts w:hint="eastAsia" w:ascii="宋体" w:hAnsi="宋体" w:cs="宋体"/>
          <w:color w:val="auto"/>
          <w:highlight w:val="none"/>
        </w:rPr>
        <w:fldChar w:fldCharType="separate"/>
      </w:r>
      <w:r>
        <w:rPr>
          <w:rFonts w:hint="eastAsia" w:ascii="宋体" w:hAnsi="宋体" w:cs="宋体"/>
          <w:color w:val="auto"/>
          <w:highlight w:val="none"/>
        </w:rPr>
        <w:t>- 20 -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"_Toc54279009" </w:instrText>
      </w:r>
      <w:r>
        <w:rPr>
          <w:color w:val="auto"/>
          <w:highlight w:val="none"/>
        </w:rPr>
        <w:fldChar w:fldCharType="separate"/>
      </w:r>
      <w:r>
        <w:rPr>
          <w:rStyle w:val="17"/>
          <w:rFonts w:hint="eastAsia" w:ascii="宋体" w:hAnsi="宋体" w:cs="宋体"/>
          <w:color w:val="auto"/>
          <w:highlight w:val="none"/>
        </w:rPr>
        <w:t>八、政府采购信用融资</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_Toc54279009 \h </w:instrText>
      </w:r>
      <w:r>
        <w:rPr>
          <w:rFonts w:hint="eastAsia" w:ascii="宋体" w:hAnsi="宋体" w:cs="宋体"/>
          <w:color w:val="auto"/>
          <w:highlight w:val="none"/>
        </w:rPr>
        <w:fldChar w:fldCharType="separate"/>
      </w:r>
      <w:r>
        <w:rPr>
          <w:rFonts w:hint="eastAsia" w:ascii="宋体" w:hAnsi="宋体" w:cs="宋体"/>
          <w:color w:val="auto"/>
          <w:highlight w:val="none"/>
        </w:rPr>
        <w:t>- 21 -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2"/>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"_Toc54279010" </w:instrText>
      </w:r>
      <w:r>
        <w:rPr>
          <w:color w:val="auto"/>
          <w:highlight w:val="none"/>
        </w:rPr>
        <w:fldChar w:fldCharType="separate"/>
      </w:r>
      <w:r>
        <w:rPr>
          <w:rStyle w:val="17"/>
          <w:rFonts w:hint="eastAsia" w:ascii="宋体" w:hAnsi="宋体" w:cs="宋体"/>
          <w:color w:val="auto"/>
          <w:highlight w:val="none"/>
        </w:rPr>
        <w:t>第六篇  政府采购合同</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_Toc54279010 \h </w:instrText>
      </w:r>
      <w:r>
        <w:rPr>
          <w:rFonts w:hint="eastAsia" w:ascii="宋体" w:hAnsi="宋体" w:cs="宋体"/>
          <w:color w:val="auto"/>
          <w:highlight w:val="none"/>
        </w:rPr>
        <w:fldChar w:fldCharType="separate"/>
      </w:r>
      <w:r>
        <w:rPr>
          <w:rFonts w:hint="eastAsia" w:ascii="宋体" w:hAnsi="宋体" w:cs="宋体"/>
          <w:color w:val="auto"/>
          <w:highlight w:val="none"/>
        </w:rPr>
        <w:t>- 22 -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2"/>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"_Toc54279011" </w:instrText>
      </w:r>
      <w:r>
        <w:rPr>
          <w:color w:val="auto"/>
          <w:highlight w:val="none"/>
        </w:rPr>
        <w:fldChar w:fldCharType="separate"/>
      </w:r>
      <w:r>
        <w:rPr>
          <w:rStyle w:val="17"/>
          <w:rFonts w:hint="eastAsia" w:ascii="宋体" w:hAnsi="宋体" w:cs="宋体"/>
          <w:color w:val="auto"/>
          <w:highlight w:val="none"/>
        </w:rPr>
        <w:t>第七篇  响应文件编制要求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_Toc54279011 \h </w:instrText>
      </w:r>
      <w:r>
        <w:rPr>
          <w:rFonts w:hint="eastAsia" w:ascii="宋体" w:hAnsi="宋体" w:cs="宋体"/>
          <w:color w:val="auto"/>
          <w:highlight w:val="none"/>
        </w:rPr>
        <w:fldChar w:fldCharType="separate"/>
      </w:r>
      <w:r>
        <w:rPr>
          <w:rFonts w:hint="eastAsia" w:ascii="宋体" w:hAnsi="宋体" w:cs="宋体"/>
          <w:color w:val="auto"/>
          <w:highlight w:val="none"/>
        </w:rPr>
        <w:t>- 23 -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"_Toc54279012" </w:instrText>
      </w:r>
      <w:r>
        <w:rPr>
          <w:color w:val="auto"/>
          <w:highlight w:val="none"/>
        </w:rPr>
        <w:fldChar w:fldCharType="separate"/>
      </w:r>
      <w:r>
        <w:rPr>
          <w:rStyle w:val="17"/>
          <w:rFonts w:hint="eastAsia" w:ascii="宋体" w:hAnsi="宋体" w:cs="宋体"/>
          <w:color w:val="auto"/>
          <w:highlight w:val="none"/>
        </w:rPr>
        <w:t>一、经济部分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_Toc54279012 \h </w:instrText>
      </w:r>
      <w:r>
        <w:rPr>
          <w:rFonts w:hint="eastAsia" w:ascii="宋体" w:hAnsi="宋体" w:cs="宋体"/>
          <w:color w:val="auto"/>
          <w:highlight w:val="none"/>
        </w:rPr>
        <w:fldChar w:fldCharType="separate"/>
      </w:r>
      <w:r>
        <w:rPr>
          <w:rFonts w:hint="eastAsia" w:ascii="宋体" w:hAnsi="宋体" w:cs="宋体"/>
          <w:color w:val="auto"/>
          <w:highlight w:val="none"/>
        </w:rPr>
        <w:t>- 24 -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"_Toc54279013" </w:instrText>
      </w:r>
      <w:r>
        <w:rPr>
          <w:color w:val="auto"/>
          <w:highlight w:val="none"/>
        </w:rPr>
        <w:fldChar w:fldCharType="separate"/>
      </w:r>
      <w:r>
        <w:rPr>
          <w:rStyle w:val="17"/>
          <w:rFonts w:hint="eastAsia" w:ascii="宋体" w:hAnsi="宋体" w:cs="宋体"/>
          <w:color w:val="auto"/>
          <w:highlight w:val="none"/>
        </w:rPr>
        <w:t>二、服务部分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_Toc54279013 \h </w:instrText>
      </w:r>
      <w:r>
        <w:rPr>
          <w:rFonts w:hint="eastAsia" w:ascii="宋体" w:hAnsi="宋体" w:cs="宋体"/>
          <w:color w:val="auto"/>
          <w:highlight w:val="none"/>
        </w:rPr>
        <w:fldChar w:fldCharType="separate"/>
      </w:r>
      <w:r>
        <w:rPr>
          <w:rFonts w:hint="eastAsia" w:ascii="宋体" w:hAnsi="宋体" w:cs="宋体"/>
          <w:color w:val="auto"/>
          <w:highlight w:val="none"/>
        </w:rPr>
        <w:t>- 24 -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"_Toc54279014" </w:instrText>
      </w:r>
      <w:r>
        <w:rPr>
          <w:color w:val="auto"/>
          <w:highlight w:val="none"/>
        </w:rPr>
        <w:fldChar w:fldCharType="separate"/>
      </w:r>
      <w:r>
        <w:rPr>
          <w:rStyle w:val="17"/>
          <w:rFonts w:hint="eastAsia" w:ascii="宋体" w:hAnsi="宋体" w:cs="宋体"/>
          <w:color w:val="auto"/>
          <w:highlight w:val="none"/>
        </w:rPr>
        <w:t>三、商务部分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_Toc54279014 \h </w:instrText>
      </w:r>
      <w:r>
        <w:rPr>
          <w:rFonts w:hint="eastAsia" w:ascii="宋体" w:hAnsi="宋体" w:cs="宋体"/>
          <w:color w:val="auto"/>
          <w:highlight w:val="none"/>
        </w:rPr>
        <w:fldChar w:fldCharType="separate"/>
      </w:r>
      <w:r>
        <w:rPr>
          <w:rFonts w:hint="eastAsia" w:ascii="宋体" w:hAnsi="宋体" w:cs="宋体"/>
          <w:color w:val="auto"/>
          <w:highlight w:val="none"/>
        </w:rPr>
        <w:t>- 27 -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"_Toc54279015" </w:instrText>
      </w:r>
      <w:r>
        <w:rPr>
          <w:color w:val="auto"/>
          <w:highlight w:val="none"/>
        </w:rPr>
        <w:fldChar w:fldCharType="separate"/>
      </w:r>
      <w:r>
        <w:rPr>
          <w:rStyle w:val="17"/>
          <w:rFonts w:hint="eastAsia" w:ascii="宋体" w:hAnsi="宋体" w:cs="宋体"/>
          <w:color w:val="auto"/>
          <w:highlight w:val="none"/>
        </w:rPr>
        <w:t>四、资格条件及其他</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_Toc54279015 \h </w:instrText>
      </w:r>
      <w:r>
        <w:rPr>
          <w:rFonts w:hint="eastAsia" w:ascii="宋体" w:hAnsi="宋体" w:cs="宋体"/>
          <w:color w:val="auto"/>
          <w:highlight w:val="none"/>
        </w:rPr>
        <w:fldChar w:fldCharType="separate"/>
      </w:r>
      <w:r>
        <w:rPr>
          <w:rFonts w:hint="eastAsia" w:ascii="宋体" w:hAnsi="宋体" w:cs="宋体"/>
          <w:color w:val="auto"/>
          <w:highlight w:val="none"/>
        </w:rPr>
        <w:t>- 29 -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6"/>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"_Toc54279016" </w:instrText>
      </w:r>
      <w:r>
        <w:rPr>
          <w:color w:val="auto"/>
          <w:highlight w:val="none"/>
        </w:rPr>
        <w:fldChar w:fldCharType="separate"/>
      </w:r>
      <w:r>
        <w:rPr>
          <w:rStyle w:val="17"/>
          <w:rFonts w:hint="eastAsia" w:ascii="宋体" w:hAnsi="宋体" w:cs="宋体"/>
          <w:color w:val="auto"/>
          <w:highlight w:val="none"/>
        </w:rPr>
        <w:t>五、其他资料</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_Toc54279016 \h </w:instrText>
      </w:r>
      <w:r>
        <w:rPr>
          <w:rFonts w:hint="eastAsia" w:ascii="宋体" w:hAnsi="宋体" w:cs="宋体"/>
          <w:color w:val="auto"/>
          <w:highlight w:val="none"/>
        </w:rPr>
        <w:fldChar w:fldCharType="separate"/>
      </w:r>
      <w:r>
        <w:rPr>
          <w:rFonts w:hint="eastAsia" w:ascii="宋体" w:hAnsi="宋体" w:cs="宋体"/>
          <w:color w:val="auto"/>
          <w:highlight w:val="none"/>
        </w:rPr>
        <w:t>- 35 -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2"/>
        <w:tabs>
          <w:tab w:val="right" w:leader="dot" w:pos="9402"/>
        </w:tabs>
        <w:spacing w:line="480" w:lineRule="exact"/>
        <w:ind w:left="560"/>
        <w:jc w:val="center"/>
        <w:rPr>
          <w:rFonts w:ascii="宋体" w:hAnsi="宋体" w:cs="宋体"/>
          <w:color w:val="auto"/>
          <w:sz w:val="18"/>
          <w:szCs w:val="22"/>
          <w:highlight w:val="none"/>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color w:val="auto"/>
          <w:szCs w:val="21"/>
          <w:highlight w:val="none"/>
        </w:rPr>
        <w:fldChar w:fldCharType="end"/>
      </w:r>
    </w:p>
    <w:p>
      <w:pPr>
        <w:pStyle w:val="3"/>
        <w:spacing w:line="360" w:lineRule="auto"/>
        <w:jc w:val="center"/>
        <w:rPr>
          <w:rFonts w:ascii="宋体" w:hAnsi="宋体" w:eastAsia="宋体" w:cs="宋体"/>
          <w:b w:val="0"/>
          <w:color w:val="auto"/>
          <w:szCs w:val="30"/>
          <w:highlight w:val="none"/>
        </w:rPr>
      </w:pPr>
      <w:bookmarkStart w:id="0" w:name="_Toc12789052"/>
      <w:bookmarkStart w:id="1" w:name="_Toc54278968"/>
      <w:bookmarkStart w:id="2" w:name="_Toc11641050"/>
      <w:r>
        <w:rPr>
          <w:rFonts w:hint="eastAsia" w:ascii="宋体" w:hAnsi="宋体" w:eastAsia="宋体" w:cs="宋体"/>
          <w:b w:val="0"/>
          <w:color w:val="auto"/>
          <w:sz w:val="36"/>
          <w:szCs w:val="30"/>
          <w:highlight w:val="none"/>
        </w:rPr>
        <w:t>第一篇  采购邀请书</w:t>
      </w:r>
      <w:bookmarkEnd w:id="0"/>
      <w:bookmarkEnd w:id="1"/>
      <w:bookmarkEnd w:id="2"/>
    </w:p>
    <w:p>
      <w:pPr>
        <w:snapToGrid w:val="0"/>
        <w:spacing w:line="360" w:lineRule="auto"/>
        <w:ind w:firstLine="480" w:firstLineChars="200"/>
        <w:rPr>
          <w:rFonts w:ascii="宋体" w:hAnsi="宋体" w:cs="宋体"/>
          <w:color w:val="auto"/>
          <w:sz w:val="24"/>
          <w:szCs w:val="24"/>
          <w:highlight w:val="none"/>
        </w:rPr>
      </w:pPr>
    </w:p>
    <w:p>
      <w:pPr>
        <w:pStyle w:val="2"/>
        <w:spacing w:line="360" w:lineRule="auto"/>
        <w:rPr>
          <w:rFonts w:ascii="宋体" w:hAnsi="宋体" w:cs="宋体"/>
          <w:color w:val="auto"/>
          <w:sz w:val="24"/>
          <w:szCs w:val="24"/>
          <w:highlight w:val="none"/>
        </w:rPr>
      </w:pPr>
      <w:bookmarkStart w:id="3" w:name="_Toc313893526"/>
      <w:bookmarkStart w:id="4" w:name="_Toc54278969"/>
      <w:bookmarkStart w:id="5" w:name="_Toc317775175"/>
      <w:r>
        <w:rPr>
          <w:rFonts w:hint="eastAsia" w:ascii="宋体" w:hAnsi="宋体" w:cs="宋体"/>
          <w:color w:val="auto"/>
          <w:sz w:val="24"/>
          <w:szCs w:val="24"/>
          <w:highlight w:val="none"/>
        </w:rPr>
        <w:t>一、竞争性磋商内容</w:t>
      </w:r>
      <w:bookmarkEnd w:id="3"/>
      <w:bookmarkEnd w:id="4"/>
      <w:bookmarkEnd w:id="5"/>
    </w:p>
    <w:tbl>
      <w:tblPr>
        <w:tblStyle w:val="14"/>
        <w:tblW w:w="95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7"/>
        <w:gridCol w:w="1719"/>
        <w:gridCol w:w="1720"/>
        <w:gridCol w:w="1389"/>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037"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color w:val="auto"/>
                <w:kern w:val="0"/>
                <w:sz w:val="21"/>
                <w:szCs w:val="24"/>
                <w:highlight w:val="none"/>
              </w:rPr>
            </w:pPr>
            <w:r>
              <w:rPr>
                <w:rFonts w:hint="eastAsia" w:ascii="宋体" w:hAnsi="宋体" w:cs="宋体"/>
                <w:b/>
                <w:bCs/>
                <w:color w:val="auto"/>
                <w:kern w:val="0"/>
                <w:sz w:val="21"/>
                <w:szCs w:val="24"/>
                <w:highlight w:val="none"/>
              </w:rPr>
              <w:t>项目名称</w:t>
            </w:r>
          </w:p>
        </w:tc>
        <w:tc>
          <w:tcPr>
            <w:tcW w:w="1719"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b/>
                <w:bCs/>
                <w:color w:val="auto"/>
                <w:kern w:val="0"/>
                <w:sz w:val="21"/>
                <w:szCs w:val="24"/>
                <w:highlight w:val="none"/>
                <w:lang w:eastAsia="zh-CN"/>
              </w:rPr>
            </w:pPr>
            <w:r>
              <w:rPr>
                <w:rFonts w:hint="eastAsia" w:ascii="宋体" w:hAnsi="宋体" w:cs="宋体"/>
                <w:b/>
                <w:bCs/>
                <w:color w:val="auto"/>
                <w:kern w:val="0"/>
                <w:sz w:val="21"/>
                <w:szCs w:val="24"/>
                <w:highlight w:val="none"/>
              </w:rPr>
              <w:t>最高限价比例</w:t>
            </w:r>
            <w:r>
              <w:rPr>
                <w:rFonts w:hint="eastAsia" w:ascii="宋体" w:hAnsi="宋体" w:cs="宋体"/>
                <w:b/>
                <w:bCs/>
                <w:color w:val="auto"/>
                <w:kern w:val="0"/>
                <w:sz w:val="21"/>
                <w:szCs w:val="24"/>
                <w:highlight w:val="none"/>
                <w:lang w:eastAsia="zh-CN"/>
              </w:rPr>
              <w:t>（</w:t>
            </w:r>
            <w:r>
              <w:rPr>
                <w:rFonts w:hint="eastAsia" w:ascii="宋体" w:hAnsi="宋体" w:cs="宋体"/>
                <w:b/>
                <w:bCs/>
                <w:color w:val="auto"/>
                <w:kern w:val="0"/>
                <w:sz w:val="21"/>
                <w:szCs w:val="24"/>
                <w:highlight w:val="none"/>
                <w:lang w:val="en-US" w:eastAsia="zh-CN"/>
              </w:rPr>
              <w:t>%</w:t>
            </w:r>
            <w:r>
              <w:rPr>
                <w:rFonts w:hint="eastAsia" w:ascii="宋体" w:hAnsi="宋体" w:cs="宋体"/>
                <w:b/>
                <w:bCs/>
                <w:color w:val="auto"/>
                <w:kern w:val="0"/>
                <w:sz w:val="21"/>
                <w:szCs w:val="24"/>
                <w:highlight w:val="none"/>
                <w:lang w:eastAsia="zh-CN"/>
              </w:rPr>
              <w:t>）</w:t>
            </w:r>
          </w:p>
        </w:tc>
        <w:tc>
          <w:tcPr>
            <w:tcW w:w="1720"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highlight w:val="none"/>
              </w:rPr>
            </w:pPr>
            <w:r>
              <w:rPr>
                <w:rFonts w:hint="eastAsia" w:ascii="宋体" w:hAnsi="宋体" w:cs="宋体"/>
                <w:b/>
                <w:bCs/>
                <w:color w:val="auto"/>
                <w:kern w:val="0"/>
                <w:sz w:val="21"/>
                <w:szCs w:val="24"/>
                <w:highlight w:val="none"/>
              </w:rPr>
              <w:t>最高限价（元）</w:t>
            </w:r>
          </w:p>
        </w:tc>
        <w:tc>
          <w:tcPr>
            <w:tcW w:w="1389"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highlight w:val="none"/>
              </w:rPr>
            </w:pPr>
            <w:r>
              <w:rPr>
                <w:rFonts w:hint="eastAsia" w:ascii="宋体" w:hAnsi="宋体" w:cs="宋体"/>
                <w:b/>
                <w:bCs/>
                <w:color w:val="auto"/>
                <w:kern w:val="0"/>
                <w:sz w:val="21"/>
                <w:szCs w:val="24"/>
                <w:highlight w:val="none"/>
              </w:rPr>
              <w:t>成交供应商数量（名）</w:t>
            </w:r>
          </w:p>
        </w:tc>
        <w:tc>
          <w:tcPr>
            <w:tcW w:w="1697"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highlight w:val="none"/>
              </w:rPr>
            </w:pPr>
            <w:r>
              <w:rPr>
                <w:rFonts w:hint="eastAsia" w:ascii="宋体" w:hAnsi="宋体" w:cs="宋体"/>
                <w:b/>
                <w:bCs/>
                <w:color w:val="auto"/>
                <w:kern w:val="0"/>
                <w:sz w:val="21"/>
                <w:szCs w:val="24"/>
                <w:highlight w:val="none"/>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3037"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color w:val="auto"/>
                <w:kern w:val="0"/>
                <w:sz w:val="21"/>
                <w:szCs w:val="24"/>
                <w:highlight w:val="none"/>
              </w:rPr>
            </w:pPr>
            <w:bookmarkStart w:id="6" w:name="_Hlk344477914"/>
            <w:r>
              <w:rPr>
                <w:rFonts w:hint="eastAsia" w:ascii="宋体" w:hAnsi="宋体" w:cs="宋体"/>
                <w:color w:val="auto"/>
                <w:sz w:val="24"/>
                <w:szCs w:val="24"/>
                <w:highlight w:val="none"/>
              </w:rPr>
              <w:t>重庆小面体验中心二期项目全过程造价控制采购</w:t>
            </w:r>
          </w:p>
        </w:tc>
        <w:tc>
          <w:tcPr>
            <w:tcW w:w="1719"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70</w:t>
            </w:r>
            <w:r>
              <w:rPr>
                <w:rFonts w:hint="eastAsia" w:ascii="宋体" w:hAnsi="宋体" w:cs="宋体"/>
                <w:color w:val="auto"/>
                <w:sz w:val="24"/>
                <w:szCs w:val="24"/>
                <w:highlight w:val="none"/>
              </w:rPr>
              <w:t xml:space="preserve"> </w:t>
            </w:r>
          </w:p>
        </w:tc>
        <w:tc>
          <w:tcPr>
            <w:tcW w:w="1720"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color w:val="auto"/>
                <w:sz w:val="24"/>
                <w:szCs w:val="24"/>
                <w:highlight w:val="none"/>
              </w:rPr>
            </w:pPr>
            <w:r>
              <w:rPr>
                <w:rFonts w:hint="eastAsia" w:ascii="宋体" w:hAnsi="宋体" w:cs="宋体"/>
                <w:b/>
                <w:bCs/>
                <w:color w:val="auto"/>
                <w:sz w:val="24"/>
                <w:szCs w:val="24"/>
                <w:highlight w:val="none"/>
              </w:rPr>
              <w:t>322700</w:t>
            </w:r>
          </w:p>
        </w:tc>
        <w:tc>
          <w:tcPr>
            <w:tcW w:w="1389"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color w:val="auto"/>
                <w:kern w:val="0"/>
                <w:sz w:val="21"/>
                <w:szCs w:val="24"/>
                <w:highlight w:val="none"/>
              </w:rPr>
            </w:pPr>
            <w:r>
              <w:rPr>
                <w:rFonts w:hint="eastAsia" w:ascii="宋体" w:hAnsi="宋体" w:cs="宋体"/>
                <w:color w:val="auto"/>
                <w:sz w:val="24"/>
                <w:szCs w:val="24"/>
                <w:highlight w:val="none"/>
              </w:rPr>
              <w:t>1</w:t>
            </w:r>
          </w:p>
        </w:tc>
        <w:tc>
          <w:tcPr>
            <w:tcW w:w="1697" w:type="dxa"/>
            <w:tcBorders>
              <w:top w:val="single" w:color="auto" w:sz="4" w:space="0"/>
              <w:left w:val="single" w:color="auto" w:sz="4" w:space="0"/>
              <w:right w:val="single" w:color="auto" w:sz="4" w:space="0"/>
            </w:tcBorders>
            <w:noWrap/>
            <w:vAlign w:val="center"/>
          </w:tcPr>
          <w:p>
            <w:pPr>
              <w:spacing w:line="360" w:lineRule="auto"/>
              <w:jc w:val="both"/>
              <w:rPr>
                <w:rFonts w:hint="eastAsia" w:ascii="宋体" w:hAnsi="宋体" w:eastAsia="宋体" w:cs="宋体"/>
                <w:b/>
                <w:bCs/>
                <w:color w:val="auto"/>
                <w:kern w:val="0"/>
                <w:sz w:val="21"/>
                <w:szCs w:val="24"/>
                <w:highlight w:val="none"/>
                <w:lang w:val="en-US" w:eastAsia="zh-CN"/>
              </w:rPr>
            </w:pPr>
            <w:r>
              <w:rPr>
                <w:rFonts w:hint="eastAsia" w:ascii="宋体" w:hAnsi="宋体" w:eastAsia="宋体" w:cs="宋体"/>
                <w:b/>
                <w:bCs/>
                <w:color w:val="auto"/>
                <w:kern w:val="0"/>
                <w:sz w:val="21"/>
                <w:szCs w:val="24"/>
                <w:highlight w:val="none"/>
                <w:lang w:val="en-US" w:eastAsia="zh-CN"/>
              </w:rPr>
              <w:t>其他未列明行业</w:t>
            </w:r>
          </w:p>
        </w:tc>
      </w:tr>
      <w:bookmarkEnd w:id="6"/>
    </w:tbl>
    <w:p>
      <w:pPr>
        <w:pStyle w:val="2"/>
        <w:spacing w:line="360" w:lineRule="auto"/>
        <w:rPr>
          <w:rFonts w:ascii="宋体" w:hAnsi="宋体" w:cs="宋体"/>
          <w:color w:val="auto"/>
          <w:sz w:val="24"/>
          <w:szCs w:val="24"/>
          <w:highlight w:val="none"/>
        </w:rPr>
      </w:pPr>
      <w:bookmarkStart w:id="7" w:name="_Toc54278970"/>
      <w:bookmarkStart w:id="8" w:name="_Toc373860293"/>
      <w:bookmarkStart w:id="9" w:name="_Toc317775178"/>
      <w:r>
        <w:rPr>
          <w:rFonts w:hint="eastAsia" w:ascii="宋体" w:hAnsi="宋体" w:cs="宋体"/>
          <w:color w:val="auto"/>
          <w:sz w:val="24"/>
          <w:szCs w:val="24"/>
          <w:highlight w:val="none"/>
        </w:rPr>
        <w:t>二、资金来源</w:t>
      </w:r>
      <w:bookmarkEnd w:id="7"/>
    </w:p>
    <w:p>
      <w:pPr>
        <w:pStyle w:val="2"/>
        <w:spacing w:line="360" w:lineRule="auto"/>
        <w:ind w:firstLine="480" w:firstLineChars="200"/>
        <w:rPr>
          <w:rFonts w:ascii="宋体" w:hAnsi="宋体" w:cs="宋体"/>
          <w:b w:val="0"/>
          <w:bCs/>
          <w:color w:val="auto"/>
          <w:sz w:val="24"/>
          <w:szCs w:val="24"/>
          <w:highlight w:val="none"/>
        </w:rPr>
      </w:pPr>
      <w:bookmarkStart w:id="10" w:name="_Toc54278971"/>
      <w:r>
        <w:rPr>
          <w:rFonts w:hint="eastAsia" w:ascii="宋体" w:hAnsi="宋体" w:cs="宋体"/>
          <w:b w:val="0"/>
          <w:bCs/>
          <w:color w:val="auto"/>
          <w:sz w:val="24"/>
          <w:szCs w:val="24"/>
          <w:highlight w:val="none"/>
        </w:rPr>
        <w:t>财政资金。</w:t>
      </w:r>
    </w:p>
    <w:p>
      <w:pPr>
        <w:pStyle w:val="2"/>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三、供应商资格条件</w:t>
      </w:r>
      <w:bookmarkEnd w:id="1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（一）基本资格条件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1.具有独立承担民事责任的能力；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2.具有良好的商业信誉和健全的财务会计制度；</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3.具有履行合同所必需的设备和专业技术能力；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4.有依法缴纳税收和社会保障资金的良好记录；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5.参加政府采购活动前三年内，在经营活动中没有重大违法记录；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6.法律、行政法规规定的其他条件。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（二）特定资格条件</w:t>
      </w:r>
    </w:p>
    <w:p>
      <w:pPr>
        <w:pStyle w:val="2"/>
        <w:spacing w:line="360" w:lineRule="auto"/>
        <w:ind w:firstLine="720" w:firstLineChars="300"/>
        <w:rPr>
          <w:rFonts w:ascii="宋体" w:hAnsi="宋体" w:cs="宋体"/>
          <w:b w:val="0"/>
          <w:color w:val="auto"/>
          <w:sz w:val="24"/>
          <w:szCs w:val="24"/>
          <w:highlight w:val="none"/>
        </w:rPr>
      </w:pPr>
      <w:bookmarkStart w:id="11" w:name="_Toc54278972"/>
      <w:r>
        <w:rPr>
          <w:rFonts w:hint="eastAsia" w:ascii="宋体" w:hAnsi="宋体" w:cs="宋体"/>
          <w:b w:val="0"/>
          <w:color w:val="auto"/>
          <w:sz w:val="24"/>
          <w:szCs w:val="24"/>
          <w:highlight w:val="none"/>
        </w:rPr>
        <w:t>无</w:t>
      </w:r>
    </w:p>
    <w:p>
      <w:pPr>
        <w:pStyle w:val="2"/>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四、磋商有关说明</w:t>
      </w:r>
      <w:bookmarkEnd w:id="8"/>
      <w:bookmarkEnd w:id="1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w:t>
      </w:r>
      <w:r>
        <w:rPr>
          <w:rFonts w:hint="eastAsia" w:ascii="宋体" w:hAnsi="宋体" w:cs="宋体"/>
          <w:b/>
          <w:color w:val="auto"/>
          <w:sz w:val="24"/>
          <w:szCs w:val="24"/>
          <w:highlight w:val="none"/>
        </w:rPr>
        <w:t>根据《重庆市财政局关于印发〈重庆市政府采购供应商注册及诚信管理暂行办法〉的通知》（渝财采购〔2015〕45号）规定，应按要求进行注册，通过重庆市政府采购网（www.ccgp-chongqing.gov.cn），登记加入“重庆市政府采购供应商库”。</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（二）凡有意参加磋商的供应商，请于公告发布之日（2023年</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（三）竞争性磋商公告期限：自采购公告发布之日（2023年</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日）起三个工作日。</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（四）竞标人须满足以下三种要件，其响应文件才被接受：</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1、按磋商文件要求缴纳了竞标保证金；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2、按时递交了响应文件；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3、按时报名签到。</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（五）递交响应文件地点：重庆建桥实业发展有限公司接标处（重庆市大渡口区田西路中冶熙城商街1号楼1楼）</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（六）响应文件递交时间：2023年</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13</w:t>
      </w:r>
      <w:r>
        <w:rPr>
          <w:rFonts w:hint="eastAsia" w:ascii="宋体" w:hAnsi="宋体" w:cs="宋体"/>
          <w:color w:val="auto"/>
          <w:sz w:val="24"/>
          <w:szCs w:val="24"/>
          <w:highlight w:val="none"/>
        </w:rPr>
        <w:t>日北京时间14：00-14:30</w:t>
      </w:r>
    </w:p>
    <w:p>
      <w:pPr>
        <w:spacing w:line="360" w:lineRule="auto"/>
        <w:ind w:firstLine="1200" w:firstLineChars="500"/>
        <w:rPr>
          <w:rFonts w:ascii="宋体" w:hAnsi="宋体" w:cs="宋体"/>
          <w:color w:val="auto"/>
          <w:sz w:val="24"/>
          <w:szCs w:val="24"/>
          <w:highlight w:val="none"/>
        </w:rPr>
      </w:pPr>
      <w:r>
        <w:rPr>
          <w:rFonts w:hint="eastAsia" w:ascii="宋体" w:hAnsi="宋体" w:cs="宋体"/>
          <w:color w:val="auto"/>
          <w:sz w:val="24"/>
          <w:szCs w:val="24"/>
          <w:highlight w:val="none"/>
        </w:rPr>
        <w:t>截止时间：2023年</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13</w:t>
      </w:r>
      <w:r>
        <w:rPr>
          <w:rFonts w:hint="eastAsia" w:ascii="宋体" w:hAnsi="宋体" w:cs="宋体"/>
          <w:color w:val="auto"/>
          <w:sz w:val="24"/>
          <w:szCs w:val="24"/>
          <w:highlight w:val="none"/>
        </w:rPr>
        <w:t>日北京时间1</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:30</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（七）磋商开始时间：2023年</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13</w:t>
      </w:r>
      <w:r>
        <w:rPr>
          <w:rFonts w:hint="eastAsia" w:ascii="宋体" w:hAnsi="宋体" w:cs="宋体"/>
          <w:color w:val="auto"/>
          <w:sz w:val="24"/>
          <w:szCs w:val="24"/>
          <w:highlight w:val="none"/>
        </w:rPr>
        <w:t>日北京时间14:30</w:t>
      </w:r>
    </w:p>
    <w:p>
      <w:pPr>
        <w:pStyle w:val="2"/>
        <w:spacing w:line="360" w:lineRule="auto"/>
        <w:rPr>
          <w:rFonts w:ascii="宋体" w:hAnsi="宋体" w:cs="宋体"/>
          <w:color w:val="auto"/>
          <w:sz w:val="24"/>
          <w:szCs w:val="24"/>
          <w:highlight w:val="none"/>
        </w:rPr>
      </w:pPr>
      <w:bookmarkStart w:id="12" w:name="_Toc373860294"/>
      <w:bookmarkStart w:id="13" w:name="_Toc54278973"/>
      <w:r>
        <w:rPr>
          <w:rFonts w:hint="eastAsia" w:ascii="宋体" w:hAnsi="宋体" w:cs="宋体"/>
          <w:color w:val="auto"/>
          <w:sz w:val="24"/>
          <w:szCs w:val="24"/>
          <w:highlight w:val="none"/>
        </w:rPr>
        <w:t>五、磋商保证金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（一）保证金递交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1、竞标保证金交款形式及要求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竞标人从单位</w:t>
      </w:r>
      <w:r>
        <w:rPr>
          <w:rFonts w:hint="eastAsia" w:ascii="宋体" w:hAnsi="宋体" w:cs="宋体"/>
          <w:b/>
          <w:color w:val="auto"/>
          <w:sz w:val="24"/>
          <w:szCs w:val="24"/>
          <w:highlight w:val="none"/>
          <w:u w:val="single"/>
        </w:rPr>
        <w:t>基本银行账户</w:t>
      </w:r>
      <w:r>
        <w:rPr>
          <w:rFonts w:hint="eastAsia" w:ascii="宋体" w:hAnsi="宋体" w:cs="宋体"/>
          <w:color w:val="auto"/>
          <w:sz w:val="24"/>
          <w:szCs w:val="24"/>
          <w:highlight w:val="none"/>
        </w:rPr>
        <w:t>在</w:t>
      </w:r>
      <w:r>
        <w:rPr>
          <w:rFonts w:hint="eastAsia" w:ascii="宋体" w:hAnsi="宋体" w:cs="宋体"/>
          <w:b/>
          <w:color w:val="auto"/>
          <w:sz w:val="24"/>
          <w:szCs w:val="24"/>
          <w:highlight w:val="none"/>
          <w:u w:val="single"/>
        </w:rPr>
        <w:t>2023年</w:t>
      </w:r>
      <w:r>
        <w:rPr>
          <w:rFonts w:hint="eastAsia" w:ascii="宋体" w:hAnsi="宋体" w:cs="宋体"/>
          <w:b/>
          <w:color w:val="auto"/>
          <w:sz w:val="24"/>
          <w:szCs w:val="24"/>
          <w:highlight w:val="none"/>
          <w:u w:val="single"/>
          <w:lang w:val="en-US" w:eastAsia="zh-CN"/>
        </w:rPr>
        <w:t>10</w:t>
      </w:r>
      <w:r>
        <w:rPr>
          <w:rFonts w:hint="eastAsia" w:ascii="宋体" w:hAnsi="宋体" w:cs="宋体"/>
          <w:b/>
          <w:color w:val="auto"/>
          <w:sz w:val="24"/>
          <w:szCs w:val="24"/>
          <w:highlight w:val="none"/>
          <w:u w:val="single"/>
        </w:rPr>
        <w:t>月</w:t>
      </w:r>
      <w:r>
        <w:rPr>
          <w:rFonts w:hint="eastAsia" w:ascii="宋体" w:hAnsi="宋体" w:cs="宋体"/>
          <w:b/>
          <w:color w:val="auto"/>
          <w:sz w:val="24"/>
          <w:szCs w:val="24"/>
          <w:highlight w:val="none"/>
          <w:u w:val="single"/>
          <w:lang w:val="en-US" w:eastAsia="zh-CN"/>
        </w:rPr>
        <w:t>12</w:t>
      </w:r>
      <w:r>
        <w:rPr>
          <w:rFonts w:hint="eastAsia" w:ascii="宋体" w:hAnsi="宋体" w:cs="宋体"/>
          <w:b/>
          <w:color w:val="auto"/>
          <w:sz w:val="24"/>
          <w:szCs w:val="24"/>
          <w:highlight w:val="none"/>
          <w:u w:val="single"/>
        </w:rPr>
        <w:t>日17时30分（北京时间）前</w:t>
      </w:r>
      <w:r>
        <w:rPr>
          <w:rFonts w:hint="eastAsia" w:ascii="宋体" w:hAnsi="宋体" w:cs="宋体"/>
          <w:color w:val="auto"/>
          <w:sz w:val="24"/>
          <w:szCs w:val="24"/>
          <w:highlight w:val="none"/>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color w:val="auto"/>
          <w:sz w:val="24"/>
          <w:szCs w:val="24"/>
          <w:highlight w:val="none"/>
          <w:u w:val="single"/>
        </w:rPr>
      </w:pPr>
      <w:r>
        <w:rPr>
          <w:rFonts w:hint="eastAsia" w:ascii="宋体" w:hAnsi="宋体" w:cs="宋体"/>
          <w:color w:val="auto"/>
          <w:sz w:val="24"/>
          <w:szCs w:val="24"/>
          <w:highlight w:val="none"/>
        </w:rPr>
        <w:t>2、</w:t>
      </w:r>
      <w:r>
        <w:rPr>
          <w:rFonts w:hint="eastAsia" w:ascii="宋体" w:hAnsi="宋体" w:cs="宋体"/>
          <w:b/>
          <w:color w:val="auto"/>
          <w:sz w:val="24"/>
          <w:szCs w:val="24"/>
          <w:highlight w:val="none"/>
          <w:u w:val="single"/>
        </w:rPr>
        <w:t>竞标保证金的金额：人民币5000元（大写：伍仟元整）。</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3、竞标保证金有效期等同竞标有效期。</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4、未在指定时间内到账的竞标保证金为无效竞标保证金，当场退还其响应文件。</w:t>
      </w:r>
    </w:p>
    <w:p>
      <w:pPr>
        <w:spacing w:line="360" w:lineRule="auto"/>
        <w:ind w:firstLine="480" w:firstLineChars="200"/>
        <w:rPr>
          <w:color w:val="auto"/>
          <w:highlight w:val="none"/>
        </w:rPr>
      </w:pPr>
      <w:r>
        <w:rPr>
          <w:rFonts w:hint="eastAsia" w:ascii="宋体" w:hAnsi="宋体" w:cs="宋体"/>
          <w:color w:val="auto"/>
          <w:sz w:val="24"/>
          <w:szCs w:val="24"/>
          <w:highlight w:val="none"/>
        </w:rPr>
        <w:t>5、竞标人应将单位基本银行账户的开户许可证（或银行盖章的基本账户证明材料）和竞标保证金进账凭据带至现场查验(以上资料原件备验)。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（二）保证金退还方式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如因竞标人自身原因，竞标保证金未缴入本项目专用账户导致的竞标保证金退还延迟，由竞标人自行负责。</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保证金联系人：肖老师；      咨询电话：023-68955002</w:t>
      </w:r>
    </w:p>
    <w:p>
      <w:pPr>
        <w:pStyle w:val="2"/>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六、履约保证金</w:t>
      </w:r>
    </w:p>
    <w:p>
      <w:pPr>
        <w:pStyle w:val="2"/>
        <w:spacing w:line="360" w:lineRule="auto"/>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无</w:t>
      </w:r>
    </w:p>
    <w:p>
      <w:pPr>
        <w:pStyle w:val="2"/>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七、</w:t>
      </w:r>
      <w:bookmarkEnd w:id="9"/>
      <w:bookmarkEnd w:id="12"/>
      <w:bookmarkStart w:id="14" w:name="_Toc480466698"/>
      <w:bookmarkStart w:id="15" w:name="_Toc479668114"/>
      <w:r>
        <w:rPr>
          <w:rFonts w:hint="eastAsia" w:ascii="宋体" w:hAnsi="宋体" w:cs="宋体"/>
          <w:color w:val="auto"/>
          <w:sz w:val="24"/>
          <w:szCs w:val="24"/>
          <w:highlight w:val="none"/>
        </w:rPr>
        <w:t>采购项目需落实的政府采购政策</w:t>
      </w:r>
      <w:bookmarkEnd w:id="13"/>
      <w:bookmarkEnd w:id="14"/>
      <w:bookmarkEnd w:id="15"/>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（四）按照《三部门联合发布关于促进残疾人就业政府采购政策的通知》（财库〔2017〕 141号）的规定，落实支持残疾人福利性单位发展政策。</w:t>
      </w:r>
    </w:p>
    <w:p>
      <w:pPr>
        <w:pStyle w:val="2"/>
        <w:spacing w:line="360" w:lineRule="auto"/>
        <w:rPr>
          <w:rFonts w:ascii="宋体" w:hAnsi="宋体" w:cs="宋体"/>
          <w:color w:val="auto"/>
          <w:sz w:val="24"/>
          <w:szCs w:val="24"/>
          <w:highlight w:val="none"/>
        </w:rPr>
      </w:pPr>
      <w:bookmarkStart w:id="16" w:name="_Toc480466699"/>
      <w:bookmarkStart w:id="17" w:name="_Toc54278974"/>
      <w:r>
        <w:rPr>
          <w:rFonts w:hint="eastAsia" w:ascii="宋体" w:hAnsi="宋体" w:cs="宋体"/>
          <w:color w:val="auto"/>
          <w:sz w:val="24"/>
          <w:szCs w:val="24"/>
          <w:highlight w:val="none"/>
        </w:rPr>
        <w:t>八、其它有关规定</w:t>
      </w:r>
      <w:bookmarkEnd w:id="16"/>
      <w:bookmarkEnd w:id="17"/>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（四）超过响应文件截止时间递交的响应文件，恕不接收。</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（五）磋商费用：无论磋商结果如何，供应商参与本项目磋商的所有费用均应由供应商自行承担。</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（六）</w:t>
      </w:r>
      <w:r>
        <w:rPr>
          <w:rFonts w:hint="eastAsia" w:ascii="宋体" w:hAnsi="宋体" w:cs="宋体"/>
          <w:b/>
          <w:color w:val="auto"/>
          <w:sz w:val="24"/>
          <w:szCs w:val="24"/>
          <w:highlight w:val="none"/>
        </w:rPr>
        <w:t>本项目不接受联合体参与磋商。</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（七）</w:t>
      </w:r>
      <w:bookmarkStart w:id="18" w:name="_Toc480466700"/>
      <w:r>
        <w:rPr>
          <w:rFonts w:hint="eastAsia" w:ascii="宋体" w:hAnsi="宋体" w:cs="宋体"/>
          <w:color w:val="auto"/>
          <w:sz w:val="24"/>
          <w:szCs w:val="24"/>
          <w:highlight w:val="none"/>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2"/>
        <w:spacing w:line="360" w:lineRule="auto"/>
        <w:rPr>
          <w:rFonts w:ascii="宋体" w:hAnsi="宋体" w:cs="宋体"/>
          <w:color w:val="auto"/>
          <w:sz w:val="24"/>
          <w:szCs w:val="24"/>
          <w:highlight w:val="none"/>
        </w:rPr>
      </w:pPr>
      <w:bookmarkStart w:id="19" w:name="_Toc54278975"/>
      <w:r>
        <w:rPr>
          <w:rFonts w:hint="eastAsia" w:ascii="宋体" w:hAnsi="宋体" w:cs="宋体"/>
          <w:color w:val="auto"/>
          <w:sz w:val="24"/>
          <w:szCs w:val="24"/>
          <w:highlight w:val="none"/>
        </w:rPr>
        <w:t>九、联系方式</w:t>
      </w:r>
      <w:bookmarkEnd w:id="18"/>
      <w:bookmarkEnd w:id="19"/>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采购人：重庆建桥实业发展有限公司</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联系人：肖老师</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电  话：023-68955002</w:t>
      </w:r>
      <w:bookmarkStart w:id="20" w:name="_Toc54278977"/>
    </w:p>
    <w:p>
      <w:pPr>
        <w:pStyle w:val="3"/>
        <w:spacing w:line="360" w:lineRule="auto"/>
        <w:rPr>
          <w:rFonts w:ascii="宋体" w:hAnsi="宋体" w:eastAsia="宋体" w:cs="宋体"/>
          <w:b w:val="0"/>
          <w:color w:val="auto"/>
          <w:sz w:val="36"/>
          <w:szCs w:val="30"/>
          <w:highlight w:val="none"/>
        </w:rPr>
      </w:pPr>
    </w:p>
    <w:p>
      <w:pPr>
        <w:rPr>
          <w:rFonts w:ascii="宋体" w:hAnsi="宋体" w:cs="宋体"/>
          <w:color w:val="auto"/>
          <w:sz w:val="36"/>
          <w:szCs w:val="30"/>
          <w:highlight w:val="none"/>
        </w:rPr>
      </w:pPr>
    </w:p>
    <w:p>
      <w:pPr>
        <w:pStyle w:val="2"/>
        <w:rPr>
          <w:rFonts w:ascii="宋体" w:hAnsi="宋体" w:cs="宋体"/>
          <w:b w:val="0"/>
          <w:color w:val="auto"/>
          <w:sz w:val="36"/>
          <w:szCs w:val="30"/>
          <w:highlight w:val="none"/>
        </w:rPr>
      </w:pPr>
    </w:p>
    <w:p>
      <w:pPr>
        <w:rPr>
          <w:rFonts w:ascii="宋体" w:hAnsi="宋体" w:cs="宋体"/>
          <w:color w:val="auto"/>
          <w:sz w:val="36"/>
          <w:szCs w:val="30"/>
          <w:highlight w:val="none"/>
        </w:rPr>
      </w:pPr>
    </w:p>
    <w:p>
      <w:pPr>
        <w:pStyle w:val="2"/>
        <w:rPr>
          <w:rFonts w:ascii="宋体" w:hAnsi="宋体" w:cs="宋体"/>
          <w:b w:val="0"/>
          <w:color w:val="auto"/>
          <w:sz w:val="36"/>
          <w:szCs w:val="30"/>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rFonts w:hint="eastAsia"/>
          <w:color w:val="auto"/>
          <w:highlight w:val="none"/>
        </w:rPr>
      </w:pPr>
    </w:p>
    <w:p>
      <w:pPr>
        <w:pStyle w:val="5"/>
        <w:rPr>
          <w:rFonts w:hint="eastAsia"/>
          <w:color w:val="auto"/>
          <w:highlight w:val="none"/>
        </w:rPr>
      </w:pPr>
    </w:p>
    <w:p>
      <w:pPr>
        <w:rPr>
          <w:rFonts w:hint="eastAsia"/>
          <w:color w:val="auto"/>
          <w:highlight w:val="none"/>
        </w:rPr>
      </w:pPr>
    </w:p>
    <w:p>
      <w:pPr>
        <w:pStyle w:val="5"/>
        <w:rPr>
          <w:rFonts w:hint="eastAsia"/>
          <w:color w:val="auto"/>
          <w:highlight w:val="none"/>
        </w:rPr>
      </w:pPr>
    </w:p>
    <w:p>
      <w:pPr>
        <w:rPr>
          <w:rFonts w:hint="eastAsia"/>
          <w:color w:val="auto"/>
          <w:highlight w:val="none"/>
        </w:rPr>
      </w:pPr>
    </w:p>
    <w:p>
      <w:pPr>
        <w:pStyle w:val="5"/>
        <w:rPr>
          <w:rFonts w:hint="eastAsia"/>
          <w:color w:val="auto"/>
          <w:highlight w:val="none"/>
        </w:rPr>
      </w:pPr>
    </w:p>
    <w:p>
      <w:pPr>
        <w:rPr>
          <w:rFonts w:hint="eastAsia"/>
          <w:color w:val="auto"/>
          <w:highlight w:val="none"/>
        </w:rPr>
      </w:pPr>
    </w:p>
    <w:p>
      <w:pPr>
        <w:pStyle w:val="5"/>
        <w:rPr>
          <w:rFonts w:hint="eastAsia"/>
          <w:color w:val="auto"/>
          <w:highlight w:val="none"/>
        </w:rPr>
      </w:pPr>
    </w:p>
    <w:p>
      <w:pPr>
        <w:rPr>
          <w:rFonts w:hint="eastAsia"/>
          <w:color w:val="auto"/>
          <w:highlight w:val="none"/>
        </w:rPr>
      </w:pPr>
    </w:p>
    <w:p>
      <w:pPr>
        <w:pStyle w:val="5"/>
        <w:rPr>
          <w:rFonts w:hint="eastAsia"/>
          <w:color w:val="auto"/>
          <w:highlight w:val="none"/>
        </w:rPr>
      </w:pPr>
    </w:p>
    <w:p>
      <w:pPr>
        <w:rPr>
          <w:rFonts w:hint="eastAsia"/>
          <w:color w:val="auto"/>
          <w:highlight w:val="none"/>
        </w:rPr>
      </w:pPr>
    </w:p>
    <w:p>
      <w:pPr>
        <w:pStyle w:val="5"/>
        <w:rPr>
          <w:rFonts w:hint="eastAsia"/>
          <w:color w:val="auto"/>
          <w:highlight w:val="none"/>
        </w:rPr>
      </w:pPr>
    </w:p>
    <w:p>
      <w:pPr>
        <w:rPr>
          <w:rFonts w:hint="eastAsia"/>
          <w:color w:val="auto"/>
          <w:highlight w:val="none"/>
        </w:rPr>
      </w:pPr>
    </w:p>
    <w:p>
      <w:pPr>
        <w:pStyle w:val="5"/>
        <w:rPr>
          <w:rFonts w:hint="eastAsia"/>
          <w:color w:val="auto"/>
          <w:highlight w:val="none"/>
        </w:rPr>
      </w:pPr>
    </w:p>
    <w:p>
      <w:pPr>
        <w:rPr>
          <w:rFonts w:hint="eastAsia"/>
          <w:color w:val="auto"/>
          <w:highlight w:val="none"/>
        </w:rPr>
      </w:pPr>
    </w:p>
    <w:p>
      <w:pPr>
        <w:pStyle w:val="5"/>
        <w:rPr>
          <w:rFonts w:hint="eastAsia"/>
          <w:color w:val="auto"/>
          <w:highlight w:val="none"/>
        </w:rPr>
      </w:pPr>
    </w:p>
    <w:p>
      <w:pPr>
        <w:rPr>
          <w:rFonts w:hint="eastAsia"/>
          <w:color w:val="auto"/>
          <w:highlight w:val="none"/>
        </w:rPr>
      </w:pPr>
    </w:p>
    <w:p>
      <w:pPr>
        <w:pStyle w:val="5"/>
        <w:rPr>
          <w:rFonts w:hint="eastAsia"/>
          <w:color w:val="auto"/>
          <w:highlight w:val="none"/>
        </w:rPr>
      </w:pPr>
    </w:p>
    <w:p>
      <w:pPr>
        <w:rPr>
          <w:rFonts w:hint="eastAsia"/>
          <w:color w:val="auto"/>
          <w:highlight w:val="none"/>
        </w:rPr>
      </w:pPr>
    </w:p>
    <w:p>
      <w:pPr>
        <w:pStyle w:val="5"/>
        <w:rPr>
          <w:color w:val="auto"/>
          <w:highlight w:val="none"/>
        </w:rPr>
      </w:pPr>
    </w:p>
    <w:p>
      <w:pPr>
        <w:pStyle w:val="3"/>
        <w:spacing w:line="360" w:lineRule="auto"/>
        <w:jc w:val="both"/>
        <w:rPr>
          <w:rFonts w:hint="eastAsia" w:ascii="宋体" w:hAnsi="宋体" w:eastAsia="宋体" w:cs="宋体"/>
          <w:b w:val="0"/>
          <w:color w:val="auto"/>
          <w:sz w:val="36"/>
          <w:szCs w:val="30"/>
          <w:highlight w:val="none"/>
        </w:rPr>
      </w:pPr>
    </w:p>
    <w:p>
      <w:pPr>
        <w:pStyle w:val="3"/>
        <w:spacing w:line="360" w:lineRule="auto"/>
        <w:jc w:val="center"/>
        <w:rPr>
          <w:rFonts w:ascii="宋体" w:hAnsi="宋体" w:eastAsia="宋体" w:cs="宋体"/>
          <w:b w:val="0"/>
          <w:color w:val="auto"/>
          <w:sz w:val="30"/>
          <w:szCs w:val="30"/>
          <w:highlight w:val="none"/>
        </w:rPr>
      </w:pPr>
      <w:r>
        <w:rPr>
          <w:rFonts w:hint="eastAsia" w:ascii="宋体" w:hAnsi="宋体" w:eastAsia="宋体" w:cs="宋体"/>
          <w:b w:val="0"/>
          <w:color w:val="auto"/>
          <w:sz w:val="36"/>
          <w:szCs w:val="30"/>
          <w:highlight w:val="none"/>
        </w:rPr>
        <w:t>第二篇  项目服务需求</w:t>
      </w:r>
      <w:bookmarkEnd w:id="20"/>
    </w:p>
    <w:p>
      <w:pPr>
        <w:spacing w:line="360" w:lineRule="auto"/>
        <w:ind w:firstLine="482" w:firstLineChars="200"/>
        <w:rPr>
          <w:rFonts w:ascii="宋体" w:hAnsi="宋体" w:cs="宋体"/>
          <w:b/>
          <w:bCs/>
          <w:color w:val="auto"/>
          <w:sz w:val="24"/>
          <w:szCs w:val="24"/>
          <w:highlight w:val="none"/>
        </w:rPr>
      </w:pPr>
      <w:bookmarkStart w:id="21" w:name="_Toc12789058"/>
      <w:r>
        <w:rPr>
          <w:rFonts w:hint="eastAsia" w:ascii="宋体" w:hAnsi="宋体" w:cs="宋体"/>
          <w:b/>
          <w:bCs/>
          <w:color w:val="auto"/>
          <w:sz w:val="24"/>
          <w:szCs w:val="24"/>
          <w:highlight w:val="none"/>
        </w:rPr>
        <w:t>1.建设地点：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大渡口跳磴镇。</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2.建设规模：</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重庆小面体验中心项目，位于“金鳌田园”综合体基础设施建设项目内的“五彩梯田”旁(跳磴镇石盘村8社)，占地面积约18亩，建筑总面积约6870㎡，建筑结构为钢混结构，建成后兼具小面文化展览、旅游配套、住宿餐饮、服务接待等多种功能，项目估算建安总投资约7900万元，资金来源为专项债资金。项目分两期进行建设，一期包含一栋建筑，建筑面积约700㎡，投资约900万元，现已建成投用；本次拟实施招标的项目二期建筑面积约6100㎡。</w:t>
      </w:r>
    </w:p>
    <w:p>
      <w:pPr>
        <w:pStyle w:val="5"/>
        <w:rPr>
          <w:rFonts w:hint="eastAsia"/>
          <w:color w:val="auto"/>
          <w:highlight w:val="none"/>
        </w:rPr>
      </w:pPr>
      <w:r>
        <w:rPr>
          <w:rFonts w:hint="eastAsia"/>
          <w:color w:val="auto"/>
          <w:highlight w:val="none"/>
        </w:rPr>
        <w:t xml:space="preserve"> </w:t>
      </w:r>
      <w:r>
        <w:rPr>
          <w:rFonts w:hint="eastAsia" w:ascii="宋体" w:hAnsi="宋体" w:cs="宋体"/>
          <w:b/>
          <w:bCs/>
          <w:color w:val="auto"/>
          <w:sz w:val="24"/>
          <w:szCs w:val="24"/>
          <w:highlight w:val="none"/>
        </w:rPr>
        <w:t xml:space="preserve">  3.工作内容</w:t>
      </w:r>
    </w:p>
    <w:p>
      <w:pPr>
        <w:pStyle w:val="9"/>
        <w:spacing w:line="360"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t>按照本项目的全过程的建设实施阶段、竣工结算及验收移交阶段实施全过程造价控制。包含但不限于:工程量清单复核、施工方案的经济评价、设计变更的经济分析、参与施工阶段的现场计量、现场签证、新增项目的价格审核及评价、建筑材料认（审）价、工程进度款审核、专业分包造价控制、工程竣工图确认、提供工程索赔和反索赔咨询、有关工程造价信息及法规等咨询、完工后的结算审核等与造价控制有关的其他服务工作，并出具正式咨询报告。</w:t>
      </w:r>
    </w:p>
    <w:p>
      <w:pPr>
        <w:autoSpaceDE w:val="0"/>
        <w:autoSpaceDN w:val="0"/>
        <w:spacing w:line="360" w:lineRule="auto"/>
        <w:ind w:firstLine="480"/>
        <w:rPr>
          <w:rFonts w:ascii="宋体" w:hAnsi="宋体" w:cs="宋体"/>
          <w:b/>
          <w:bCs/>
          <w:color w:val="auto"/>
          <w:sz w:val="24"/>
          <w:szCs w:val="24"/>
          <w:highlight w:val="none"/>
        </w:rPr>
      </w:pPr>
      <w:r>
        <w:rPr>
          <w:rFonts w:hint="eastAsia" w:ascii="宋体" w:hAnsi="宋体" w:cs="宋体"/>
          <w:b/>
          <w:bCs/>
          <w:color w:val="auto"/>
          <w:sz w:val="24"/>
          <w:szCs w:val="24"/>
          <w:highlight w:val="none"/>
        </w:rPr>
        <w:t>4.主要人员要求：</w:t>
      </w:r>
    </w:p>
    <w:p>
      <w:pPr>
        <w:pStyle w:val="9"/>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（1）项目负责人（1人）</w:t>
      </w:r>
    </w:p>
    <w:p>
      <w:pPr>
        <w:pStyle w:val="9"/>
        <w:spacing w:line="360" w:lineRule="auto"/>
        <w:ind w:firstLine="600" w:firstLineChars="250"/>
        <w:rPr>
          <w:rFonts w:ascii="宋体" w:hAnsi="宋体" w:cs="宋体"/>
          <w:color w:val="auto"/>
          <w:sz w:val="24"/>
          <w:szCs w:val="24"/>
          <w:highlight w:val="none"/>
        </w:rPr>
      </w:pPr>
      <w:bookmarkStart w:id="22" w:name="_Toc54278984"/>
      <w:r>
        <w:rPr>
          <w:rFonts w:hint="eastAsia" w:ascii="宋体" w:hAnsi="宋体" w:cs="宋体"/>
          <w:color w:val="auto"/>
          <w:sz w:val="24"/>
          <w:szCs w:val="24"/>
          <w:highlight w:val="none"/>
        </w:rPr>
        <w:t>具备造价员证书或二级及以上造价师执业资格（土木建筑工程专业）。</w:t>
      </w:r>
    </w:p>
    <w:p>
      <w:pPr>
        <w:pStyle w:val="9"/>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（提供人员执业资格证书或造价员证书、身份证复印件或扫描件以及竞标人为其连续缴纳的2023年3月-2023年8月的养老保险证明，并加盖竞标人单位公章）</w:t>
      </w:r>
    </w:p>
    <w:p>
      <w:pPr>
        <w:pStyle w:val="9"/>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（2）其他造价人员（</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名）：具备造价员证书或二级及以上造价师执业资格。</w:t>
      </w:r>
    </w:p>
    <w:p>
      <w:pPr>
        <w:pStyle w:val="9"/>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（提供人员执业资格证书或造价员证书、身份证复印件或扫描件以及竞标人为其连续缴纳的2023年3月-2023年8月的养老保险证明，并加盖竞标人单位公章）</w:t>
      </w:r>
    </w:p>
    <w:p>
      <w:pPr>
        <w:pStyle w:val="9"/>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5.业绩要求：</w:t>
      </w:r>
    </w:p>
    <w:p>
      <w:pPr>
        <w:pStyle w:val="9"/>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2020年1月1日至投标截止之日止（以合同签订时间为准），竞标人具有造价咨询业绩至少1个。</w:t>
      </w:r>
    </w:p>
    <w:p>
      <w:pPr>
        <w:pStyle w:val="9"/>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注：竞标人须提供业绩合同复印件并加盖单位公章。</w:t>
      </w:r>
    </w:p>
    <w:p>
      <w:pPr>
        <w:autoSpaceDE w:val="0"/>
        <w:autoSpaceDN w:val="0"/>
        <w:spacing w:line="360" w:lineRule="auto"/>
        <w:ind w:firstLine="480"/>
        <w:rPr>
          <w:rFonts w:ascii="宋体" w:hAnsi="宋体" w:cs="宋体"/>
          <w:b/>
          <w:bCs/>
          <w:color w:val="auto"/>
          <w:sz w:val="24"/>
          <w:szCs w:val="24"/>
          <w:highlight w:val="none"/>
        </w:rPr>
      </w:pPr>
      <w:r>
        <w:rPr>
          <w:rFonts w:hint="eastAsia" w:ascii="宋体" w:hAnsi="宋体" w:cs="宋体"/>
          <w:b/>
          <w:bCs/>
          <w:color w:val="auto"/>
          <w:sz w:val="24"/>
          <w:szCs w:val="24"/>
          <w:highlight w:val="none"/>
        </w:rPr>
        <w:t>6.违约责任</w:t>
      </w:r>
    </w:p>
    <w:p>
      <w:pPr>
        <w:pStyle w:val="9"/>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咨询方不得将工程的咨询任务进行挂靠、转包或分包，如经发现，委托方将取消本工程咨询资格，并赔偿因此对委托方造成一切经济损失。</w:t>
      </w:r>
    </w:p>
    <w:p>
      <w:pPr>
        <w:pStyle w:val="9"/>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咨询方</w:t>
      </w:r>
      <w:r>
        <w:rPr>
          <w:rFonts w:hint="eastAsia" w:ascii="宋体" w:hAnsi="宋体" w:cs="宋体"/>
          <w:color w:val="auto"/>
          <w:sz w:val="24"/>
          <w:szCs w:val="24"/>
          <w:highlight w:val="none"/>
        </w:rPr>
        <w:t>投标承诺</w:t>
      </w:r>
      <w:r>
        <w:rPr>
          <w:rFonts w:ascii="宋体" w:hAnsi="宋体" w:cs="宋体"/>
          <w:color w:val="auto"/>
          <w:sz w:val="24"/>
          <w:szCs w:val="24"/>
          <w:highlight w:val="none"/>
        </w:rPr>
        <w:t>的</w:t>
      </w:r>
      <w:r>
        <w:rPr>
          <w:rFonts w:hint="eastAsia" w:ascii="宋体" w:hAnsi="宋体" w:cs="宋体"/>
          <w:color w:val="auto"/>
          <w:sz w:val="24"/>
          <w:szCs w:val="24"/>
          <w:highlight w:val="none"/>
        </w:rPr>
        <w:t>项目</w:t>
      </w:r>
      <w:r>
        <w:rPr>
          <w:rFonts w:ascii="宋体" w:hAnsi="宋体" w:cs="宋体"/>
          <w:color w:val="auto"/>
          <w:sz w:val="24"/>
          <w:szCs w:val="24"/>
          <w:highlight w:val="none"/>
        </w:rPr>
        <w:t>负责人及其专业人员不得随意更换，若确需变更咨询人员的，须经委托人审核同意后方能变更人员；且拟变更人员的职称、执业资格等资质均不得低于招标文件要求（在商务部分有加分得利的需同时满足），且调整人员的比例不得超过投标文件承诺的人员数量的</w:t>
      </w:r>
      <w:r>
        <w:rPr>
          <w:rFonts w:hint="eastAsia" w:ascii="宋体" w:hAnsi="宋体" w:cs="宋体"/>
          <w:color w:val="auto"/>
          <w:sz w:val="24"/>
          <w:szCs w:val="24"/>
          <w:highlight w:val="none"/>
          <w:lang w:val="en-US" w:eastAsia="zh-CN"/>
        </w:rPr>
        <w:t>50</w:t>
      </w:r>
      <w:r>
        <w:rPr>
          <w:rFonts w:ascii="宋体" w:hAnsi="宋体" w:cs="宋体"/>
          <w:color w:val="auto"/>
          <w:sz w:val="24"/>
          <w:szCs w:val="24"/>
          <w:highlight w:val="none"/>
        </w:rPr>
        <w:t>%。</w:t>
      </w:r>
    </w:p>
    <w:p>
      <w:pPr>
        <w:pStyle w:val="5"/>
        <w:rPr>
          <w:color w:val="auto"/>
          <w:highlight w:val="none"/>
        </w:rPr>
      </w:pPr>
      <w:r>
        <w:rPr>
          <w:color w:val="auto"/>
          <w:highlight w:val="none"/>
        </w:rPr>
        <w:br w:type="page"/>
      </w:r>
    </w:p>
    <w:p>
      <w:pPr>
        <w:pStyle w:val="3"/>
        <w:spacing w:line="360" w:lineRule="auto"/>
        <w:jc w:val="center"/>
        <w:rPr>
          <w:rFonts w:ascii="宋体" w:hAnsi="宋体" w:eastAsia="宋体" w:cs="宋体"/>
          <w:b w:val="0"/>
          <w:color w:val="auto"/>
          <w:sz w:val="36"/>
          <w:szCs w:val="30"/>
          <w:highlight w:val="none"/>
        </w:rPr>
      </w:pPr>
      <w:r>
        <w:rPr>
          <w:rFonts w:hint="eastAsia" w:ascii="宋体" w:hAnsi="宋体" w:eastAsia="宋体" w:cs="宋体"/>
          <w:b w:val="0"/>
          <w:color w:val="auto"/>
          <w:sz w:val="36"/>
          <w:szCs w:val="30"/>
          <w:highlight w:val="none"/>
        </w:rPr>
        <w:t xml:space="preserve">第三篇  </w:t>
      </w:r>
      <w:bookmarkEnd w:id="21"/>
      <w:r>
        <w:rPr>
          <w:rFonts w:hint="eastAsia" w:ascii="宋体" w:hAnsi="宋体" w:eastAsia="宋体" w:cs="宋体"/>
          <w:b w:val="0"/>
          <w:color w:val="auto"/>
          <w:sz w:val="36"/>
          <w:szCs w:val="30"/>
          <w:highlight w:val="none"/>
        </w:rPr>
        <w:t>项目商务需求</w:t>
      </w:r>
      <w:bookmarkEnd w:id="22"/>
    </w:p>
    <w:p>
      <w:pPr>
        <w:pStyle w:val="2"/>
        <w:spacing w:line="440" w:lineRule="exact"/>
        <w:rPr>
          <w:rFonts w:ascii="宋体" w:hAnsi="宋体" w:cs="宋体"/>
          <w:color w:val="auto"/>
          <w:sz w:val="24"/>
          <w:szCs w:val="24"/>
          <w:highlight w:val="none"/>
        </w:rPr>
      </w:pPr>
      <w:bookmarkStart w:id="23" w:name="_Toc344475120"/>
      <w:bookmarkStart w:id="24" w:name="_Toc54278985"/>
      <w:r>
        <w:rPr>
          <w:rFonts w:hint="eastAsia" w:ascii="宋体" w:hAnsi="宋体" w:cs="宋体"/>
          <w:color w:val="auto"/>
          <w:sz w:val="24"/>
          <w:szCs w:val="24"/>
          <w:highlight w:val="none"/>
        </w:rPr>
        <w:t>一、服务期、地点及验收方式</w:t>
      </w:r>
      <w:bookmarkEnd w:id="23"/>
      <w:bookmarkEnd w:id="24"/>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（一）服务期：从招标人通知要求进场开始至结算复审取得最终结论为止。</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（二）服务地点：采购人指定地点。</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（三）验收方式及标准</w:t>
      </w:r>
      <w:bookmarkStart w:id="25" w:name="_Toc344475121"/>
      <w:bookmarkStart w:id="26" w:name="_Toc54278986"/>
      <w:r>
        <w:rPr>
          <w:rFonts w:hint="eastAsia" w:ascii="宋体" w:hAnsi="宋体" w:cs="宋体"/>
          <w:color w:val="auto"/>
          <w:sz w:val="24"/>
          <w:szCs w:val="24"/>
          <w:highlight w:val="none"/>
        </w:rPr>
        <w:t>：在审计部门认可的前提下，以出具的正式真实、完整的成果报告为准。</w:t>
      </w:r>
    </w:p>
    <w:p>
      <w:pPr>
        <w:pStyle w:val="2"/>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二、</w:t>
      </w:r>
      <w:bookmarkEnd w:id="25"/>
      <w:r>
        <w:rPr>
          <w:rFonts w:hint="eastAsia" w:ascii="宋体" w:hAnsi="宋体" w:cs="宋体"/>
          <w:color w:val="auto"/>
          <w:sz w:val="24"/>
          <w:szCs w:val="24"/>
          <w:highlight w:val="none"/>
        </w:rPr>
        <w:t>报价要求</w:t>
      </w:r>
      <w:bookmarkEnd w:id="26"/>
    </w:p>
    <w:p>
      <w:pPr>
        <w:spacing w:line="540" w:lineRule="exact"/>
        <w:ind w:firstLine="480" w:firstLineChars="200"/>
        <w:jc w:val="left"/>
        <w:rPr>
          <w:rFonts w:ascii="宋体" w:hAnsi="宋体" w:cs="宋体"/>
          <w:color w:val="auto"/>
          <w:sz w:val="24"/>
          <w:szCs w:val="24"/>
          <w:highlight w:val="none"/>
        </w:rPr>
      </w:pPr>
      <w:bookmarkStart w:id="27" w:name="_Toc54278994"/>
      <w:r>
        <w:rPr>
          <w:rFonts w:hint="eastAsia" w:ascii="宋体" w:hAnsi="宋体" w:cs="宋体"/>
          <w:color w:val="auto"/>
          <w:sz w:val="24"/>
          <w:szCs w:val="24"/>
          <w:highlight w:val="none"/>
        </w:rPr>
        <w:t>（一）最高限价</w:t>
      </w:r>
    </w:p>
    <w:p>
      <w:pPr>
        <w:autoSpaceDE w:val="0"/>
        <w:autoSpaceDN w:val="0"/>
        <w:adjustRightInd w:val="0"/>
        <w:snapToGrid w:val="0"/>
        <w:spacing w:line="600" w:lineRule="exact"/>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本项目</w:t>
      </w:r>
      <w:r>
        <w:rPr>
          <w:rFonts w:hint="eastAsia" w:ascii="宋体" w:hAnsi="宋体"/>
          <w:color w:val="auto"/>
          <w:sz w:val="24"/>
          <w:highlight w:val="none"/>
        </w:rPr>
        <w:t>咨询服务费</w:t>
      </w:r>
      <w:r>
        <w:rPr>
          <w:rFonts w:hint="eastAsia" w:ascii="宋体" w:hAnsi="宋体" w:cs="宋体"/>
          <w:b/>
          <w:bCs/>
          <w:color w:val="auto"/>
          <w:sz w:val="24"/>
          <w:szCs w:val="24"/>
          <w:highlight w:val="none"/>
        </w:rPr>
        <w:t>折扣率百分比最高限价</w:t>
      </w:r>
      <w:r>
        <w:rPr>
          <w:rFonts w:hint="eastAsia" w:ascii="宋体" w:hAnsi="宋体"/>
          <w:color w:val="auto"/>
          <w:sz w:val="24"/>
          <w:highlight w:val="none"/>
        </w:rPr>
        <w:t>按《重庆市物价局关于工程造价咨询服务收费标准的通知》（渝价〔2013〕428号）收费标准（附表2-序号</w:t>
      </w:r>
      <w:r>
        <w:rPr>
          <w:rFonts w:hint="eastAsia" w:ascii="宋体" w:hAnsi="宋体"/>
          <w:color w:val="auto"/>
          <w:sz w:val="24"/>
          <w:highlight w:val="none"/>
          <w:lang w:val="en-US" w:eastAsia="zh-CN"/>
        </w:rPr>
        <w:t>6</w:t>
      </w:r>
      <w:r>
        <w:rPr>
          <w:rFonts w:hint="eastAsia" w:ascii="宋体" w:hAnsi="宋体"/>
          <w:color w:val="auto"/>
          <w:sz w:val="24"/>
          <w:highlight w:val="none"/>
        </w:rPr>
        <w:t>，建筑、市政、园林分项）</w:t>
      </w:r>
      <w:r>
        <w:rPr>
          <w:rFonts w:hint="eastAsia" w:ascii="宋体" w:hAnsi="宋体" w:cs="宋体"/>
          <w:color w:val="auto"/>
          <w:sz w:val="24"/>
          <w:szCs w:val="24"/>
          <w:highlight w:val="none"/>
        </w:rPr>
        <w:t>的</w:t>
      </w:r>
      <w:r>
        <w:rPr>
          <w:rFonts w:hint="eastAsia" w:ascii="宋体" w:hAnsi="宋体" w:cs="宋体"/>
          <w:color w:val="auto"/>
          <w:sz w:val="24"/>
          <w:szCs w:val="24"/>
          <w:highlight w:val="none"/>
          <w:lang w:val="en-US" w:eastAsia="zh-CN"/>
        </w:rPr>
        <w:t xml:space="preserve"> 70</w:t>
      </w:r>
      <w:r>
        <w:rPr>
          <w:rFonts w:hint="eastAsia" w:ascii="宋体" w:hAnsi="宋体" w:cs="宋体"/>
          <w:b/>
          <w:bCs/>
          <w:color w:val="auto"/>
          <w:sz w:val="24"/>
          <w:szCs w:val="24"/>
          <w:highlight w:val="none"/>
        </w:rPr>
        <w:t>%</w:t>
      </w:r>
      <w:r>
        <w:rPr>
          <w:rFonts w:hint="eastAsia" w:ascii="宋体" w:hAnsi="宋体" w:cs="宋体"/>
          <w:color w:val="auto"/>
          <w:sz w:val="24"/>
          <w:szCs w:val="24"/>
          <w:highlight w:val="none"/>
        </w:rPr>
        <w:t>，按照暂定建安投资4</w:t>
      </w:r>
      <w:r>
        <w:rPr>
          <w:rFonts w:hint="eastAsia" w:ascii="宋体" w:hAnsi="宋体" w:cs="宋体"/>
          <w:color w:val="auto"/>
          <w:sz w:val="24"/>
          <w:szCs w:val="24"/>
          <w:highlight w:val="none"/>
          <w:lang w:val="en-US" w:eastAsia="zh-CN"/>
        </w:rPr>
        <w:t>410</w:t>
      </w:r>
      <w:r>
        <w:rPr>
          <w:rFonts w:hint="eastAsia" w:ascii="宋体" w:hAnsi="宋体" w:cs="宋体"/>
          <w:color w:val="auto"/>
          <w:sz w:val="24"/>
          <w:szCs w:val="24"/>
          <w:highlight w:val="none"/>
        </w:rPr>
        <w:t>万元计算，</w:t>
      </w:r>
      <w:r>
        <w:rPr>
          <w:rFonts w:hint="eastAsia" w:ascii="宋体" w:hAnsi="宋体" w:cs="宋体"/>
          <w:b/>
          <w:bCs/>
          <w:color w:val="auto"/>
          <w:sz w:val="24"/>
          <w:szCs w:val="24"/>
          <w:highlight w:val="none"/>
        </w:rPr>
        <w:t>咨询服务费总价最高限价322700元</w:t>
      </w:r>
      <w:r>
        <w:rPr>
          <w:rFonts w:hint="eastAsia" w:ascii="宋体" w:hAnsi="宋体" w:cs="宋体"/>
          <w:color w:val="auto"/>
          <w:sz w:val="24"/>
          <w:szCs w:val="24"/>
          <w:highlight w:val="none"/>
        </w:rPr>
        <w:t xml:space="preserve">。竞标人所报编制费收费折扣率百分比必须≤ </w:t>
      </w:r>
      <w:r>
        <w:rPr>
          <w:rFonts w:hint="eastAsia" w:ascii="宋体" w:hAnsi="宋体" w:cs="宋体"/>
          <w:color w:val="auto"/>
          <w:sz w:val="24"/>
          <w:szCs w:val="24"/>
          <w:highlight w:val="none"/>
          <w:lang w:val="en-US" w:eastAsia="zh-CN"/>
        </w:rPr>
        <w:t>70</w:t>
      </w:r>
      <w:r>
        <w:rPr>
          <w:rFonts w:hint="eastAsia" w:ascii="宋体" w:hAnsi="宋体" w:cs="宋体"/>
          <w:color w:val="auto"/>
          <w:sz w:val="24"/>
          <w:szCs w:val="24"/>
          <w:highlight w:val="none"/>
        </w:rPr>
        <w:t xml:space="preserve"> %，且咨询服务费总价报价必须≤</w:t>
      </w:r>
      <w:r>
        <w:rPr>
          <w:rFonts w:hint="eastAsia" w:ascii="宋体" w:hAnsi="宋体" w:cs="宋体"/>
          <w:b/>
          <w:bCs/>
          <w:color w:val="auto"/>
          <w:sz w:val="24"/>
          <w:szCs w:val="24"/>
          <w:highlight w:val="none"/>
        </w:rPr>
        <w:t>322700</w:t>
      </w:r>
      <w:r>
        <w:rPr>
          <w:rFonts w:hint="eastAsia" w:ascii="宋体" w:hAnsi="宋体" w:cs="宋体"/>
          <w:color w:val="auto"/>
          <w:sz w:val="24"/>
          <w:szCs w:val="24"/>
          <w:highlight w:val="none"/>
        </w:rPr>
        <w:t>元，</w:t>
      </w:r>
      <w:r>
        <w:rPr>
          <w:rFonts w:hint="eastAsia" w:ascii="宋体" w:hAnsi="宋体" w:cs="宋体"/>
          <w:b/>
          <w:bCs/>
          <w:color w:val="auto"/>
          <w:sz w:val="24"/>
          <w:szCs w:val="24"/>
          <w:highlight w:val="none"/>
        </w:rPr>
        <w:t>否则为无效竞标。</w:t>
      </w:r>
      <w:r>
        <w:rPr>
          <w:rFonts w:hint="eastAsia" w:ascii="宋体" w:hAnsi="宋体" w:cs="宋体"/>
          <w:color w:val="auto"/>
          <w:sz w:val="24"/>
          <w:szCs w:val="24"/>
          <w:highlight w:val="none"/>
        </w:rPr>
        <w:t>（注：本项目建安投资暂按4</w:t>
      </w:r>
      <w:r>
        <w:rPr>
          <w:rFonts w:hint="eastAsia" w:ascii="宋体" w:hAnsi="宋体" w:cs="宋体"/>
          <w:color w:val="auto"/>
          <w:sz w:val="24"/>
          <w:szCs w:val="24"/>
          <w:highlight w:val="none"/>
          <w:lang w:val="en-US" w:eastAsia="zh-CN"/>
        </w:rPr>
        <w:t>410</w:t>
      </w:r>
      <w:r>
        <w:rPr>
          <w:rFonts w:hint="eastAsia" w:ascii="宋体" w:hAnsi="宋体" w:cs="宋体"/>
          <w:color w:val="auto"/>
          <w:sz w:val="24"/>
          <w:szCs w:val="24"/>
          <w:highlight w:val="none"/>
        </w:rPr>
        <w:t>万元予以计算咨询服务费用）</w:t>
      </w:r>
    </w:p>
    <w:p>
      <w:pPr>
        <w:numPr>
          <w:ilvl w:val="0"/>
          <w:numId w:val="2"/>
        </w:num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报价方式：竞标人需</w:t>
      </w:r>
      <w:r>
        <w:rPr>
          <w:rFonts w:hint="eastAsia" w:ascii="宋体" w:hAnsi="宋体"/>
          <w:color w:val="auto"/>
          <w:sz w:val="24"/>
          <w:highlight w:val="none"/>
        </w:rPr>
        <w:t>按《重庆市物价局关于工程造价咨询服务收费标准的通知》（渝价〔2013〕428号）收费标准（附表2-序号</w:t>
      </w:r>
      <w:r>
        <w:rPr>
          <w:rFonts w:hint="eastAsia" w:ascii="宋体" w:hAnsi="宋体"/>
          <w:color w:val="auto"/>
          <w:sz w:val="24"/>
          <w:highlight w:val="none"/>
          <w:lang w:val="en-US" w:eastAsia="zh-CN"/>
        </w:rPr>
        <w:t>6</w:t>
      </w:r>
      <w:r>
        <w:rPr>
          <w:rFonts w:hint="eastAsia" w:ascii="宋体" w:hAnsi="宋体"/>
          <w:color w:val="auto"/>
          <w:sz w:val="24"/>
          <w:highlight w:val="none"/>
        </w:rPr>
        <w:t>，建筑、市政、园林分项）进行</w:t>
      </w:r>
      <w:r>
        <w:rPr>
          <w:rFonts w:hint="eastAsia" w:ascii="宋体" w:hAnsi="宋体" w:cs="宋体"/>
          <w:color w:val="auto"/>
          <w:sz w:val="24"/>
          <w:szCs w:val="24"/>
          <w:highlight w:val="none"/>
        </w:rPr>
        <w:t>收费折扣率百分比报价（保留两位小数，例如55.00%），同时需要按照暂定建安投资4</w:t>
      </w:r>
      <w:r>
        <w:rPr>
          <w:rFonts w:hint="eastAsia" w:ascii="宋体" w:hAnsi="宋体" w:cs="宋体"/>
          <w:color w:val="auto"/>
          <w:sz w:val="24"/>
          <w:szCs w:val="24"/>
          <w:highlight w:val="none"/>
          <w:lang w:val="en-US" w:eastAsia="zh-CN"/>
        </w:rPr>
        <w:t>41</w:t>
      </w:r>
      <w:r>
        <w:rPr>
          <w:rFonts w:hint="eastAsia" w:ascii="宋体" w:hAnsi="宋体" w:cs="宋体"/>
          <w:color w:val="auto"/>
          <w:sz w:val="24"/>
          <w:szCs w:val="24"/>
          <w:highlight w:val="none"/>
        </w:rPr>
        <w:t>0万元，结合</w:t>
      </w:r>
      <w:r>
        <w:rPr>
          <w:rFonts w:hint="eastAsia" w:ascii="宋体" w:hAnsi="宋体"/>
          <w:color w:val="auto"/>
          <w:sz w:val="24"/>
          <w:highlight w:val="none"/>
        </w:rPr>
        <w:t>《重庆市物价局关于工程造价咨询服务收费标准的通知》（渝价〔2013〕428号）收费标准（附表2-序号</w:t>
      </w:r>
      <w:r>
        <w:rPr>
          <w:rFonts w:hint="eastAsia" w:ascii="宋体" w:hAnsi="宋体"/>
          <w:color w:val="auto"/>
          <w:sz w:val="24"/>
          <w:highlight w:val="none"/>
          <w:lang w:val="en-US" w:eastAsia="zh-CN"/>
        </w:rPr>
        <w:t>6</w:t>
      </w:r>
      <w:r>
        <w:rPr>
          <w:rFonts w:hint="eastAsia" w:ascii="宋体" w:hAnsi="宋体"/>
          <w:color w:val="auto"/>
          <w:sz w:val="24"/>
          <w:highlight w:val="none"/>
        </w:rPr>
        <w:t>，建筑、市政、园林分项）及报价折扣率，进行咨询服务费总价报价（保留两位小数，例如265000.00元）。</w:t>
      </w:r>
    </w:p>
    <w:p>
      <w:pPr>
        <w:spacing w:line="5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b/>
          <w:bCs/>
          <w:color w:val="auto"/>
          <w:sz w:val="24"/>
          <w:szCs w:val="24"/>
          <w:highlight w:val="none"/>
        </w:rPr>
        <w:t>重要提醒：请各竞标人严格按照《重庆市物价局关于工程造价咨询服务收费标准的通知》（渝价〔2013〕428号）收费标准（附表2-序号</w:t>
      </w:r>
      <w:r>
        <w:rPr>
          <w:rFonts w:hint="eastAsia" w:ascii="宋体" w:hAnsi="宋体" w:cs="宋体"/>
          <w:b/>
          <w:bCs/>
          <w:color w:val="auto"/>
          <w:sz w:val="24"/>
          <w:szCs w:val="24"/>
          <w:highlight w:val="none"/>
          <w:lang w:val="en-US" w:eastAsia="zh-CN"/>
        </w:rPr>
        <w:t>6</w:t>
      </w:r>
      <w:r>
        <w:rPr>
          <w:rFonts w:hint="eastAsia" w:ascii="宋体" w:hAnsi="宋体" w:cs="宋体"/>
          <w:b/>
          <w:bCs/>
          <w:color w:val="auto"/>
          <w:sz w:val="24"/>
          <w:szCs w:val="24"/>
          <w:highlight w:val="none"/>
        </w:rPr>
        <w:t>，建筑、市政、园林分项）及暂定建安投资4</w:t>
      </w:r>
      <w:r>
        <w:rPr>
          <w:rFonts w:hint="eastAsia" w:ascii="宋体" w:hAnsi="宋体" w:cs="宋体"/>
          <w:b/>
          <w:bCs/>
          <w:color w:val="auto"/>
          <w:sz w:val="24"/>
          <w:szCs w:val="24"/>
          <w:highlight w:val="none"/>
          <w:lang w:val="en-US" w:eastAsia="zh-CN"/>
        </w:rPr>
        <w:t>41</w:t>
      </w:r>
      <w:r>
        <w:rPr>
          <w:rFonts w:hint="eastAsia" w:ascii="宋体" w:hAnsi="宋体" w:cs="宋体"/>
          <w:b/>
          <w:bCs/>
          <w:color w:val="auto"/>
          <w:sz w:val="24"/>
          <w:szCs w:val="24"/>
          <w:highlight w:val="none"/>
        </w:rPr>
        <w:t>0万元进行折扣率百分比和服务费总价报价，若报价函的折扣率百分比报价和服务费总价报价未按“报价方式”约定原则计算一致，视为未作实质性响应，按否决投标处理。</w:t>
      </w:r>
    </w:p>
    <w:p>
      <w:pPr>
        <w:tabs>
          <w:tab w:val="left" w:pos="546"/>
          <w:tab w:val="left" w:pos="711"/>
        </w:tabs>
        <w:snapToGrid w:val="0"/>
        <w:spacing w:line="540" w:lineRule="exact"/>
        <w:ind w:firstLine="482" w:firstLineChars="200"/>
        <w:rPr>
          <w:rFonts w:ascii="方正仿宋_GBK" w:hAnsi="宋体" w:eastAsia="方正仿宋_GBK" w:cs="宋体"/>
          <w:b/>
          <w:bCs/>
          <w:color w:val="auto"/>
          <w:kern w:val="0"/>
          <w:sz w:val="24"/>
          <w:szCs w:val="24"/>
          <w:highlight w:val="none"/>
        </w:rPr>
      </w:pPr>
      <w:r>
        <w:rPr>
          <w:rFonts w:hint="eastAsia" w:ascii="方正仿宋_GBK" w:hAnsi="宋体" w:eastAsia="方正仿宋_GBK" w:cs="宋体"/>
          <w:b/>
          <w:bCs/>
          <w:color w:val="auto"/>
          <w:kern w:val="0"/>
          <w:sz w:val="24"/>
          <w:szCs w:val="24"/>
          <w:highlight w:val="none"/>
        </w:rPr>
        <w:t xml:space="preserve"> 备注：</w:t>
      </w:r>
    </w:p>
    <w:p>
      <w:pPr>
        <w:spacing w:line="540" w:lineRule="exact"/>
        <w:ind w:firstLine="720" w:firstLineChars="300"/>
        <w:jc w:val="left"/>
        <w:rPr>
          <w:rFonts w:ascii="宋体" w:hAnsi="宋体" w:cs="宋体"/>
          <w:color w:val="auto"/>
          <w:sz w:val="24"/>
          <w:szCs w:val="24"/>
          <w:highlight w:val="none"/>
        </w:rPr>
      </w:pPr>
      <w:r>
        <w:rPr>
          <w:rFonts w:hint="eastAsia" w:ascii="宋体" w:hAnsi="宋体" w:cs="宋体"/>
          <w:color w:val="auto"/>
          <w:sz w:val="24"/>
          <w:szCs w:val="24"/>
          <w:highlight w:val="none"/>
        </w:rPr>
        <w:t>1、竞标人的投标报价应包括为完成本工程全过程造价控制咨询工作而产生的相关工作人员的人工成本、劳保、医疗、福利、津贴、保险、差旅费、资料费、税金、利润等一切可预见和不可预见费用。招标人不再另行支付任何费用，竞标人也不得与本项目的任何承包商、材料供应商等发生任何经济关系。</w:t>
      </w:r>
    </w:p>
    <w:p>
      <w:pPr>
        <w:spacing w:line="540" w:lineRule="exact"/>
        <w:ind w:firstLine="720" w:firstLineChars="300"/>
        <w:jc w:val="left"/>
        <w:rPr>
          <w:rFonts w:ascii="宋体" w:hAnsi="宋体" w:cs="宋体"/>
          <w:color w:val="auto"/>
          <w:sz w:val="24"/>
          <w:szCs w:val="24"/>
          <w:highlight w:val="none"/>
        </w:rPr>
      </w:pPr>
      <w:r>
        <w:rPr>
          <w:rFonts w:hint="eastAsia" w:ascii="宋体" w:hAnsi="宋体" w:cs="宋体"/>
          <w:color w:val="auto"/>
          <w:sz w:val="24"/>
          <w:szCs w:val="24"/>
          <w:highlight w:val="none"/>
        </w:rPr>
        <w:t>竞标人应先到项目所在地踏勘，以充分了解项目位置、地质地貌、气候与水文条件、交通状况、电力、给水、排水、热力和天然气等市政基础设施及任何其他足以影响其提交设计方案的可实现性和承包价的情况。任何因中标人忽视或误解项目基本情况，而使招标人在项目实施过程中蒙受的损失，将由中标人按一定比例对招标人进行赔偿。</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2、中标报价折扣率百分比不作调整。即在本工程招标范围内，无论国家政策调整，无论法规、标准及市场因素的变化，中标报价折扣率百分比不作调整。</w:t>
      </w:r>
    </w:p>
    <w:p>
      <w:pPr>
        <w:spacing w:line="540" w:lineRule="exact"/>
        <w:ind w:firstLine="480" w:firstLineChars="200"/>
        <w:jc w:val="left"/>
        <w:rPr>
          <w:rFonts w:ascii="方正仿宋_GBK" w:hAnsi="宋体" w:eastAsia="方正仿宋_GBK"/>
          <w:color w:val="auto"/>
          <w:sz w:val="24"/>
          <w:szCs w:val="24"/>
          <w:highlight w:val="none"/>
        </w:rPr>
      </w:pPr>
      <w:r>
        <w:rPr>
          <w:rFonts w:hint="eastAsia" w:ascii="宋体" w:hAnsi="宋体" w:cs="宋体"/>
          <w:color w:val="auto"/>
          <w:sz w:val="24"/>
          <w:szCs w:val="24"/>
          <w:highlight w:val="none"/>
        </w:rPr>
        <w:t>3、本工程的投标货币为人民币，投标报价中的折扣率百分比报价、暂定费总额保留小数点后两位。</w:t>
      </w:r>
    </w:p>
    <w:p>
      <w:pPr>
        <w:spacing w:line="400" w:lineRule="exact"/>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三、结算原则</w:t>
      </w:r>
    </w:p>
    <w:p>
      <w:pPr>
        <w:spacing w:line="540" w:lineRule="exact"/>
        <w:ind w:firstLine="720" w:firstLineChars="300"/>
        <w:jc w:val="left"/>
        <w:rPr>
          <w:rFonts w:ascii="宋体" w:hAnsi="宋体" w:cs="宋体"/>
          <w:color w:val="auto"/>
          <w:sz w:val="24"/>
          <w:szCs w:val="24"/>
          <w:highlight w:val="none"/>
        </w:rPr>
      </w:pPr>
      <w:r>
        <w:rPr>
          <w:rFonts w:hint="eastAsia" w:ascii="宋体" w:hAnsi="宋体" w:cs="宋体"/>
          <w:color w:val="auto"/>
          <w:sz w:val="24"/>
          <w:szCs w:val="24"/>
          <w:highlight w:val="none"/>
        </w:rPr>
        <w:t>咨询服务费结算原则:以结算审定金额为计费基数，按《重庆市物价局关于工程造价咨询服务收费标准的通知》（渝价〔2013〕428号）收费标准（附表2-序号</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，建筑、市政、园林分项，工程量清单施工阶段工程造价全过程控制分项）计算的收费基价乘以中标折扣率百分比-违约金。</w:t>
      </w:r>
    </w:p>
    <w:p>
      <w:pPr>
        <w:spacing w:line="540" w:lineRule="exact"/>
        <w:ind w:firstLine="720" w:firstLineChars="300"/>
        <w:jc w:val="left"/>
        <w:rPr>
          <w:rFonts w:ascii="宋体" w:hAnsi="宋体" w:cs="宋体"/>
          <w:color w:val="auto"/>
          <w:sz w:val="24"/>
          <w:szCs w:val="24"/>
          <w:highlight w:val="none"/>
        </w:rPr>
      </w:pPr>
      <w:r>
        <w:rPr>
          <w:rFonts w:ascii="宋体" w:hAnsi="宋体" w:cs="宋体"/>
          <w:color w:val="auto"/>
          <w:sz w:val="24"/>
          <w:szCs w:val="24"/>
          <w:highlight w:val="none"/>
        </w:rPr>
        <w:t>结算时收费比例=</w:t>
      </w:r>
      <w:r>
        <w:rPr>
          <w:rFonts w:hint="eastAsia" w:ascii="宋体" w:hAnsi="宋体" w:cs="宋体"/>
          <w:color w:val="auto"/>
          <w:sz w:val="24"/>
          <w:szCs w:val="24"/>
          <w:highlight w:val="none"/>
        </w:rPr>
        <w:t>中标比例。（</w:t>
      </w:r>
      <w:r>
        <w:rPr>
          <w:rFonts w:ascii="宋体" w:hAnsi="宋体" w:cs="宋体"/>
          <w:color w:val="auto"/>
          <w:sz w:val="24"/>
          <w:szCs w:val="24"/>
          <w:highlight w:val="none"/>
        </w:rPr>
        <w:t>无论国家政策调整,无论法规、标准及市场因素的变化,</w:t>
      </w:r>
      <w:r>
        <w:rPr>
          <w:rFonts w:hint="eastAsia" w:ascii="宋体" w:hAnsi="宋体" w:cs="宋体"/>
          <w:color w:val="auto"/>
          <w:sz w:val="24"/>
          <w:szCs w:val="24"/>
          <w:highlight w:val="none"/>
        </w:rPr>
        <w:t>结算</w:t>
      </w:r>
      <w:r>
        <w:rPr>
          <w:rFonts w:ascii="宋体" w:hAnsi="宋体" w:cs="宋体"/>
          <w:color w:val="auto"/>
          <w:sz w:val="24"/>
          <w:szCs w:val="24"/>
          <w:highlight w:val="none"/>
        </w:rPr>
        <w:t>收费比例均不作调整。</w:t>
      </w:r>
      <w:r>
        <w:rPr>
          <w:rFonts w:hint="eastAsia" w:ascii="宋体" w:hAnsi="宋体" w:cs="宋体"/>
          <w:color w:val="auto"/>
          <w:sz w:val="24"/>
          <w:szCs w:val="24"/>
          <w:highlight w:val="none"/>
        </w:rPr>
        <w:t>）</w:t>
      </w:r>
    </w:p>
    <w:p>
      <w:pPr>
        <w:spacing w:line="400" w:lineRule="exact"/>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四、付款方式</w:t>
      </w:r>
    </w:p>
    <w:p>
      <w:pPr>
        <w:spacing w:line="540" w:lineRule="exact"/>
        <w:ind w:firstLine="720" w:firstLineChars="300"/>
        <w:jc w:val="left"/>
        <w:rPr>
          <w:rFonts w:ascii="宋体" w:hAnsi="宋体" w:cs="宋体"/>
          <w:color w:val="auto"/>
          <w:sz w:val="24"/>
          <w:szCs w:val="24"/>
          <w:highlight w:val="none"/>
        </w:rPr>
      </w:pPr>
      <w:r>
        <w:rPr>
          <w:rFonts w:hint="eastAsia" w:ascii="宋体" w:hAnsi="宋体" w:cs="宋体"/>
          <w:color w:val="auto"/>
          <w:sz w:val="24"/>
          <w:szCs w:val="24"/>
          <w:highlight w:val="none"/>
        </w:rPr>
        <w:t>1、合同签订后采购人在供应商开具发票后5个工作日内向成交供应商支付合同暂定咨询服务费的20%作为预付款。</w:t>
      </w:r>
    </w:p>
    <w:p>
      <w:pPr>
        <w:spacing w:line="540" w:lineRule="exact"/>
        <w:ind w:firstLine="720" w:firstLineChars="300"/>
        <w:jc w:val="left"/>
        <w:rPr>
          <w:rFonts w:ascii="宋体" w:hAnsi="宋体" w:cs="宋体"/>
          <w:color w:val="auto"/>
          <w:sz w:val="24"/>
          <w:szCs w:val="24"/>
          <w:highlight w:val="none"/>
        </w:rPr>
      </w:pPr>
      <w:r>
        <w:rPr>
          <w:rFonts w:hint="eastAsia" w:ascii="宋体" w:hAnsi="宋体" w:cs="宋体"/>
          <w:color w:val="auto"/>
          <w:sz w:val="24"/>
          <w:szCs w:val="24"/>
          <w:highlight w:val="none"/>
        </w:rPr>
        <w:t>2、项目正式出具预算评审报告后，采购人在供应商开具发票后5个工作日内，支付至合同结算费用的50%；</w:t>
      </w:r>
    </w:p>
    <w:p>
      <w:pPr>
        <w:spacing w:line="540" w:lineRule="exact"/>
        <w:ind w:firstLine="720" w:firstLineChars="300"/>
        <w:jc w:val="left"/>
        <w:rPr>
          <w:rFonts w:ascii="宋体" w:hAnsi="宋体" w:cs="宋体"/>
          <w:color w:val="auto"/>
          <w:sz w:val="24"/>
          <w:szCs w:val="24"/>
          <w:highlight w:val="none"/>
        </w:rPr>
      </w:pPr>
      <w:r>
        <w:rPr>
          <w:rFonts w:hint="eastAsia" w:ascii="宋体" w:hAnsi="宋体" w:cs="宋体"/>
          <w:color w:val="auto"/>
          <w:sz w:val="24"/>
          <w:szCs w:val="24"/>
          <w:highlight w:val="none"/>
        </w:rPr>
        <w:t>3、项目完工验收合格后，支付至合同结算费用的70%；</w:t>
      </w:r>
    </w:p>
    <w:p>
      <w:pPr>
        <w:spacing w:line="540" w:lineRule="exact"/>
        <w:ind w:firstLine="720" w:firstLineChars="300"/>
        <w:jc w:val="left"/>
        <w:rPr>
          <w:rFonts w:ascii="宋体" w:hAnsi="宋体" w:cs="宋体"/>
          <w:color w:val="auto"/>
          <w:sz w:val="24"/>
          <w:szCs w:val="24"/>
          <w:highlight w:val="none"/>
        </w:rPr>
      </w:pPr>
      <w:r>
        <w:rPr>
          <w:rFonts w:hint="eastAsia" w:ascii="宋体" w:hAnsi="宋体" w:cs="宋体"/>
          <w:color w:val="auto"/>
          <w:sz w:val="24"/>
          <w:szCs w:val="24"/>
          <w:highlight w:val="none"/>
        </w:rPr>
        <w:t>4、工程结算审计完成取得结算审计报告后，采购人在供应商开具发票后5个工作日内，支付至本次全过程造价控制最终结算金额的100%。</w:t>
      </w:r>
    </w:p>
    <w:p>
      <w:pPr>
        <w:spacing w:line="540" w:lineRule="exact"/>
        <w:ind w:firstLine="720" w:firstLineChars="300"/>
        <w:jc w:val="left"/>
        <w:rPr>
          <w:rFonts w:ascii="宋体" w:hAnsi="宋体" w:cs="宋体"/>
          <w:color w:val="auto"/>
          <w:sz w:val="24"/>
          <w:szCs w:val="24"/>
          <w:highlight w:val="none"/>
        </w:rPr>
      </w:pPr>
      <w:r>
        <w:rPr>
          <w:rFonts w:hint="eastAsia" w:ascii="宋体" w:hAnsi="宋体" w:cs="宋体"/>
          <w:color w:val="auto"/>
          <w:sz w:val="24"/>
          <w:szCs w:val="24"/>
          <w:highlight w:val="none"/>
        </w:rPr>
        <w:t>成交供应商每次在收取合同款项前，须向采购人开具等额增值税普通发票（成交供应商开具的增值税普通发票抬头应为“重庆市大渡口区农业农村委员会”），否则采购人有权暂停付款直至成交供应商按约提供发票。</w:t>
      </w:r>
    </w:p>
    <w:p>
      <w:pPr>
        <w:snapToGrid w:val="0"/>
        <w:spacing w:line="360" w:lineRule="auto"/>
        <w:ind w:firstLine="540"/>
        <w:rPr>
          <w:rFonts w:ascii="宋体" w:hAnsi="宋体" w:cs="宋体"/>
          <w:color w:val="auto"/>
          <w:sz w:val="24"/>
          <w:szCs w:val="24"/>
          <w:highlight w:val="none"/>
        </w:rPr>
      </w:pPr>
      <w:r>
        <w:rPr>
          <w:rFonts w:hint="eastAsia" w:ascii="宋体" w:hAnsi="宋体" w:cs="宋体"/>
          <w:color w:val="auto"/>
          <w:sz w:val="24"/>
          <w:szCs w:val="24"/>
          <w:highlight w:val="none"/>
        </w:rPr>
        <w:t>注：（1）合同暂定服务费以</w:t>
      </w:r>
      <w:r>
        <w:rPr>
          <w:rFonts w:hint="eastAsia" w:ascii="宋体" w:hAnsi="宋体" w:cs="宋体"/>
          <w:color w:val="auto"/>
          <w:sz w:val="24"/>
          <w:szCs w:val="24"/>
          <w:highlight w:val="none"/>
          <w:lang w:val="en-US" w:eastAsia="zh-CN"/>
        </w:rPr>
        <w:t>4410</w:t>
      </w:r>
      <w:r>
        <w:rPr>
          <w:rFonts w:hint="eastAsia" w:ascii="宋体" w:hAnsi="宋体" w:cs="宋体"/>
          <w:color w:val="auto"/>
          <w:sz w:val="24"/>
          <w:szCs w:val="24"/>
          <w:highlight w:val="none"/>
        </w:rPr>
        <w:t>万元为计费基数，按重庆市物价局渝价[2013]428号文件规定计算的标准费额×中标比率进行计算。</w:t>
      </w:r>
    </w:p>
    <w:p>
      <w:pPr>
        <w:snapToGrid w:val="0"/>
        <w:spacing w:line="360" w:lineRule="auto"/>
        <w:ind w:firstLine="540"/>
        <w:rPr>
          <w:rFonts w:ascii="宋体" w:hAnsi="宋体" w:cs="宋体"/>
          <w:color w:val="auto"/>
          <w:kern w:val="0"/>
          <w:sz w:val="24"/>
          <w:szCs w:val="22"/>
          <w:highlight w:val="none"/>
        </w:rPr>
      </w:pPr>
      <w:r>
        <w:rPr>
          <w:rFonts w:hint="eastAsia" w:ascii="宋体" w:hAnsi="宋体" w:cs="宋体"/>
          <w:color w:val="auto"/>
          <w:sz w:val="24"/>
          <w:szCs w:val="24"/>
          <w:highlight w:val="none"/>
        </w:rPr>
        <w:t>（2）如采购人对成交供应商处以违约金，违约金累计计算，在办理本次全过程造价控制结算时扣除。</w:t>
      </w:r>
    </w:p>
    <w:p>
      <w:pPr>
        <w:spacing w:line="540" w:lineRule="exact"/>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t>五、知识产权</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(一)采购人在中华人民共和国境内使用成交竞标人提供的货物及服务时免受第三方提出的侵犯其专利权或其它知识产权的起诉。如果第三方提出侵权指控，成交竞标人应承担由此而引起的一切法律责任和费用。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（二）涉及软件开发等服务类项目知识产权的，知识产权归采购人所有。</w:t>
      </w:r>
    </w:p>
    <w:p>
      <w:pPr>
        <w:spacing w:line="540" w:lineRule="exact"/>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t>六、其他</w:t>
      </w:r>
    </w:p>
    <w:p>
      <w:pPr>
        <w:pageBreakBefore w:val="0"/>
        <w:widowControl w:val="0"/>
        <w:numPr>
          <w:ilvl w:val="0"/>
          <w:numId w:val="0"/>
        </w:numPr>
        <w:kinsoku/>
        <w:wordWrap/>
        <w:overflowPunct/>
        <w:topLinePunct w:val="0"/>
        <w:autoSpaceDE/>
        <w:autoSpaceDN/>
        <w:bidi w:val="0"/>
        <w:spacing w:line="400" w:lineRule="exact"/>
        <w:ind w:left="0" w:leftChars="0" w:firstLine="480" w:firstLineChars="200"/>
        <w:textAlignment w:val="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1、咨询方不得将工程的咨询任务进行挂靠、转包或分包，如经发现，委托方将取消本工程咨询资格，并赔偿因此对委托方造成一切经济损失。</w:t>
      </w:r>
    </w:p>
    <w:p>
      <w:pPr>
        <w:pageBreakBefore w:val="0"/>
        <w:widowControl w:val="0"/>
        <w:numPr>
          <w:ilvl w:val="0"/>
          <w:numId w:val="0"/>
        </w:numPr>
        <w:kinsoku/>
        <w:wordWrap/>
        <w:overflowPunct/>
        <w:topLinePunct w:val="0"/>
        <w:autoSpaceDE/>
        <w:autoSpaceDN/>
        <w:bidi w:val="0"/>
        <w:spacing w:line="400" w:lineRule="exact"/>
        <w:ind w:left="0" w:leftChars="0" w:firstLine="480" w:firstLineChars="200"/>
        <w:textAlignment w:val="auto"/>
        <w:rPr>
          <w:rFonts w:hint="default"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2.咨询方应按照审计的相关规定对项目的前期资料、施工过程资料、工程</w:t>
      </w:r>
      <w:r>
        <w:rPr>
          <w:rFonts w:hint="eastAsia" w:ascii="宋体" w:hAnsi="宋体" w:cs="宋体"/>
          <w:b w:val="0"/>
          <w:color w:val="auto"/>
          <w:kern w:val="2"/>
          <w:sz w:val="24"/>
          <w:szCs w:val="24"/>
          <w:highlight w:val="none"/>
          <w:lang w:val="en-US" w:eastAsia="zh-CN" w:bidi="ar-SA"/>
        </w:rPr>
        <w:t>预算、</w:t>
      </w:r>
      <w:r>
        <w:rPr>
          <w:rFonts w:hint="eastAsia" w:ascii="宋体" w:hAnsi="宋体" w:eastAsia="宋体" w:cs="宋体"/>
          <w:b w:val="0"/>
          <w:color w:val="auto"/>
          <w:kern w:val="2"/>
          <w:sz w:val="24"/>
          <w:szCs w:val="24"/>
          <w:highlight w:val="none"/>
          <w:lang w:val="en-US" w:eastAsia="zh-CN" w:bidi="ar-SA"/>
        </w:rPr>
        <w:t>结算资料进行复核，如资料不齐全或缺失，应提出整改要求。如因咨询方原因而造成项目的资料达不到审计的要求，委托方将对乙方处以5000元/次的违约金，违约金累计结算，在办理全过程造价控制结算时扣除。</w:t>
      </w:r>
    </w:p>
    <w:p>
      <w:pPr>
        <w:pageBreakBefore w:val="0"/>
        <w:widowControl w:val="0"/>
        <w:numPr>
          <w:ilvl w:val="0"/>
          <w:numId w:val="0"/>
        </w:numPr>
        <w:kinsoku/>
        <w:wordWrap/>
        <w:overflowPunct/>
        <w:topLinePunct w:val="0"/>
        <w:autoSpaceDE/>
        <w:autoSpaceDN/>
        <w:bidi w:val="0"/>
        <w:spacing w:line="400" w:lineRule="exact"/>
        <w:ind w:left="0" w:leftChars="0" w:firstLine="480" w:firstLineChars="200"/>
        <w:textAlignment w:val="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3.施工过程中，咨询方应参与所有的材料认质认价、材料调差、进度审核、工程变更、收方、签证、会议等所有工作，并向委托方提出书面材料。如无正当理由而咨询方未参加或出具的咨询结果有较大偏差，委托方将对咨询方处以5000元/次的违约金，违约金累计结算，在办理全过程造价控制结算时扣除。</w:t>
      </w:r>
    </w:p>
    <w:p>
      <w:pPr>
        <w:pageBreakBefore w:val="0"/>
        <w:widowControl w:val="0"/>
        <w:numPr>
          <w:ilvl w:val="0"/>
          <w:numId w:val="0"/>
        </w:numPr>
        <w:kinsoku/>
        <w:wordWrap/>
        <w:overflowPunct/>
        <w:topLinePunct w:val="0"/>
        <w:autoSpaceDE/>
        <w:autoSpaceDN/>
        <w:bidi w:val="0"/>
        <w:spacing w:line="400" w:lineRule="exact"/>
        <w:ind w:left="0" w:leftChars="0" w:firstLine="480" w:firstLineChars="200"/>
        <w:textAlignment w:val="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4.咨询方必须</w:t>
      </w:r>
      <w:r>
        <w:rPr>
          <w:rFonts w:hint="default" w:ascii="宋体" w:hAnsi="宋体" w:eastAsia="宋体" w:cs="宋体"/>
          <w:b w:val="0"/>
          <w:color w:val="auto"/>
          <w:kern w:val="2"/>
          <w:sz w:val="24"/>
          <w:szCs w:val="24"/>
          <w:highlight w:val="none"/>
          <w:lang w:val="en-US" w:eastAsia="zh-CN" w:bidi="ar-SA"/>
        </w:rPr>
        <w:t>建立对现场代表的监管，</w:t>
      </w:r>
      <w:r>
        <w:rPr>
          <w:rFonts w:hint="eastAsia" w:ascii="宋体" w:hAnsi="宋体" w:eastAsia="宋体" w:cs="宋体"/>
          <w:b w:val="0"/>
          <w:color w:val="auto"/>
          <w:kern w:val="2"/>
          <w:sz w:val="24"/>
          <w:szCs w:val="24"/>
          <w:highlight w:val="none"/>
          <w:lang w:val="en-US" w:eastAsia="zh-CN" w:bidi="ar-SA"/>
        </w:rPr>
        <w:t>杜绝现场代表参与与委托方利益相冲突的任何活动，如存在此类情况，委托方将对咨询方处以5000元/次的违约金，违约金累计结算，在办理全过程造价控制结算时扣除。并</w:t>
      </w:r>
      <w:r>
        <w:rPr>
          <w:rFonts w:hint="default" w:ascii="宋体" w:hAnsi="宋体" w:eastAsia="宋体" w:cs="宋体"/>
          <w:b w:val="0"/>
          <w:color w:val="auto"/>
          <w:kern w:val="2"/>
          <w:sz w:val="24"/>
          <w:szCs w:val="24"/>
          <w:highlight w:val="none"/>
          <w:lang w:val="en-US" w:eastAsia="zh-CN" w:bidi="ar-SA"/>
        </w:rPr>
        <w:t>承担因现场代表的违规违法行为造成的一切经济损失和法律责任</w:t>
      </w:r>
      <w:r>
        <w:rPr>
          <w:rFonts w:hint="eastAsia" w:ascii="宋体" w:hAnsi="宋体" w:eastAsia="宋体" w:cs="宋体"/>
          <w:b w:val="0"/>
          <w:color w:val="auto"/>
          <w:kern w:val="2"/>
          <w:sz w:val="24"/>
          <w:szCs w:val="24"/>
          <w:highlight w:val="none"/>
          <w:lang w:val="en-US" w:eastAsia="zh-CN" w:bidi="ar-SA"/>
        </w:rPr>
        <w:t>。</w:t>
      </w:r>
    </w:p>
    <w:p>
      <w:pPr>
        <w:pageBreakBefore w:val="0"/>
        <w:widowControl w:val="0"/>
        <w:numPr>
          <w:ilvl w:val="0"/>
          <w:numId w:val="0"/>
        </w:numPr>
        <w:kinsoku/>
        <w:wordWrap/>
        <w:overflowPunct/>
        <w:topLinePunct w:val="0"/>
        <w:autoSpaceDE/>
        <w:autoSpaceDN/>
        <w:bidi w:val="0"/>
        <w:spacing w:line="400" w:lineRule="exact"/>
        <w:ind w:left="0" w:leftChars="0" w:firstLine="480" w:firstLineChars="200"/>
        <w:textAlignment w:val="auto"/>
        <w:rPr>
          <w:rFonts w:hint="default"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5.咨询方必须确保</w:t>
      </w:r>
      <w:r>
        <w:rPr>
          <w:rFonts w:hint="eastAsia" w:ascii="宋体" w:hAnsi="宋体" w:cs="宋体"/>
          <w:b w:val="0"/>
          <w:color w:val="auto"/>
          <w:kern w:val="2"/>
          <w:sz w:val="24"/>
          <w:szCs w:val="24"/>
          <w:highlight w:val="none"/>
          <w:lang w:val="en-US" w:eastAsia="zh-CN" w:bidi="ar-SA"/>
        </w:rPr>
        <w:t>预算</w:t>
      </w:r>
      <w:r>
        <w:rPr>
          <w:rFonts w:hint="eastAsia" w:ascii="宋体" w:hAnsi="宋体" w:eastAsia="宋体" w:cs="宋体"/>
          <w:b w:val="0"/>
          <w:color w:val="auto"/>
          <w:kern w:val="2"/>
          <w:sz w:val="24"/>
          <w:szCs w:val="24"/>
          <w:highlight w:val="none"/>
          <w:lang w:val="en-US" w:eastAsia="zh-CN" w:bidi="ar-SA"/>
        </w:rPr>
        <w:t>审核</w:t>
      </w:r>
      <w:r>
        <w:rPr>
          <w:rFonts w:hint="eastAsia" w:ascii="宋体" w:hAnsi="宋体" w:cs="宋体"/>
          <w:b w:val="0"/>
          <w:color w:val="auto"/>
          <w:kern w:val="2"/>
          <w:sz w:val="24"/>
          <w:szCs w:val="24"/>
          <w:highlight w:val="none"/>
          <w:lang w:val="en-US" w:eastAsia="zh-CN" w:bidi="ar-SA"/>
        </w:rPr>
        <w:t>和结算审核</w:t>
      </w:r>
      <w:r>
        <w:rPr>
          <w:rFonts w:hint="eastAsia" w:ascii="宋体" w:hAnsi="宋体" w:eastAsia="宋体" w:cs="宋体"/>
          <w:b w:val="0"/>
          <w:color w:val="auto"/>
          <w:kern w:val="2"/>
          <w:sz w:val="24"/>
          <w:szCs w:val="24"/>
          <w:highlight w:val="none"/>
          <w:lang w:val="en-US" w:eastAsia="zh-CN" w:bidi="ar-SA"/>
        </w:rPr>
        <w:t>造价的准确性，若</w:t>
      </w:r>
      <w:r>
        <w:rPr>
          <w:rFonts w:hint="eastAsia" w:ascii="宋体" w:hAnsi="宋体" w:cs="宋体"/>
          <w:b w:val="0"/>
          <w:color w:val="auto"/>
          <w:kern w:val="2"/>
          <w:sz w:val="24"/>
          <w:szCs w:val="24"/>
          <w:highlight w:val="none"/>
          <w:lang w:val="en-US" w:eastAsia="zh-CN" w:bidi="ar-SA"/>
        </w:rPr>
        <w:t>经咨询方</w:t>
      </w:r>
      <w:r>
        <w:rPr>
          <w:rFonts w:hint="eastAsia" w:ascii="宋体" w:hAnsi="宋体" w:eastAsia="宋体" w:cs="宋体"/>
          <w:b w:val="0"/>
          <w:color w:val="auto"/>
          <w:kern w:val="2"/>
          <w:sz w:val="24"/>
          <w:szCs w:val="24"/>
          <w:highlight w:val="none"/>
          <w:lang w:val="en-US" w:eastAsia="zh-CN" w:bidi="ar-SA"/>
        </w:rPr>
        <w:t>结算审核后的造价经委托方复审或国家审计机关审计后偏差率在-5%至+5%范围外，每超出1%，扣除全过程造价控制费用的2%；超出8%（含）以上的，委托方将向有关部门上报情况，建议纳入黑名单企业；委托方从总额中直接扣减咨询方全过程造价控制服务费。同时，结算过程中，若因咨询方原因导致单项工程量清单工程量审减超过10%，委托方将对乙方处以5000元/项的违约金，违约金累计结算，在办理全过程造价控制结算时扣除。</w:t>
      </w:r>
    </w:p>
    <w:p>
      <w:pPr>
        <w:pageBreakBefore w:val="0"/>
        <w:widowControl w:val="0"/>
        <w:numPr>
          <w:ilvl w:val="0"/>
          <w:numId w:val="0"/>
        </w:numPr>
        <w:kinsoku/>
        <w:wordWrap/>
        <w:overflowPunct/>
        <w:topLinePunct w:val="0"/>
        <w:autoSpaceDE/>
        <w:autoSpaceDN/>
        <w:bidi w:val="0"/>
        <w:spacing w:line="400" w:lineRule="exact"/>
        <w:ind w:left="0" w:leftChars="0" w:firstLine="480" w:firstLineChars="200"/>
        <w:textAlignment w:val="auto"/>
        <w:rPr>
          <w:rFonts w:hint="default"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6.咨询方确定的咨询负责人员及其专业人员不得随意更换，若确因以下原因需变更咨询人员的，须经委托人审核同意后方能变更人员；且拟变更人员的职称、执业资格、业绩等资质均不得低于招标文件要求（在商务部分有加分得利的需同时满足），且调整人员的比例不得超过投标文件承诺的人员数量的</w:t>
      </w:r>
      <w:r>
        <w:rPr>
          <w:rFonts w:hint="eastAsia" w:ascii="宋体" w:hAnsi="宋体" w:cs="宋体"/>
          <w:b w:val="0"/>
          <w:color w:val="auto"/>
          <w:kern w:val="2"/>
          <w:sz w:val="24"/>
          <w:szCs w:val="24"/>
          <w:highlight w:val="none"/>
          <w:lang w:val="en-US" w:eastAsia="zh-CN" w:bidi="ar-SA"/>
        </w:rPr>
        <w:t>5</w:t>
      </w:r>
      <w:r>
        <w:rPr>
          <w:rFonts w:hint="eastAsia" w:ascii="宋体" w:hAnsi="宋体" w:eastAsia="宋体" w:cs="宋体"/>
          <w:b w:val="0"/>
          <w:color w:val="auto"/>
          <w:kern w:val="2"/>
          <w:sz w:val="24"/>
          <w:szCs w:val="24"/>
          <w:highlight w:val="none"/>
          <w:lang w:val="en-US" w:eastAsia="zh-CN" w:bidi="ar-SA"/>
        </w:rPr>
        <w:t>0%。符合变更的情况如下：</w:t>
      </w:r>
    </w:p>
    <w:p>
      <w:pPr>
        <w:pageBreakBefore w:val="0"/>
        <w:widowControl w:val="0"/>
        <w:numPr>
          <w:ilvl w:val="0"/>
          <w:numId w:val="0"/>
        </w:numPr>
        <w:kinsoku/>
        <w:wordWrap/>
        <w:overflowPunct/>
        <w:topLinePunct w:val="0"/>
        <w:autoSpaceDE/>
        <w:autoSpaceDN/>
        <w:bidi w:val="0"/>
        <w:spacing w:line="400" w:lineRule="exact"/>
        <w:ind w:left="0" w:leftChars="0" w:firstLine="480" w:firstLineChars="200"/>
        <w:textAlignment w:val="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（1）项目咨询人员死亡、失踪、按《职工非因工伤残或因病丧失劳动能力程度鉴定标准（试行）》规定鉴定为完全丧失劳动能力和大部分丧失劳动能力、劳动（劳务）合同关系解除等；</w:t>
      </w:r>
    </w:p>
    <w:p>
      <w:pPr>
        <w:pageBreakBefore w:val="0"/>
        <w:widowControl w:val="0"/>
        <w:numPr>
          <w:ilvl w:val="0"/>
          <w:numId w:val="0"/>
        </w:numPr>
        <w:kinsoku/>
        <w:wordWrap/>
        <w:overflowPunct/>
        <w:topLinePunct w:val="0"/>
        <w:autoSpaceDE/>
        <w:autoSpaceDN/>
        <w:bidi w:val="0"/>
        <w:spacing w:line="400" w:lineRule="exact"/>
        <w:ind w:left="0" w:leftChars="0" w:firstLine="480" w:firstLineChars="200"/>
        <w:textAlignment w:val="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（2）非咨询人原因，工程项目延期开工或停工时间达三个月以上的；</w:t>
      </w:r>
    </w:p>
    <w:p>
      <w:pPr>
        <w:pageBreakBefore w:val="0"/>
        <w:widowControl w:val="0"/>
        <w:numPr>
          <w:ilvl w:val="0"/>
          <w:numId w:val="0"/>
        </w:numPr>
        <w:kinsoku/>
        <w:wordWrap/>
        <w:overflowPunct/>
        <w:topLinePunct w:val="0"/>
        <w:autoSpaceDE/>
        <w:autoSpaceDN/>
        <w:bidi w:val="0"/>
        <w:spacing w:line="400" w:lineRule="exact"/>
        <w:ind w:left="0" w:leftChars="0" w:firstLine="480" w:firstLineChars="200"/>
        <w:textAlignment w:val="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（3）非咨询人原因，建设工程超过施工合同计划工期达三个月以上的。</w:t>
      </w:r>
    </w:p>
    <w:p>
      <w:pPr>
        <w:pageBreakBefore w:val="0"/>
        <w:widowControl w:val="0"/>
        <w:numPr>
          <w:ilvl w:val="0"/>
          <w:numId w:val="0"/>
        </w:numPr>
        <w:kinsoku/>
        <w:wordWrap/>
        <w:overflowPunct/>
        <w:topLinePunct w:val="0"/>
        <w:autoSpaceDE/>
        <w:autoSpaceDN/>
        <w:bidi w:val="0"/>
        <w:spacing w:line="400" w:lineRule="exact"/>
        <w:ind w:left="0" w:leftChars="0" w:firstLine="480" w:firstLineChars="200"/>
        <w:textAlignment w:val="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7.委托方不定期查岗时，发现咨询方驻场人员擅自更换或脱岗，委托方将对咨询方处以1000元/次的违约金，违约金累计结算，在办理全过程造价控制结算时扣除。</w:t>
      </w:r>
    </w:p>
    <w:p>
      <w:pPr>
        <w:spacing w:line="540" w:lineRule="exact"/>
        <w:ind w:firstLine="480" w:firstLineChars="200"/>
        <w:jc w:val="left"/>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8、（1）乙方未在规定时间内向委托方提供</w:t>
      </w:r>
      <w:r>
        <w:rPr>
          <w:rFonts w:hint="default" w:ascii="宋体" w:hAnsi="宋体" w:eastAsia="宋体" w:cs="宋体"/>
          <w:b w:val="0"/>
          <w:color w:val="auto"/>
          <w:kern w:val="2"/>
          <w:sz w:val="24"/>
          <w:szCs w:val="24"/>
          <w:highlight w:val="none"/>
          <w:lang w:val="en-US" w:eastAsia="zh-CN" w:bidi="ar-SA"/>
        </w:rPr>
        <w:t>全过程造价控制月报</w:t>
      </w:r>
      <w:r>
        <w:rPr>
          <w:rFonts w:hint="eastAsia" w:ascii="宋体" w:hAnsi="宋体" w:eastAsia="宋体" w:cs="宋体"/>
          <w:b w:val="0"/>
          <w:color w:val="auto"/>
          <w:kern w:val="2"/>
          <w:sz w:val="24"/>
          <w:szCs w:val="24"/>
          <w:highlight w:val="none"/>
          <w:lang w:val="en-US" w:eastAsia="zh-CN" w:bidi="ar-SA"/>
        </w:rPr>
        <w:t>的，委托方将对乙方处以2000元/项的违约金；（</w:t>
      </w:r>
      <w:r>
        <w:rPr>
          <w:rFonts w:hint="eastAsia" w:ascii="宋体" w:hAnsi="宋体" w:cs="宋体"/>
          <w:b w:val="0"/>
          <w:color w:val="auto"/>
          <w:kern w:val="2"/>
          <w:sz w:val="24"/>
          <w:szCs w:val="24"/>
          <w:highlight w:val="none"/>
          <w:lang w:val="en-US" w:eastAsia="zh-CN" w:bidi="ar-SA"/>
        </w:rPr>
        <w:t>2</w:t>
      </w:r>
      <w:r>
        <w:rPr>
          <w:rFonts w:hint="eastAsia" w:ascii="宋体" w:hAnsi="宋体" w:eastAsia="宋体" w:cs="宋体"/>
          <w:b w:val="0"/>
          <w:color w:val="auto"/>
          <w:kern w:val="2"/>
          <w:sz w:val="24"/>
          <w:szCs w:val="24"/>
          <w:highlight w:val="none"/>
          <w:lang w:val="en-US" w:eastAsia="zh-CN" w:bidi="ar-SA"/>
        </w:rPr>
        <w:t>）乙方未在规定时间内向委托方提供全过程造价控制年度工作报告的，委托方将对乙方处以5000元/项的违约金；（</w:t>
      </w:r>
      <w:r>
        <w:rPr>
          <w:rFonts w:hint="eastAsia" w:ascii="宋体" w:hAnsi="宋体" w:cs="宋体"/>
          <w:b w:val="0"/>
          <w:color w:val="auto"/>
          <w:kern w:val="2"/>
          <w:sz w:val="24"/>
          <w:szCs w:val="24"/>
          <w:highlight w:val="none"/>
          <w:lang w:val="en-US" w:eastAsia="zh-CN" w:bidi="ar-SA"/>
        </w:rPr>
        <w:t>3</w:t>
      </w:r>
      <w:r>
        <w:rPr>
          <w:rFonts w:hint="eastAsia" w:ascii="宋体" w:hAnsi="宋体" w:eastAsia="宋体" w:cs="宋体"/>
          <w:b w:val="0"/>
          <w:color w:val="auto"/>
          <w:kern w:val="2"/>
          <w:sz w:val="24"/>
          <w:szCs w:val="24"/>
          <w:highlight w:val="none"/>
          <w:lang w:val="en-US" w:eastAsia="zh-CN" w:bidi="ar-SA"/>
        </w:rPr>
        <w:t>）乙方未在</w:t>
      </w:r>
      <w:r>
        <w:rPr>
          <w:rFonts w:hint="default" w:ascii="宋体" w:hAnsi="宋体" w:eastAsia="宋体" w:cs="宋体"/>
          <w:b w:val="0"/>
          <w:color w:val="auto"/>
          <w:kern w:val="2"/>
          <w:sz w:val="24"/>
          <w:szCs w:val="24"/>
          <w:highlight w:val="none"/>
          <w:lang w:val="en-US" w:eastAsia="zh-CN" w:bidi="ar-SA"/>
        </w:rPr>
        <w:t>本合同签订后10个工作日内向</w:t>
      </w:r>
      <w:r>
        <w:rPr>
          <w:rFonts w:hint="eastAsia" w:ascii="宋体" w:hAnsi="宋体" w:eastAsia="宋体" w:cs="宋体"/>
          <w:b w:val="0"/>
          <w:color w:val="auto"/>
          <w:kern w:val="2"/>
          <w:sz w:val="24"/>
          <w:szCs w:val="24"/>
          <w:highlight w:val="none"/>
          <w:lang w:val="en-US" w:eastAsia="zh-CN" w:bidi="ar-SA"/>
        </w:rPr>
        <w:t>委托方</w:t>
      </w:r>
      <w:r>
        <w:rPr>
          <w:rFonts w:hint="default" w:ascii="宋体" w:hAnsi="宋体" w:eastAsia="宋体" w:cs="宋体"/>
          <w:b w:val="0"/>
          <w:color w:val="auto"/>
          <w:kern w:val="2"/>
          <w:sz w:val="24"/>
          <w:szCs w:val="24"/>
          <w:highlight w:val="none"/>
          <w:lang w:val="en-US" w:eastAsia="zh-CN" w:bidi="ar-SA"/>
        </w:rPr>
        <w:t>提交《全过程造价控制实施方案》</w:t>
      </w:r>
      <w:r>
        <w:rPr>
          <w:rFonts w:hint="eastAsia" w:ascii="宋体" w:hAnsi="宋体" w:eastAsia="宋体" w:cs="宋体"/>
          <w:b w:val="0"/>
          <w:color w:val="auto"/>
          <w:kern w:val="2"/>
          <w:sz w:val="24"/>
          <w:szCs w:val="24"/>
          <w:highlight w:val="none"/>
          <w:lang w:val="en-US" w:eastAsia="zh-CN" w:bidi="ar-SA"/>
        </w:rPr>
        <w:t>，委托方将对乙方处以10000元/项的违约金；以上违约金累计结算，在办理全过程造价控制结算时扣除。</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竞标人必须在响应文件中对以上条款和服务承诺明确列出，承诺内容必须达到本篇及竞争性磋商文件其他条款的要求。</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其他未尽事宜由供需双方在采购合同中详细约定。</w:t>
      </w:r>
    </w:p>
    <w:p>
      <w:pPr>
        <w:pStyle w:val="3"/>
        <w:pageBreakBefore/>
        <w:spacing w:line="360" w:lineRule="auto"/>
        <w:jc w:val="center"/>
        <w:rPr>
          <w:rFonts w:ascii="宋体" w:hAnsi="宋体" w:eastAsia="宋体" w:cs="宋体"/>
          <w:b w:val="0"/>
          <w:color w:val="auto"/>
          <w:sz w:val="36"/>
          <w:szCs w:val="30"/>
          <w:highlight w:val="none"/>
        </w:rPr>
      </w:pPr>
      <w:r>
        <w:rPr>
          <w:rFonts w:hint="eastAsia" w:ascii="宋体" w:hAnsi="宋体" w:eastAsia="宋体" w:cs="宋体"/>
          <w:b w:val="0"/>
          <w:color w:val="auto"/>
          <w:sz w:val="36"/>
          <w:szCs w:val="30"/>
          <w:highlight w:val="none"/>
        </w:rPr>
        <w:t>第四篇  磋商程序及方法、评审标准、无效响应和</w:t>
      </w:r>
      <w:r>
        <w:rPr>
          <w:rFonts w:hint="eastAsia" w:ascii="宋体" w:hAnsi="宋体" w:eastAsia="宋体" w:cs="宋体"/>
          <w:b w:val="0"/>
          <w:color w:val="auto"/>
          <w:sz w:val="36"/>
          <w:szCs w:val="36"/>
          <w:highlight w:val="none"/>
        </w:rPr>
        <w:t>采购终止</w:t>
      </w:r>
      <w:bookmarkEnd w:id="27"/>
    </w:p>
    <w:p>
      <w:pPr>
        <w:pStyle w:val="2"/>
        <w:spacing w:line="440" w:lineRule="exact"/>
        <w:rPr>
          <w:rFonts w:ascii="宋体" w:hAnsi="宋体" w:cs="宋体"/>
          <w:color w:val="auto"/>
          <w:sz w:val="24"/>
          <w:szCs w:val="24"/>
          <w:highlight w:val="none"/>
        </w:rPr>
      </w:pPr>
      <w:bookmarkStart w:id="28" w:name="_Toc54278995"/>
      <w:r>
        <w:rPr>
          <w:rFonts w:hint="eastAsia" w:ascii="宋体" w:hAnsi="宋体" w:cs="宋体"/>
          <w:color w:val="auto"/>
          <w:sz w:val="24"/>
          <w:szCs w:val="24"/>
          <w:highlight w:val="none"/>
        </w:rPr>
        <w:t>一、磋商程序及方法</w:t>
      </w:r>
      <w:bookmarkEnd w:id="28"/>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（一）磋商按竞争性磋商文件规定的时间和地点进行，供应商须有法定代表人或其授权代表参加并签到。法定代表人或其授权代表须提供身份证原件核验身份，如无身份证原件核验身份的，无权行使相应权利。</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sz w:val="24"/>
          <w:szCs w:val="24"/>
          <w:highlight w:val="none"/>
        </w:rPr>
        <w:t>1.</w:t>
      </w:r>
      <w:r>
        <w:rPr>
          <w:rFonts w:hint="eastAsia" w:ascii="宋体" w:hAnsi="宋体" w:cs="宋体"/>
          <w:color w:val="auto"/>
          <w:kern w:val="0"/>
          <w:sz w:val="24"/>
          <w:szCs w:val="24"/>
          <w:highlight w:val="none"/>
        </w:rPr>
        <w:t>资格性检查。依据法律法规和竞争性磋商文件的规定，对响应文件中的资格证明、等进行审查，以确定供应商是否具备磋商资格。资格性检查资料表如下：</w:t>
      </w:r>
    </w:p>
    <w:tbl>
      <w:tblPr>
        <w:tblStyle w:val="1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序号</w:t>
            </w:r>
          </w:p>
        </w:tc>
        <w:tc>
          <w:tcPr>
            <w:tcW w:w="5388" w:type="dxa"/>
            <w:gridSpan w:val="2"/>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检查因素</w:t>
            </w:r>
          </w:p>
        </w:tc>
        <w:tc>
          <w:tcPr>
            <w:tcW w:w="3564" w:type="dxa"/>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restart"/>
            <w:noWrap/>
            <w:vAlign w:val="center"/>
          </w:tcPr>
          <w:p>
            <w:pPr>
              <w:spacing w:line="24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1</w:t>
            </w:r>
          </w:p>
        </w:tc>
        <w:tc>
          <w:tcPr>
            <w:tcW w:w="709" w:type="dxa"/>
            <w:vMerge w:val="restart"/>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rPr>
              <w:t>供应商</w:t>
            </w:r>
            <w:r>
              <w:rPr>
                <w:rFonts w:hint="eastAsia" w:ascii="宋体" w:hAnsi="宋体" w:cs="宋体"/>
                <w:color w:val="auto"/>
                <w:sz w:val="21"/>
                <w:szCs w:val="21"/>
                <w:highlight w:val="none"/>
                <w:lang w:val="zh-CN"/>
              </w:rPr>
              <w:t>应符合的基本资格条件</w:t>
            </w:r>
          </w:p>
        </w:tc>
        <w:tc>
          <w:tcPr>
            <w:tcW w:w="4679"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（1）具有独立承担民事责任的能力</w:t>
            </w:r>
          </w:p>
        </w:tc>
        <w:tc>
          <w:tcPr>
            <w:tcW w:w="3564"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 xml:space="preserve">供应商法人营业执照（副本）或事业单位法人证书（副本）或个体工商户营业执照或有效的自然人身份证明或社会团体法人登记证书（提供复印件）； </w:t>
            </w:r>
          </w:p>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676" w:type="dxa"/>
            <w:vMerge w:val="continue"/>
            <w:noWrap/>
            <w:vAlign w:val="center"/>
          </w:tcPr>
          <w:p>
            <w:pPr>
              <w:spacing w:line="240" w:lineRule="exact"/>
              <w:jc w:val="center"/>
              <w:rPr>
                <w:rFonts w:ascii="宋体" w:hAnsi="宋体" w:cs="宋体"/>
                <w:color w:val="auto"/>
                <w:sz w:val="21"/>
                <w:szCs w:val="21"/>
                <w:highlight w:val="none"/>
              </w:rPr>
            </w:pPr>
          </w:p>
        </w:tc>
        <w:tc>
          <w:tcPr>
            <w:tcW w:w="709" w:type="dxa"/>
            <w:vMerge w:val="continue"/>
            <w:noWrap/>
            <w:vAlign w:val="center"/>
          </w:tcPr>
          <w:p>
            <w:pPr>
              <w:spacing w:line="240" w:lineRule="exact"/>
              <w:rPr>
                <w:rFonts w:ascii="宋体" w:hAnsi="宋体" w:cs="宋体"/>
                <w:color w:val="auto"/>
                <w:sz w:val="21"/>
                <w:szCs w:val="21"/>
                <w:highlight w:val="none"/>
                <w:lang w:val="zh-CN"/>
              </w:rPr>
            </w:pPr>
          </w:p>
        </w:tc>
        <w:tc>
          <w:tcPr>
            <w:tcW w:w="4679"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lang w:val="zh-CN"/>
              </w:rPr>
              <w:t>（2）</w:t>
            </w:r>
            <w:r>
              <w:rPr>
                <w:rFonts w:hint="eastAsia" w:ascii="宋体" w:hAnsi="宋体" w:cs="宋体"/>
                <w:color w:val="auto"/>
                <w:sz w:val="21"/>
                <w:szCs w:val="21"/>
                <w:highlight w:val="none"/>
              </w:rPr>
              <w:t>具有良好的商业信誉和健全的财务会计制度</w:t>
            </w:r>
          </w:p>
        </w:tc>
        <w:tc>
          <w:tcPr>
            <w:tcW w:w="3564" w:type="dxa"/>
            <w:vMerge w:val="restart"/>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供应商提供“基本资格条件承诺函”（见格式文件）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676" w:type="dxa"/>
            <w:vMerge w:val="continue"/>
            <w:noWrap/>
            <w:vAlign w:val="center"/>
          </w:tcPr>
          <w:p>
            <w:pPr>
              <w:spacing w:line="240" w:lineRule="exact"/>
              <w:jc w:val="center"/>
              <w:rPr>
                <w:rFonts w:ascii="宋体" w:hAnsi="宋体" w:cs="宋体"/>
                <w:color w:val="auto"/>
                <w:sz w:val="21"/>
                <w:szCs w:val="21"/>
                <w:highlight w:val="none"/>
              </w:rPr>
            </w:pPr>
          </w:p>
        </w:tc>
        <w:tc>
          <w:tcPr>
            <w:tcW w:w="709" w:type="dxa"/>
            <w:vMerge w:val="continue"/>
            <w:noWrap/>
            <w:vAlign w:val="center"/>
          </w:tcPr>
          <w:p>
            <w:pPr>
              <w:spacing w:line="240" w:lineRule="exact"/>
              <w:rPr>
                <w:rFonts w:ascii="宋体" w:hAnsi="宋体" w:cs="宋体"/>
                <w:color w:val="auto"/>
                <w:sz w:val="21"/>
                <w:szCs w:val="21"/>
                <w:highlight w:val="none"/>
                <w:lang w:val="zh-CN"/>
              </w:rPr>
            </w:pPr>
          </w:p>
        </w:tc>
        <w:tc>
          <w:tcPr>
            <w:tcW w:w="4679" w:type="dxa"/>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（3）具有履行合同所必需的设备和专业技术能力</w:t>
            </w:r>
          </w:p>
        </w:tc>
        <w:tc>
          <w:tcPr>
            <w:tcW w:w="3564" w:type="dxa"/>
            <w:vMerge w:val="continue"/>
            <w:noWrap/>
            <w:vAlign w:val="center"/>
          </w:tcPr>
          <w:p>
            <w:pPr>
              <w:spacing w:line="240" w:lineRule="exac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676" w:type="dxa"/>
            <w:vMerge w:val="continue"/>
            <w:noWrap/>
            <w:vAlign w:val="center"/>
          </w:tcPr>
          <w:p>
            <w:pPr>
              <w:spacing w:line="240" w:lineRule="exact"/>
              <w:jc w:val="center"/>
              <w:rPr>
                <w:rFonts w:ascii="宋体" w:hAnsi="宋体" w:cs="宋体"/>
                <w:color w:val="auto"/>
                <w:sz w:val="21"/>
                <w:szCs w:val="21"/>
                <w:highlight w:val="none"/>
              </w:rPr>
            </w:pPr>
          </w:p>
        </w:tc>
        <w:tc>
          <w:tcPr>
            <w:tcW w:w="709" w:type="dxa"/>
            <w:vMerge w:val="continue"/>
            <w:noWrap/>
            <w:vAlign w:val="center"/>
          </w:tcPr>
          <w:p>
            <w:pPr>
              <w:spacing w:line="240" w:lineRule="exact"/>
              <w:rPr>
                <w:rFonts w:ascii="宋体" w:hAnsi="宋体" w:cs="宋体"/>
                <w:color w:val="auto"/>
                <w:sz w:val="21"/>
                <w:szCs w:val="21"/>
                <w:highlight w:val="none"/>
                <w:lang w:val="zh-CN"/>
              </w:rPr>
            </w:pPr>
          </w:p>
        </w:tc>
        <w:tc>
          <w:tcPr>
            <w:tcW w:w="4679" w:type="dxa"/>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（4）有依法缴纳税收和社会保障金的良好记录</w:t>
            </w:r>
          </w:p>
        </w:tc>
        <w:tc>
          <w:tcPr>
            <w:tcW w:w="3564" w:type="dxa"/>
            <w:vMerge w:val="continue"/>
            <w:noWrap/>
            <w:vAlign w:val="center"/>
          </w:tcPr>
          <w:p>
            <w:pPr>
              <w:spacing w:line="240" w:lineRule="exac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noWrap/>
            <w:vAlign w:val="center"/>
          </w:tcPr>
          <w:p>
            <w:pPr>
              <w:spacing w:line="240" w:lineRule="exact"/>
              <w:jc w:val="center"/>
              <w:rPr>
                <w:rFonts w:ascii="宋体" w:hAnsi="宋体" w:cs="宋体"/>
                <w:color w:val="auto"/>
                <w:sz w:val="21"/>
                <w:szCs w:val="21"/>
                <w:highlight w:val="none"/>
              </w:rPr>
            </w:pPr>
          </w:p>
        </w:tc>
        <w:tc>
          <w:tcPr>
            <w:tcW w:w="709" w:type="dxa"/>
            <w:vMerge w:val="continue"/>
            <w:noWrap/>
            <w:vAlign w:val="center"/>
          </w:tcPr>
          <w:p>
            <w:pPr>
              <w:spacing w:line="240" w:lineRule="exact"/>
              <w:rPr>
                <w:rFonts w:ascii="宋体" w:hAnsi="宋体" w:cs="宋体"/>
                <w:color w:val="auto"/>
                <w:sz w:val="21"/>
                <w:szCs w:val="21"/>
                <w:highlight w:val="none"/>
                <w:lang w:val="zh-CN"/>
              </w:rPr>
            </w:pPr>
          </w:p>
        </w:tc>
        <w:tc>
          <w:tcPr>
            <w:tcW w:w="4679" w:type="dxa"/>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rPr>
              <w:t>（5）参加政府采购活动前三年内，在经营活动中没有重大违法记录（注</w:t>
            </w: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eq \o\ac(○,</w:instrText>
            </w:r>
            <w:r>
              <w:rPr>
                <w:rFonts w:hint="eastAsia" w:ascii="宋体" w:hAnsi="宋体" w:cs="宋体"/>
                <w:color w:val="auto"/>
                <w:kern w:val="0"/>
                <w:position w:val="3"/>
                <w:sz w:val="16"/>
                <w:szCs w:val="24"/>
                <w:highlight w:val="none"/>
              </w:rPr>
              <w:instrText xml:space="preserve">2</w:instrText>
            </w:r>
            <w:r>
              <w:rPr>
                <w:rFonts w:hint="eastAsia" w:ascii="宋体" w:hAnsi="宋体" w:cs="宋体"/>
                <w:color w:val="auto"/>
                <w:kern w:val="0"/>
                <w:sz w:val="24"/>
                <w:szCs w:val="24"/>
                <w:highlight w:val="none"/>
              </w:rPr>
              <w:instrText xml:space="preserve">)</w:instrText>
            </w:r>
            <w:r>
              <w:rPr>
                <w:rFonts w:hint="eastAsia" w:ascii="宋体" w:hAnsi="宋体" w:cs="宋体"/>
                <w:color w:val="auto"/>
                <w:kern w:val="0"/>
                <w:sz w:val="24"/>
                <w:szCs w:val="24"/>
                <w:highlight w:val="none"/>
              </w:rPr>
              <w:fldChar w:fldCharType="end"/>
            </w:r>
            <w:r>
              <w:rPr>
                <w:rFonts w:hint="eastAsia" w:ascii="宋体" w:hAnsi="宋体" w:cs="宋体"/>
                <w:color w:val="auto"/>
                <w:sz w:val="21"/>
                <w:szCs w:val="21"/>
                <w:highlight w:val="none"/>
              </w:rPr>
              <w:t>）</w:t>
            </w:r>
          </w:p>
        </w:tc>
        <w:tc>
          <w:tcPr>
            <w:tcW w:w="3564" w:type="dxa"/>
            <w:noWrap/>
            <w:vAlign w:val="center"/>
          </w:tcPr>
          <w:p>
            <w:pPr>
              <w:spacing w:line="240" w:lineRule="exact"/>
              <w:rPr>
                <w:rFonts w:ascii="宋体" w:hAnsi="宋体" w:cs="宋体"/>
                <w:b/>
                <w:color w:val="auto"/>
                <w:sz w:val="21"/>
                <w:szCs w:val="21"/>
                <w:highlight w:val="none"/>
              </w:rPr>
            </w:pPr>
            <w:r>
              <w:rPr>
                <w:rFonts w:hint="eastAsia" w:ascii="宋体" w:hAnsi="宋体" w:cs="宋体"/>
                <w:b/>
                <w:color w:val="auto"/>
                <w:sz w:val="21"/>
                <w:szCs w:val="21"/>
                <w:highlight w:val="none"/>
              </w:rPr>
              <w:t>1.供应商提供“基本资格条件承诺函”（见格式文件）；</w:t>
            </w:r>
          </w:p>
          <w:p>
            <w:pPr>
              <w:spacing w:line="240" w:lineRule="exact"/>
              <w:rPr>
                <w:rFonts w:ascii="宋体" w:hAnsi="宋体" w:cs="宋体"/>
                <w:color w:val="auto"/>
                <w:sz w:val="21"/>
                <w:szCs w:val="21"/>
                <w:highlight w:val="none"/>
              </w:rPr>
            </w:pPr>
            <w:r>
              <w:rPr>
                <w:rFonts w:hint="eastAsia" w:ascii="宋体" w:hAnsi="宋体" w:cs="宋体"/>
                <w:b/>
                <w:color w:val="auto"/>
                <w:sz w:val="21"/>
                <w:szCs w:val="21"/>
                <w:highlight w:val="none"/>
              </w:rPr>
              <w:t>2.采购人将通过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676" w:type="dxa"/>
            <w:vMerge w:val="continue"/>
            <w:noWrap/>
            <w:vAlign w:val="center"/>
          </w:tcPr>
          <w:p>
            <w:pPr>
              <w:spacing w:line="240" w:lineRule="exact"/>
              <w:jc w:val="center"/>
              <w:rPr>
                <w:rFonts w:ascii="宋体" w:hAnsi="宋体" w:cs="宋体"/>
                <w:color w:val="auto"/>
                <w:sz w:val="21"/>
                <w:szCs w:val="21"/>
                <w:highlight w:val="none"/>
              </w:rPr>
            </w:pPr>
          </w:p>
        </w:tc>
        <w:tc>
          <w:tcPr>
            <w:tcW w:w="709" w:type="dxa"/>
            <w:vMerge w:val="continue"/>
            <w:noWrap/>
            <w:vAlign w:val="center"/>
          </w:tcPr>
          <w:p>
            <w:pPr>
              <w:spacing w:line="240" w:lineRule="exact"/>
              <w:rPr>
                <w:rFonts w:ascii="宋体" w:hAnsi="宋体" w:cs="宋体"/>
                <w:color w:val="auto"/>
                <w:sz w:val="21"/>
                <w:szCs w:val="21"/>
                <w:highlight w:val="none"/>
                <w:lang w:val="zh-CN"/>
              </w:rPr>
            </w:pPr>
          </w:p>
        </w:tc>
        <w:tc>
          <w:tcPr>
            <w:tcW w:w="4679"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（6）法律、行政法规规定的其他条件</w:t>
            </w:r>
          </w:p>
        </w:tc>
        <w:tc>
          <w:tcPr>
            <w:tcW w:w="3564" w:type="dxa"/>
            <w:noWrap/>
            <w:vAlign w:val="center"/>
          </w:tcPr>
          <w:p>
            <w:pPr>
              <w:spacing w:line="240" w:lineRule="exac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noWrap/>
            <w:vAlign w:val="center"/>
          </w:tcPr>
          <w:p>
            <w:pPr>
              <w:spacing w:line="24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2</w:t>
            </w:r>
          </w:p>
        </w:tc>
        <w:tc>
          <w:tcPr>
            <w:tcW w:w="5388" w:type="dxa"/>
            <w:gridSpan w:val="2"/>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特定资格条件</w:t>
            </w:r>
          </w:p>
        </w:tc>
        <w:tc>
          <w:tcPr>
            <w:tcW w:w="3564"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按第一篇“（二）特定资格条件”的要求</w:t>
            </w:r>
          </w:p>
        </w:tc>
      </w:tr>
    </w:tbl>
    <w:p>
      <w:pPr>
        <w:snapToGrid w:val="0"/>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注：</w:t>
      </w:r>
    </w:p>
    <w:p>
      <w:pPr>
        <w:snapToGrid w:val="0"/>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eq \o\ac(○,</w:instrText>
      </w:r>
      <w:r>
        <w:rPr>
          <w:rFonts w:hint="eastAsia" w:ascii="宋体" w:hAnsi="宋体" w:cs="宋体"/>
          <w:color w:val="auto"/>
          <w:kern w:val="0"/>
          <w:position w:val="3"/>
          <w:sz w:val="16"/>
          <w:szCs w:val="24"/>
          <w:highlight w:val="none"/>
        </w:rPr>
        <w:instrText xml:space="preserve">1</w:instrText>
      </w:r>
      <w:r>
        <w:rPr>
          <w:rFonts w:hint="eastAsia" w:ascii="宋体" w:hAnsi="宋体" w:cs="宋体"/>
          <w:color w:val="auto"/>
          <w:kern w:val="0"/>
          <w:sz w:val="24"/>
          <w:szCs w:val="24"/>
          <w:highlight w:val="none"/>
        </w:rPr>
        <w:instrText xml:space="preserve">)</w:instrText>
      </w:r>
      <w:r>
        <w:rPr>
          <w:rFonts w:hint="eastAsia"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供应商按“多证合一”登记制度办理营业执照的，税务登记证（副本）和社会保险登记证以供应商所提供的营业执照（副本）复印件为准。</w:t>
      </w:r>
    </w:p>
    <w:p>
      <w:pPr>
        <w:snapToGrid w:val="0"/>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eq \o\ac(○,</w:instrText>
      </w:r>
      <w:r>
        <w:rPr>
          <w:rFonts w:hint="eastAsia" w:ascii="宋体" w:hAnsi="宋体" w:cs="宋体"/>
          <w:color w:val="auto"/>
          <w:kern w:val="0"/>
          <w:position w:val="3"/>
          <w:sz w:val="16"/>
          <w:szCs w:val="24"/>
          <w:highlight w:val="none"/>
        </w:rPr>
        <w:instrText xml:space="preserve">2</w:instrText>
      </w:r>
      <w:r>
        <w:rPr>
          <w:rFonts w:hint="eastAsia" w:ascii="宋体" w:hAnsi="宋体" w:cs="宋体"/>
          <w:color w:val="auto"/>
          <w:kern w:val="0"/>
          <w:sz w:val="24"/>
          <w:szCs w:val="24"/>
          <w:highlight w:val="none"/>
        </w:rPr>
        <w:instrText xml:space="preserve">)</w:instrText>
      </w:r>
      <w:r>
        <w:rPr>
          <w:rFonts w:hint="eastAsia"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snapToGrid w:val="0"/>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1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序号</w:t>
            </w:r>
          </w:p>
        </w:tc>
        <w:tc>
          <w:tcPr>
            <w:tcW w:w="3544" w:type="dxa"/>
            <w:gridSpan w:val="2"/>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评审因素</w:t>
            </w:r>
          </w:p>
        </w:tc>
        <w:tc>
          <w:tcPr>
            <w:tcW w:w="5409" w:type="dxa"/>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560" w:type="dxa"/>
            <w:vMerge w:val="restart"/>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有效性审查</w:t>
            </w: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响应文件签署</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kern w:val="0"/>
                <w:sz w:val="21"/>
                <w:szCs w:val="21"/>
                <w:highlight w:val="none"/>
              </w:rPr>
            </w:pPr>
          </w:p>
        </w:tc>
        <w:tc>
          <w:tcPr>
            <w:tcW w:w="1984"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法定代表人身份证明及授权委托书</w:t>
            </w:r>
          </w:p>
        </w:tc>
        <w:tc>
          <w:tcPr>
            <w:tcW w:w="5409"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kern w:val="0"/>
                <w:sz w:val="21"/>
                <w:szCs w:val="21"/>
                <w:highlight w:val="none"/>
              </w:rPr>
            </w:pPr>
          </w:p>
        </w:tc>
        <w:tc>
          <w:tcPr>
            <w:tcW w:w="1984" w:type="dxa"/>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方案</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lang w:val="zh-CN"/>
              </w:rPr>
              <w:t>每个分包只能有一个</w:t>
            </w: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kern w:val="0"/>
                <w:sz w:val="21"/>
                <w:szCs w:val="21"/>
                <w:highlight w:val="none"/>
              </w:rPr>
            </w:pPr>
          </w:p>
        </w:tc>
        <w:tc>
          <w:tcPr>
            <w:tcW w:w="1984" w:type="dxa"/>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rPr>
              <w:t>报价唯一</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560"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完整性审查</w:t>
            </w: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文件份数</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文件正、副本数量（含电子文档）符合</w:t>
            </w:r>
            <w:r>
              <w:rPr>
                <w:rFonts w:hint="eastAsia" w:ascii="宋体" w:hAnsi="宋体" w:cs="宋体"/>
                <w:color w:val="auto"/>
                <w:sz w:val="21"/>
                <w:szCs w:val="21"/>
                <w:highlight w:val="none"/>
              </w:rPr>
              <w:t>竞争性磋商</w:t>
            </w:r>
            <w:r>
              <w:rPr>
                <w:rFonts w:hint="eastAsia" w:ascii="宋体" w:hAnsi="宋体" w:cs="宋体"/>
                <w:color w:val="auto"/>
                <w:sz w:val="21"/>
                <w:szCs w:val="21"/>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560" w:type="dxa"/>
            <w:vMerge w:val="restart"/>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kern w:val="0"/>
                <w:sz w:val="21"/>
                <w:szCs w:val="21"/>
                <w:highlight w:val="none"/>
              </w:rPr>
              <w:t>竞争性磋商文件的响应程度审查</w:t>
            </w: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响应文件内容</w:t>
            </w:r>
          </w:p>
        </w:tc>
        <w:tc>
          <w:tcPr>
            <w:tcW w:w="5409" w:type="dxa"/>
            <w:noWrap/>
            <w:vAlign w:val="center"/>
          </w:tcPr>
          <w:p>
            <w:pPr>
              <w:pStyle w:val="8"/>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sz w:val="21"/>
                <w:szCs w:val="21"/>
                <w:highlight w:val="none"/>
                <w:lang w:val="zh-CN"/>
              </w:rPr>
            </w:pP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磋商有效期</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满足磋商文件</w:t>
            </w:r>
            <w:r>
              <w:rPr>
                <w:rFonts w:hint="eastAsia" w:ascii="宋体" w:hAnsi="宋体" w:cs="宋体"/>
                <w:color w:val="auto"/>
                <w:sz w:val="21"/>
                <w:szCs w:val="21"/>
                <w:highlight w:val="none"/>
                <w:lang w:val="zh-CN"/>
              </w:rPr>
              <w:t>规定。</w:t>
            </w:r>
          </w:p>
        </w:tc>
      </w:tr>
    </w:tbl>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（五）在磋商过程中磋商的任何一方不得向他人透露与磋商有关的服务资料、价格或其他信息。</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（七）供应商在磋商时作出的所有书面承诺须由法定代表人或其授权代表签字。</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若最后报价高于响应文件报价的或被认定为无效竞标的，价格部分按零分处理，且不能成为成交候选人。</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（九）磋商小组采用综合评分法对提交最后报价的供应商的响应文件和最后报价（含有效书面承诺）进行综合评分。</w:t>
      </w:r>
      <w:r>
        <w:rPr>
          <w:rFonts w:hint="eastAsia" w:ascii="宋体" w:hAnsi="宋体" w:cs="宋体"/>
          <w:color w:val="auto"/>
          <w:kern w:val="0"/>
          <w:sz w:val="24"/>
          <w:szCs w:val="24"/>
          <w:highlight w:val="none"/>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105分，其中：5分为政策性加分</w:t>
      </w:r>
      <w:r>
        <w:rPr>
          <w:rFonts w:hint="eastAsia" w:ascii="宋体" w:hAnsi="宋体" w:cs="宋体"/>
          <w:color w:val="auto"/>
          <w:sz w:val="24"/>
          <w:szCs w:val="24"/>
          <w:highlight w:val="none"/>
        </w:rPr>
        <w:t>。（详见评审标准）。</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（十）磋商小组各成员独立对每个有效响应（通过资格性检查、</w:t>
      </w:r>
      <w:r>
        <w:rPr>
          <w:rFonts w:hint="eastAsia" w:ascii="宋体" w:hAnsi="宋体" w:cs="宋体"/>
          <w:color w:val="auto"/>
          <w:kern w:val="0"/>
          <w:sz w:val="24"/>
          <w:szCs w:val="24"/>
          <w:highlight w:val="none"/>
        </w:rPr>
        <w:t>符合性检查的供应商</w:t>
      </w:r>
      <w:r>
        <w:rPr>
          <w:rFonts w:hint="eastAsia" w:ascii="宋体" w:hAnsi="宋体" w:cs="宋体"/>
          <w:color w:val="auto"/>
          <w:sz w:val="24"/>
          <w:szCs w:val="24"/>
          <w:highlight w:val="none"/>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2"/>
        <w:spacing w:line="440" w:lineRule="exact"/>
        <w:rPr>
          <w:rFonts w:ascii="宋体" w:hAnsi="宋体" w:cs="宋体"/>
          <w:color w:val="auto"/>
          <w:sz w:val="24"/>
          <w:szCs w:val="24"/>
          <w:highlight w:val="none"/>
        </w:rPr>
      </w:pPr>
      <w:bookmarkStart w:id="29" w:name="_Toc54278996"/>
      <w:r>
        <w:rPr>
          <w:rFonts w:hint="eastAsia" w:ascii="宋体" w:hAnsi="宋体" w:cs="宋体"/>
          <w:color w:val="auto"/>
          <w:sz w:val="24"/>
          <w:szCs w:val="24"/>
          <w:highlight w:val="none"/>
        </w:rPr>
        <w:t>二、</w:t>
      </w:r>
      <w:bookmarkStart w:id="30" w:name="_Toc342913394"/>
      <w:bookmarkStart w:id="31" w:name="_Toc102227320"/>
      <w:r>
        <w:rPr>
          <w:rFonts w:hint="eastAsia" w:ascii="宋体" w:hAnsi="宋体" w:cs="宋体"/>
          <w:color w:val="auto"/>
          <w:sz w:val="24"/>
          <w:szCs w:val="24"/>
          <w:highlight w:val="none"/>
        </w:rPr>
        <w:t>评审标准</w:t>
      </w:r>
      <w:bookmarkEnd w:id="29"/>
      <w:r>
        <w:rPr>
          <w:rFonts w:hint="eastAsia" w:ascii="宋体" w:hAnsi="宋体" w:cs="宋体"/>
          <w:color w:val="auto"/>
          <w:sz w:val="24"/>
          <w:szCs w:val="24"/>
          <w:highlight w:val="none"/>
        </w:rPr>
        <w:t>注</w:t>
      </w:r>
    </w:p>
    <w:tbl>
      <w:tblPr>
        <w:tblStyle w:val="14"/>
        <w:tblW w:w="9482"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653"/>
        <w:gridCol w:w="765"/>
        <w:gridCol w:w="5133"/>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trPr>
        <w:tc>
          <w:tcPr>
            <w:tcW w:w="589" w:type="dxa"/>
            <w:noWrap/>
            <w:vAlign w:val="center"/>
          </w:tcPr>
          <w:p>
            <w:pPr>
              <w:rPr>
                <w:rFonts w:ascii="宋体" w:hAnsi="宋体" w:cs="宋体"/>
                <w:color w:val="auto"/>
                <w:sz w:val="24"/>
                <w:highlight w:val="none"/>
              </w:rPr>
            </w:pPr>
            <w:r>
              <w:rPr>
                <w:rFonts w:hint="eastAsia" w:ascii="宋体" w:hAnsi="宋体" w:cs="宋体"/>
                <w:color w:val="auto"/>
                <w:sz w:val="24"/>
                <w:highlight w:val="none"/>
              </w:rPr>
              <w:t>1</w:t>
            </w:r>
          </w:p>
        </w:tc>
        <w:tc>
          <w:tcPr>
            <w:tcW w:w="1418" w:type="dxa"/>
            <w:gridSpan w:val="2"/>
            <w:noWrap/>
            <w:vAlign w:val="center"/>
          </w:tcPr>
          <w:p>
            <w:pP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投标报价得分</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10分</w:t>
            </w:r>
            <w:r>
              <w:rPr>
                <w:rFonts w:hint="eastAsia" w:ascii="宋体" w:hAnsi="宋体" w:cs="宋体"/>
                <w:color w:val="auto"/>
                <w:sz w:val="24"/>
                <w:highlight w:val="none"/>
                <w:lang w:val="en-US" w:eastAsia="zh-CN"/>
              </w:rPr>
              <w:t>)</w:t>
            </w:r>
          </w:p>
        </w:tc>
        <w:tc>
          <w:tcPr>
            <w:tcW w:w="5133" w:type="dxa"/>
            <w:noWrap/>
            <w:vAlign w:val="center"/>
          </w:tcPr>
          <w:p>
            <w:pPr>
              <w:ind w:firstLine="480" w:firstLineChars="200"/>
              <w:rPr>
                <w:rFonts w:ascii="宋体" w:hAnsi="宋体" w:cs="宋体"/>
                <w:color w:val="auto"/>
                <w:sz w:val="24"/>
                <w:highlight w:val="none"/>
              </w:rPr>
            </w:pPr>
            <w:r>
              <w:rPr>
                <w:rFonts w:hint="eastAsia" w:ascii="宋体" w:hAnsi="宋体" w:cs="宋体"/>
                <w:color w:val="auto"/>
                <w:sz w:val="24"/>
                <w:highlight w:val="none"/>
              </w:rPr>
              <w:t>满足资格要求且最后报价最低的供应商的价格为磋商基准价，</w:t>
            </w:r>
          </w:p>
          <w:p>
            <w:pPr>
              <w:rPr>
                <w:rFonts w:ascii="宋体" w:hAnsi="宋体" w:cs="宋体"/>
                <w:color w:val="auto"/>
                <w:sz w:val="24"/>
                <w:highlight w:val="none"/>
              </w:rPr>
            </w:pPr>
            <w:r>
              <w:rPr>
                <w:rFonts w:hint="eastAsia" w:ascii="宋体" w:hAnsi="宋体" w:cs="宋体"/>
                <w:color w:val="auto"/>
                <w:sz w:val="24"/>
                <w:highlight w:val="none"/>
              </w:rPr>
              <w:t>按照下列公式计算每个的投标价格得分。</w:t>
            </w:r>
          </w:p>
          <w:p>
            <w:pPr>
              <w:rPr>
                <w:rFonts w:ascii="宋体" w:hAnsi="宋体" w:cs="宋体"/>
                <w:color w:val="auto"/>
                <w:sz w:val="24"/>
                <w:highlight w:val="none"/>
              </w:rPr>
            </w:pPr>
            <w:r>
              <w:rPr>
                <w:rFonts w:hint="eastAsia" w:ascii="宋体" w:hAnsi="宋体" w:cs="宋体"/>
                <w:color w:val="auto"/>
                <w:sz w:val="24"/>
                <w:highlight w:val="none"/>
              </w:rPr>
              <w:t>投标报价得分=（评标基准价/投标报价）×价格权重×100。</w:t>
            </w:r>
          </w:p>
          <w:p>
            <w:pPr>
              <w:rPr>
                <w:rFonts w:ascii="宋体" w:hAnsi="宋体" w:cs="宋体"/>
                <w:color w:val="auto"/>
                <w:sz w:val="24"/>
                <w:highlight w:val="none"/>
              </w:rPr>
            </w:pPr>
            <w:r>
              <w:rPr>
                <w:rFonts w:hint="eastAsia" w:ascii="宋体" w:hAnsi="宋体" w:cs="宋体"/>
                <w:color w:val="auto"/>
                <w:sz w:val="24"/>
                <w:highlight w:val="none"/>
              </w:rPr>
              <w:t>以上计算取小数点后两位，第三位四舍五入。</w:t>
            </w:r>
          </w:p>
        </w:tc>
        <w:tc>
          <w:tcPr>
            <w:tcW w:w="2342" w:type="dxa"/>
            <w:noWrap/>
            <w:vAlign w:val="center"/>
          </w:tcPr>
          <w:p>
            <w:pPr>
              <w:rPr>
                <w:rFonts w:ascii="宋体" w:hAnsi="宋体" w:cs="宋体"/>
                <w:color w:val="auto"/>
                <w:sz w:val="24"/>
                <w:highlight w:val="none"/>
              </w:rPr>
            </w:pPr>
            <w:r>
              <w:rPr>
                <w:rFonts w:hint="eastAsia" w:ascii="宋体" w:hAnsi="宋体" w:cs="宋体"/>
                <w:color w:val="auto"/>
                <w:sz w:val="24"/>
                <w:highlight w:val="none"/>
              </w:rPr>
              <w:t>注意：本次项目现场须进行第二次报价（最后报价），以第二次报价计算分值。</w:t>
            </w:r>
          </w:p>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trPr>
        <w:tc>
          <w:tcPr>
            <w:tcW w:w="589" w:type="dxa"/>
            <w:noWrap/>
            <w:vAlign w:val="center"/>
          </w:tcPr>
          <w:p>
            <w:pPr>
              <w:rPr>
                <w:rFonts w:ascii="宋体" w:hAnsi="宋体" w:cs="宋体"/>
                <w:color w:val="auto"/>
                <w:sz w:val="24"/>
                <w:highlight w:val="none"/>
              </w:rPr>
            </w:pPr>
            <w:r>
              <w:rPr>
                <w:rFonts w:hint="eastAsia" w:ascii="宋体" w:hAnsi="宋体" w:cs="宋体"/>
                <w:color w:val="auto"/>
                <w:sz w:val="24"/>
                <w:highlight w:val="none"/>
              </w:rPr>
              <w:t>2</w:t>
            </w:r>
          </w:p>
        </w:tc>
        <w:tc>
          <w:tcPr>
            <w:tcW w:w="653" w:type="dxa"/>
            <w:tcBorders>
              <w:top w:val="nil"/>
            </w:tcBorders>
            <w:noWrap/>
            <w:vAlign w:val="center"/>
          </w:tcPr>
          <w:p>
            <w:pPr>
              <w:rPr>
                <w:rFonts w:ascii="宋体" w:hAnsi="宋体" w:cs="宋体"/>
                <w:color w:val="auto"/>
                <w:sz w:val="24"/>
                <w:highlight w:val="none"/>
              </w:rPr>
            </w:pPr>
            <w:r>
              <w:rPr>
                <w:rFonts w:hint="eastAsia" w:ascii="宋体" w:hAnsi="宋体" w:cs="宋体"/>
                <w:color w:val="auto"/>
                <w:sz w:val="24"/>
                <w:highlight w:val="none"/>
              </w:rPr>
              <w:t>技术部分(50分)</w:t>
            </w:r>
          </w:p>
        </w:tc>
        <w:tc>
          <w:tcPr>
            <w:tcW w:w="765" w:type="dxa"/>
            <w:tcBorders>
              <w:top w:val="nil"/>
            </w:tcBorders>
            <w:noWrap/>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技术方案</w:t>
            </w:r>
          </w:p>
        </w:tc>
        <w:tc>
          <w:tcPr>
            <w:tcW w:w="5133" w:type="dxa"/>
            <w:noWrap/>
            <w:vAlign w:val="center"/>
          </w:tcPr>
          <w:p>
            <w:pPr>
              <w:numPr>
                <w:ilvl w:val="0"/>
                <w:numId w:val="3"/>
              </w:numPr>
              <w:rPr>
                <w:rFonts w:ascii="宋体" w:hAnsi="宋体" w:cs="宋体"/>
                <w:bCs/>
                <w:color w:val="auto"/>
                <w:sz w:val="24"/>
                <w:szCs w:val="24"/>
                <w:highlight w:val="none"/>
              </w:rPr>
            </w:pPr>
            <w:r>
              <w:rPr>
                <w:rFonts w:hint="eastAsia" w:ascii="宋体" w:hAnsi="宋体" w:cs="宋体"/>
                <w:bCs/>
                <w:color w:val="auto"/>
                <w:sz w:val="21"/>
                <w:szCs w:val="21"/>
                <w:highlight w:val="none"/>
              </w:rPr>
              <w:t>指导思想和工作目标</w:t>
            </w:r>
            <w:r>
              <w:rPr>
                <w:rFonts w:hint="eastAsia" w:ascii="宋体" w:hAnsi="宋体" w:cs="宋体"/>
                <w:color w:val="auto"/>
                <w:sz w:val="24"/>
                <w:szCs w:val="24"/>
                <w:highlight w:val="none"/>
              </w:rPr>
              <w:t>（0-7分）：</w:t>
            </w:r>
            <w:r>
              <w:rPr>
                <w:rFonts w:hint="eastAsia" w:ascii="宋体" w:hAnsi="宋体" w:cs="宋体"/>
                <w:bCs/>
                <w:color w:val="auto"/>
                <w:sz w:val="24"/>
                <w:szCs w:val="24"/>
                <w:highlight w:val="none"/>
              </w:rPr>
              <w:t>指导思想完整、工作目标清晰全面、科学合理、逻辑性强。</w:t>
            </w:r>
          </w:p>
          <w:p>
            <w:pPr>
              <w:ind w:firstLine="240" w:firstLineChars="100"/>
              <w:rPr>
                <w:rFonts w:ascii="宋体" w:hAnsi="宋体" w:cs="宋体"/>
                <w:bCs/>
                <w:color w:val="auto"/>
                <w:sz w:val="24"/>
                <w:szCs w:val="24"/>
                <w:highlight w:val="none"/>
              </w:rPr>
            </w:pPr>
            <w:r>
              <w:rPr>
                <w:rFonts w:hint="eastAsia" w:ascii="宋体" w:hAnsi="宋体" w:cs="宋体"/>
                <w:bCs/>
                <w:color w:val="auto"/>
                <w:sz w:val="24"/>
                <w:szCs w:val="24"/>
                <w:highlight w:val="none"/>
              </w:rPr>
              <w:t>优得7分，良得5分，一般得2分，差得0分。</w:t>
            </w:r>
          </w:p>
          <w:p>
            <w:pPr>
              <w:numPr>
                <w:ilvl w:val="0"/>
                <w:numId w:val="3"/>
              </w:numPr>
              <w:rPr>
                <w:rFonts w:ascii="宋体" w:hAnsi="宋体" w:cs="宋体"/>
                <w:bCs/>
                <w:color w:val="auto"/>
                <w:sz w:val="24"/>
                <w:szCs w:val="24"/>
                <w:highlight w:val="none"/>
              </w:rPr>
            </w:pPr>
            <w:r>
              <w:rPr>
                <w:rFonts w:hint="eastAsia" w:ascii="宋体" w:hAnsi="宋体" w:cs="宋体"/>
                <w:bCs/>
                <w:color w:val="auto"/>
                <w:sz w:val="24"/>
                <w:szCs w:val="24"/>
                <w:highlight w:val="none"/>
              </w:rPr>
              <w:t>竞标人内部控制制度及措施（0-7分）：内控制度完整、可实施性强。</w:t>
            </w:r>
          </w:p>
          <w:p>
            <w:pPr>
              <w:ind w:firstLine="360" w:firstLineChars="150"/>
              <w:rPr>
                <w:rFonts w:ascii="宋体" w:hAnsi="宋体" w:cs="宋体"/>
                <w:bCs/>
                <w:color w:val="auto"/>
                <w:sz w:val="24"/>
                <w:szCs w:val="24"/>
                <w:highlight w:val="none"/>
              </w:rPr>
            </w:pPr>
            <w:r>
              <w:rPr>
                <w:rFonts w:hint="eastAsia" w:ascii="宋体" w:hAnsi="宋体" w:cs="宋体"/>
                <w:bCs/>
                <w:color w:val="auto"/>
                <w:sz w:val="24"/>
                <w:szCs w:val="24"/>
                <w:highlight w:val="none"/>
              </w:rPr>
              <w:t>优得7分，良得5分，一般得2分，差得0分。</w:t>
            </w:r>
          </w:p>
          <w:p>
            <w:pPr>
              <w:numPr>
                <w:ilvl w:val="0"/>
                <w:numId w:val="3"/>
              </w:numPr>
              <w:rPr>
                <w:rFonts w:ascii="宋体" w:hAnsi="宋体" w:cs="宋体"/>
                <w:bCs/>
                <w:color w:val="auto"/>
                <w:sz w:val="24"/>
                <w:szCs w:val="24"/>
                <w:highlight w:val="none"/>
              </w:rPr>
            </w:pPr>
            <w:r>
              <w:rPr>
                <w:rFonts w:hint="eastAsia" w:ascii="宋体" w:hAnsi="宋体" w:cs="宋体"/>
                <w:bCs/>
                <w:color w:val="auto"/>
                <w:sz w:val="24"/>
                <w:szCs w:val="24"/>
                <w:highlight w:val="none"/>
              </w:rPr>
              <w:t>对招标项目的程序及方法</w:t>
            </w:r>
            <w:r>
              <w:rPr>
                <w:rFonts w:hint="eastAsia" w:ascii="宋体" w:hAnsi="宋体" w:cs="宋体"/>
                <w:color w:val="auto"/>
                <w:sz w:val="24"/>
                <w:szCs w:val="24"/>
                <w:highlight w:val="none"/>
              </w:rPr>
              <w:t>（0-7分）：</w:t>
            </w:r>
            <w:r>
              <w:rPr>
                <w:rFonts w:hint="eastAsia" w:ascii="宋体" w:hAnsi="宋体" w:cs="宋体"/>
                <w:bCs/>
                <w:color w:val="auto"/>
                <w:sz w:val="24"/>
                <w:szCs w:val="24"/>
                <w:highlight w:val="none"/>
              </w:rPr>
              <w:t>跟踪审计的程序和方法内容完整，可实施性强。</w:t>
            </w:r>
          </w:p>
          <w:p>
            <w:pPr>
              <w:ind w:firstLine="240" w:firstLineChars="100"/>
              <w:rPr>
                <w:rFonts w:ascii="宋体" w:hAnsi="宋体" w:cs="宋体"/>
                <w:color w:val="auto"/>
                <w:sz w:val="24"/>
                <w:szCs w:val="24"/>
                <w:highlight w:val="none"/>
              </w:rPr>
            </w:pPr>
            <w:r>
              <w:rPr>
                <w:rFonts w:hint="eastAsia" w:ascii="宋体" w:hAnsi="宋体" w:cs="宋体"/>
                <w:bCs/>
                <w:color w:val="auto"/>
                <w:sz w:val="24"/>
                <w:szCs w:val="24"/>
                <w:highlight w:val="none"/>
              </w:rPr>
              <w:t>优得7分，良得5分，一般得2分，差得0分。</w:t>
            </w:r>
          </w:p>
          <w:p>
            <w:pPr>
              <w:numPr>
                <w:ilvl w:val="0"/>
                <w:numId w:val="3"/>
              </w:numPr>
              <w:rPr>
                <w:rFonts w:ascii="宋体" w:hAnsi="宋体" w:cs="宋体"/>
                <w:bCs/>
                <w:color w:val="auto"/>
                <w:sz w:val="24"/>
                <w:szCs w:val="24"/>
                <w:highlight w:val="none"/>
              </w:rPr>
            </w:pPr>
            <w:r>
              <w:rPr>
                <w:rFonts w:hint="eastAsia" w:ascii="宋体" w:hAnsi="宋体" w:cs="宋体"/>
                <w:bCs/>
                <w:color w:val="auto"/>
                <w:sz w:val="24"/>
                <w:szCs w:val="24"/>
                <w:highlight w:val="none"/>
              </w:rPr>
              <w:t>进度控制措施及结算审核时间安排</w:t>
            </w:r>
            <w:r>
              <w:rPr>
                <w:rFonts w:hint="eastAsia" w:ascii="宋体" w:hAnsi="宋体" w:cs="宋体"/>
                <w:color w:val="auto"/>
                <w:sz w:val="24"/>
                <w:szCs w:val="24"/>
                <w:highlight w:val="none"/>
              </w:rPr>
              <w:t>（0-7分）：</w:t>
            </w:r>
            <w:r>
              <w:rPr>
                <w:rFonts w:hint="eastAsia" w:ascii="宋体" w:hAnsi="宋体" w:cs="宋体"/>
                <w:bCs/>
                <w:color w:val="auto"/>
                <w:sz w:val="24"/>
                <w:szCs w:val="24"/>
                <w:highlight w:val="none"/>
              </w:rPr>
              <w:t>对本工程进度控制措施提出可行解决方法全面科学。结算审核时间安排合理。</w:t>
            </w:r>
          </w:p>
          <w:p>
            <w:pPr>
              <w:ind w:firstLine="360" w:firstLineChars="150"/>
              <w:rPr>
                <w:rFonts w:ascii="宋体" w:hAnsi="宋体" w:cs="宋体"/>
                <w:color w:val="auto"/>
                <w:sz w:val="24"/>
                <w:szCs w:val="24"/>
                <w:highlight w:val="none"/>
              </w:rPr>
            </w:pPr>
            <w:r>
              <w:rPr>
                <w:rFonts w:hint="eastAsia" w:ascii="宋体" w:hAnsi="宋体" w:cs="宋体"/>
                <w:bCs/>
                <w:color w:val="auto"/>
                <w:sz w:val="24"/>
                <w:szCs w:val="24"/>
                <w:highlight w:val="none"/>
              </w:rPr>
              <w:t>优得7分，良得5分，一般得2分，差得0分。</w:t>
            </w:r>
          </w:p>
          <w:p>
            <w:pPr>
              <w:numPr>
                <w:ilvl w:val="0"/>
                <w:numId w:val="3"/>
              </w:numPr>
              <w:rPr>
                <w:rFonts w:ascii="宋体" w:hAnsi="宋体" w:cs="宋体"/>
                <w:bCs/>
                <w:color w:val="auto"/>
                <w:sz w:val="24"/>
                <w:szCs w:val="24"/>
                <w:highlight w:val="none"/>
              </w:rPr>
            </w:pPr>
            <w:r>
              <w:rPr>
                <w:rFonts w:hint="eastAsia" w:ascii="宋体" w:hAnsi="宋体" w:cs="宋体"/>
                <w:bCs/>
                <w:color w:val="auto"/>
                <w:sz w:val="24"/>
                <w:szCs w:val="24"/>
                <w:highlight w:val="none"/>
              </w:rPr>
              <w:t>重难点分析及措施</w:t>
            </w:r>
            <w:r>
              <w:rPr>
                <w:rFonts w:hint="eastAsia" w:ascii="宋体" w:hAnsi="宋体" w:cs="宋体"/>
                <w:color w:val="auto"/>
                <w:sz w:val="24"/>
                <w:szCs w:val="24"/>
                <w:highlight w:val="none"/>
              </w:rPr>
              <w:t>（0-7分）：</w:t>
            </w:r>
            <w:r>
              <w:rPr>
                <w:rFonts w:hint="eastAsia" w:ascii="宋体" w:hAnsi="宋体" w:cs="宋体"/>
                <w:bCs/>
                <w:color w:val="auto"/>
                <w:sz w:val="24"/>
                <w:szCs w:val="24"/>
                <w:highlight w:val="none"/>
              </w:rPr>
              <w:t>对本工程跟踪审计重难点提出可行解决方法全面科学。</w:t>
            </w:r>
          </w:p>
          <w:p>
            <w:pPr>
              <w:ind w:firstLine="360" w:firstLineChars="150"/>
              <w:rPr>
                <w:rFonts w:hint="eastAsia" w:ascii="宋体" w:hAnsi="宋体" w:cs="宋体"/>
                <w:bCs/>
                <w:color w:val="auto"/>
                <w:sz w:val="24"/>
                <w:szCs w:val="24"/>
                <w:highlight w:val="none"/>
              </w:rPr>
            </w:pPr>
            <w:r>
              <w:rPr>
                <w:rFonts w:hint="eastAsia" w:ascii="宋体" w:hAnsi="宋体" w:cs="宋体"/>
                <w:bCs/>
                <w:color w:val="auto"/>
                <w:sz w:val="24"/>
                <w:szCs w:val="24"/>
                <w:highlight w:val="none"/>
              </w:rPr>
              <w:t>优得7分，良得5分，一般得2分，差得0分。</w:t>
            </w:r>
          </w:p>
          <w:p>
            <w:pPr>
              <w:numPr>
                <w:ilvl w:val="0"/>
                <w:numId w:val="3"/>
              </w:numPr>
              <w:rPr>
                <w:rFonts w:ascii="宋体" w:hAnsi="宋体" w:cs="宋体"/>
                <w:bCs/>
                <w:color w:val="auto"/>
                <w:sz w:val="24"/>
                <w:szCs w:val="24"/>
                <w:highlight w:val="none"/>
              </w:rPr>
            </w:pPr>
            <w:r>
              <w:rPr>
                <w:rFonts w:hint="eastAsia" w:ascii="宋体" w:hAnsi="宋体" w:cs="宋体"/>
                <w:bCs/>
                <w:color w:val="auto"/>
                <w:sz w:val="24"/>
                <w:szCs w:val="24"/>
                <w:highlight w:val="none"/>
              </w:rPr>
              <w:t>工程投资的控制措施</w:t>
            </w:r>
            <w:r>
              <w:rPr>
                <w:rFonts w:hint="eastAsia" w:ascii="宋体" w:hAnsi="宋体" w:cs="宋体"/>
                <w:color w:val="auto"/>
                <w:sz w:val="24"/>
                <w:szCs w:val="24"/>
                <w:highlight w:val="none"/>
              </w:rPr>
              <w:t>（0-4分）：</w:t>
            </w:r>
            <w:r>
              <w:rPr>
                <w:rFonts w:hint="eastAsia" w:ascii="宋体" w:hAnsi="宋体" w:cs="宋体"/>
                <w:bCs/>
                <w:color w:val="auto"/>
                <w:sz w:val="24"/>
                <w:szCs w:val="24"/>
                <w:highlight w:val="none"/>
              </w:rPr>
              <w:t>工程投资的方案突出，实施性强。</w:t>
            </w:r>
          </w:p>
          <w:p>
            <w:pPr>
              <w:ind w:firstLine="240" w:firstLineChars="100"/>
              <w:rPr>
                <w:rFonts w:hint="eastAsia" w:ascii="宋体" w:hAnsi="宋体" w:cs="宋体"/>
                <w:bCs/>
                <w:color w:val="auto"/>
                <w:sz w:val="24"/>
                <w:szCs w:val="24"/>
                <w:highlight w:val="none"/>
              </w:rPr>
            </w:pPr>
            <w:r>
              <w:rPr>
                <w:rFonts w:hint="eastAsia" w:ascii="宋体" w:hAnsi="宋体" w:cs="宋体"/>
                <w:bCs/>
                <w:color w:val="auto"/>
                <w:sz w:val="24"/>
                <w:szCs w:val="24"/>
                <w:highlight w:val="none"/>
              </w:rPr>
              <w:t>优得4分，良得3分，一般得1分，差得0分。</w:t>
            </w:r>
          </w:p>
          <w:p>
            <w:pPr>
              <w:numPr>
                <w:ilvl w:val="0"/>
                <w:numId w:val="3"/>
              </w:numPr>
              <w:rPr>
                <w:rFonts w:ascii="宋体" w:hAnsi="宋体" w:cs="宋体"/>
                <w:bCs/>
                <w:color w:val="auto"/>
                <w:sz w:val="24"/>
                <w:szCs w:val="24"/>
                <w:highlight w:val="none"/>
              </w:rPr>
            </w:pPr>
            <w:r>
              <w:rPr>
                <w:rFonts w:hint="eastAsia" w:ascii="宋体" w:hAnsi="宋体" w:cs="宋体"/>
                <w:bCs/>
                <w:color w:val="auto"/>
                <w:sz w:val="24"/>
                <w:szCs w:val="24"/>
                <w:highlight w:val="none"/>
              </w:rPr>
              <w:t>现场组织协调措施</w:t>
            </w:r>
            <w:r>
              <w:rPr>
                <w:rFonts w:hint="eastAsia" w:ascii="宋体" w:hAnsi="宋体" w:cs="宋体"/>
                <w:color w:val="auto"/>
                <w:sz w:val="24"/>
                <w:szCs w:val="24"/>
                <w:highlight w:val="none"/>
              </w:rPr>
              <w:t>（0-4分）：</w:t>
            </w:r>
            <w:r>
              <w:rPr>
                <w:rFonts w:hint="eastAsia" w:ascii="宋体" w:hAnsi="宋体" w:cs="宋体"/>
                <w:bCs/>
                <w:color w:val="auto"/>
                <w:sz w:val="24"/>
                <w:szCs w:val="24"/>
                <w:highlight w:val="none"/>
              </w:rPr>
              <w:t>对现场组织协调措施内容完整，可实施性强。</w:t>
            </w:r>
          </w:p>
          <w:p>
            <w:pPr>
              <w:ind w:firstLine="360" w:firstLineChars="150"/>
              <w:rPr>
                <w:rFonts w:hint="eastAsia" w:ascii="宋体" w:hAnsi="宋体" w:cs="宋体"/>
                <w:bCs/>
                <w:color w:val="auto"/>
                <w:sz w:val="24"/>
                <w:szCs w:val="24"/>
                <w:highlight w:val="none"/>
              </w:rPr>
            </w:pPr>
            <w:r>
              <w:rPr>
                <w:rFonts w:hint="eastAsia" w:ascii="宋体" w:hAnsi="宋体" w:cs="宋体"/>
                <w:bCs/>
                <w:color w:val="auto"/>
                <w:sz w:val="24"/>
                <w:szCs w:val="24"/>
                <w:highlight w:val="none"/>
              </w:rPr>
              <w:t>优得4分，良得3分，一般得1分，差得0分。</w:t>
            </w:r>
          </w:p>
          <w:p>
            <w:pPr>
              <w:numPr>
                <w:ilvl w:val="0"/>
                <w:numId w:val="3"/>
              </w:numPr>
              <w:rPr>
                <w:rFonts w:ascii="宋体" w:hAnsi="宋体" w:cs="宋体"/>
                <w:bCs/>
                <w:color w:val="auto"/>
                <w:sz w:val="24"/>
                <w:szCs w:val="24"/>
                <w:highlight w:val="none"/>
              </w:rPr>
            </w:pPr>
            <w:r>
              <w:rPr>
                <w:rFonts w:hint="eastAsia" w:ascii="宋体" w:hAnsi="宋体" w:cs="宋体"/>
                <w:bCs/>
                <w:color w:val="auto"/>
                <w:sz w:val="24"/>
                <w:szCs w:val="24"/>
                <w:highlight w:val="none"/>
              </w:rPr>
              <w:t>组织管理体系</w:t>
            </w:r>
            <w:r>
              <w:rPr>
                <w:rFonts w:hint="eastAsia" w:ascii="宋体" w:hAnsi="宋体" w:cs="宋体"/>
                <w:color w:val="auto"/>
                <w:sz w:val="24"/>
                <w:szCs w:val="24"/>
                <w:highlight w:val="none"/>
              </w:rPr>
              <w:t>（0-4分）：</w:t>
            </w:r>
            <w:r>
              <w:rPr>
                <w:rFonts w:hint="eastAsia" w:ascii="宋体" w:hAnsi="宋体" w:cs="宋体"/>
                <w:bCs/>
                <w:color w:val="auto"/>
                <w:sz w:val="24"/>
                <w:szCs w:val="24"/>
                <w:highlight w:val="none"/>
              </w:rPr>
              <w:t>组织管理体系内容完整，可实施性强。</w:t>
            </w:r>
          </w:p>
          <w:p>
            <w:pPr>
              <w:ind w:firstLine="360" w:firstLineChars="150"/>
              <w:rPr>
                <w:rFonts w:hint="eastAsia" w:ascii="宋体" w:hAnsi="宋体" w:cs="宋体"/>
                <w:bCs/>
                <w:color w:val="auto"/>
                <w:sz w:val="24"/>
                <w:szCs w:val="24"/>
                <w:highlight w:val="none"/>
              </w:rPr>
            </w:pPr>
            <w:r>
              <w:rPr>
                <w:rFonts w:hint="eastAsia" w:ascii="宋体" w:hAnsi="宋体" w:cs="宋体"/>
                <w:bCs/>
                <w:color w:val="auto"/>
                <w:sz w:val="24"/>
                <w:szCs w:val="24"/>
                <w:highlight w:val="none"/>
              </w:rPr>
              <w:t>优得4分，良得3分，一般得1分，差得0分。</w:t>
            </w:r>
          </w:p>
          <w:p>
            <w:pPr>
              <w:numPr>
                <w:ilvl w:val="0"/>
                <w:numId w:val="3"/>
              </w:numPr>
              <w:rPr>
                <w:rFonts w:ascii="宋体" w:hAnsi="宋体" w:cs="宋体"/>
                <w:bCs/>
                <w:color w:val="auto"/>
                <w:sz w:val="24"/>
                <w:szCs w:val="24"/>
                <w:highlight w:val="none"/>
              </w:rPr>
            </w:pPr>
            <w:r>
              <w:rPr>
                <w:rFonts w:hint="eastAsia" w:ascii="宋体" w:hAnsi="宋体" w:cs="宋体"/>
                <w:bCs/>
                <w:color w:val="auto"/>
                <w:sz w:val="24"/>
                <w:szCs w:val="24"/>
                <w:highlight w:val="none"/>
              </w:rPr>
              <w:t>合理化建议</w:t>
            </w:r>
            <w:r>
              <w:rPr>
                <w:rFonts w:hint="eastAsia" w:ascii="宋体" w:hAnsi="宋体" w:cs="宋体"/>
                <w:color w:val="auto"/>
                <w:sz w:val="24"/>
                <w:szCs w:val="24"/>
                <w:highlight w:val="none"/>
              </w:rPr>
              <w:t>（0-4分）：</w:t>
            </w:r>
            <w:r>
              <w:rPr>
                <w:rFonts w:hint="eastAsia" w:ascii="宋体" w:hAnsi="宋体" w:cs="宋体"/>
                <w:bCs/>
                <w:color w:val="auto"/>
                <w:sz w:val="24"/>
                <w:szCs w:val="24"/>
                <w:highlight w:val="none"/>
              </w:rPr>
              <w:t>根据本项目具体情况提出合理化建议，建议科学合理。</w:t>
            </w:r>
          </w:p>
          <w:p>
            <w:pPr>
              <w:ind w:firstLine="360" w:firstLineChars="150"/>
              <w:rPr>
                <w:rFonts w:ascii="宋体" w:hAnsi="宋体" w:cs="宋体"/>
                <w:bCs/>
                <w:color w:val="auto"/>
                <w:sz w:val="24"/>
                <w:szCs w:val="24"/>
                <w:highlight w:val="none"/>
              </w:rPr>
            </w:pPr>
            <w:r>
              <w:rPr>
                <w:rFonts w:hint="eastAsia" w:ascii="宋体" w:hAnsi="宋体" w:cs="宋体"/>
                <w:bCs/>
                <w:color w:val="auto"/>
                <w:sz w:val="24"/>
                <w:szCs w:val="24"/>
                <w:highlight w:val="none"/>
              </w:rPr>
              <w:t>优得3分，良得2分，一般得0.5分，差得0分。</w:t>
            </w:r>
          </w:p>
        </w:tc>
        <w:tc>
          <w:tcPr>
            <w:tcW w:w="2342" w:type="dxa"/>
            <w:noWrap/>
            <w:vAlign w:val="center"/>
          </w:tcPr>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优：针对每项方案说明详细、准确、符合项目实际状况；</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良：方案说明较为详细、较为准确、但符合项目实际状况；</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一般：方案说明内容不详细或准确度不高，但基本符合项目要求。</w:t>
            </w:r>
          </w:p>
          <w:p>
            <w:pPr>
              <w:rPr>
                <w:rFonts w:ascii="宋体" w:hAnsi="宋体" w:cs="宋体"/>
                <w:color w:val="auto"/>
                <w:sz w:val="24"/>
                <w:highlight w:val="none"/>
              </w:rPr>
            </w:pPr>
            <w:r>
              <w:rPr>
                <w:rFonts w:hint="eastAsia" w:ascii="宋体" w:hAnsi="宋体" w:cs="宋体"/>
                <w:color w:val="auto"/>
                <w:sz w:val="24"/>
                <w:szCs w:val="24"/>
                <w:highlight w:val="none"/>
              </w:rPr>
              <w:t>差：不提供或者严重偏离实际情况，该项得分为0分。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589" w:type="dxa"/>
            <w:vMerge w:val="restart"/>
            <w:noWrap/>
            <w:vAlign w:val="center"/>
          </w:tcPr>
          <w:p>
            <w:pPr>
              <w:rPr>
                <w:rFonts w:ascii="宋体" w:hAnsi="宋体" w:cs="宋体"/>
                <w:color w:val="auto"/>
                <w:sz w:val="24"/>
                <w:szCs w:val="22"/>
                <w:highlight w:val="none"/>
              </w:rPr>
            </w:pPr>
            <w:r>
              <w:rPr>
                <w:rFonts w:hint="eastAsia" w:ascii="宋体" w:hAnsi="宋体" w:cs="宋体"/>
                <w:color w:val="auto"/>
                <w:sz w:val="24"/>
                <w:szCs w:val="22"/>
                <w:highlight w:val="none"/>
              </w:rPr>
              <w:t>3</w:t>
            </w:r>
          </w:p>
        </w:tc>
        <w:tc>
          <w:tcPr>
            <w:tcW w:w="653" w:type="dxa"/>
            <w:vMerge w:val="restart"/>
            <w:noWrap/>
            <w:vAlign w:val="center"/>
          </w:tcPr>
          <w:p>
            <w:pPr>
              <w:rPr>
                <w:rFonts w:ascii="宋体" w:hAnsi="宋体" w:cs="宋体"/>
                <w:color w:val="auto"/>
                <w:sz w:val="24"/>
                <w:szCs w:val="22"/>
                <w:highlight w:val="none"/>
              </w:rPr>
            </w:pPr>
            <w:r>
              <w:rPr>
                <w:rFonts w:hint="eastAsia" w:ascii="宋体" w:hAnsi="宋体" w:cs="宋体"/>
                <w:color w:val="auto"/>
                <w:sz w:val="24"/>
                <w:szCs w:val="22"/>
                <w:highlight w:val="none"/>
              </w:rPr>
              <w:t>商务部分</w:t>
            </w:r>
          </w:p>
          <w:p>
            <w:pPr>
              <w:rPr>
                <w:rFonts w:hint="eastAsia" w:ascii="宋体" w:hAnsi="宋体" w:eastAsia="宋体" w:cs="宋体"/>
                <w:color w:val="auto"/>
                <w:sz w:val="24"/>
                <w:szCs w:val="22"/>
                <w:highlight w:val="none"/>
                <w:lang w:val="en-US" w:eastAsia="zh-CN"/>
              </w:rPr>
            </w:pPr>
            <w:r>
              <w:rPr>
                <w:rFonts w:hint="eastAsia" w:ascii="宋体" w:hAnsi="宋体" w:cs="宋体"/>
                <w:color w:val="auto"/>
                <w:sz w:val="24"/>
                <w:szCs w:val="22"/>
                <w:highlight w:val="none"/>
              </w:rPr>
              <w:t>(40分</w:t>
            </w:r>
            <w:r>
              <w:rPr>
                <w:rFonts w:hint="eastAsia" w:ascii="宋体" w:hAnsi="宋体" w:cs="宋体"/>
                <w:color w:val="auto"/>
                <w:sz w:val="24"/>
                <w:szCs w:val="22"/>
                <w:highlight w:val="none"/>
                <w:lang w:val="en-US" w:eastAsia="zh-CN"/>
              </w:rPr>
              <w:t>)</w:t>
            </w:r>
          </w:p>
        </w:tc>
        <w:tc>
          <w:tcPr>
            <w:tcW w:w="765" w:type="dxa"/>
            <w:noWrap/>
            <w:vAlign w:val="center"/>
          </w:tcPr>
          <w:p>
            <w:pPr>
              <w:widowControl/>
              <w:jc w:val="left"/>
              <w:rPr>
                <w:rFonts w:ascii="宋体" w:hAnsi="宋体" w:cs="宋体"/>
                <w:color w:val="auto"/>
                <w:sz w:val="24"/>
                <w:szCs w:val="24"/>
                <w:highlight w:val="none"/>
              </w:rPr>
            </w:pPr>
            <w:r>
              <w:rPr>
                <w:rFonts w:hint="eastAsia" w:ascii="宋体" w:hAnsi="宋体" w:cs="宋体"/>
                <w:color w:val="auto"/>
                <w:sz w:val="24"/>
                <w:szCs w:val="24"/>
                <w:highlight w:val="none"/>
              </w:rPr>
              <w:t>拟派人员资质</w:t>
            </w:r>
          </w:p>
          <w:p>
            <w:pPr>
              <w:widowControl/>
              <w:jc w:val="left"/>
              <w:rPr>
                <w:rFonts w:ascii="宋体" w:hAnsi="宋体" w:cs="宋体"/>
                <w:color w:val="auto"/>
                <w:sz w:val="24"/>
                <w:szCs w:val="22"/>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25</w:t>
            </w:r>
            <w:r>
              <w:rPr>
                <w:rFonts w:hint="eastAsia" w:ascii="宋体" w:hAnsi="宋体" w:cs="宋体"/>
                <w:color w:val="auto"/>
                <w:sz w:val="24"/>
                <w:szCs w:val="24"/>
                <w:highlight w:val="none"/>
              </w:rPr>
              <w:t>分）</w:t>
            </w:r>
          </w:p>
        </w:tc>
        <w:tc>
          <w:tcPr>
            <w:tcW w:w="5133" w:type="dxa"/>
            <w:tcBorders>
              <w:top w:val="single" w:color="auto" w:sz="4" w:space="0"/>
              <w:bottom w:val="single" w:color="auto" w:sz="4" w:space="0"/>
            </w:tcBorders>
            <w:noWrap/>
            <w:vAlign w:val="center"/>
          </w:tcPr>
          <w:p>
            <w:pPr>
              <w:numPr>
                <w:ilvl w:val="0"/>
                <w:numId w:val="4"/>
              </w:numPr>
              <w:spacing w:line="276" w:lineRule="auto"/>
              <w:rPr>
                <w:rFonts w:ascii="宋体" w:hAnsi="宋体" w:cs="宋体"/>
                <w:color w:val="auto"/>
                <w:sz w:val="24"/>
                <w:szCs w:val="24"/>
                <w:highlight w:val="none"/>
              </w:rPr>
            </w:pPr>
            <w:r>
              <w:rPr>
                <w:rFonts w:hint="eastAsia" w:ascii="宋体" w:hAnsi="宋体" w:cs="宋体"/>
                <w:color w:val="auto"/>
                <w:sz w:val="24"/>
                <w:szCs w:val="24"/>
                <w:highlight w:val="none"/>
              </w:rPr>
              <w:t>项目负责人</w:t>
            </w:r>
          </w:p>
          <w:p>
            <w:pPr>
              <w:spacing w:line="276" w:lineRule="auto"/>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具备</w:t>
            </w:r>
            <w:r>
              <w:rPr>
                <w:rFonts w:hint="eastAsia" w:ascii="宋体" w:hAnsi="宋体" w:cs="宋体"/>
                <w:color w:val="auto"/>
                <w:sz w:val="24"/>
                <w:szCs w:val="24"/>
                <w:highlight w:val="none"/>
              </w:rPr>
              <w:t>全国注册造价工程师或一级注册造价工程师（土木建筑工程专业）执业资格，全国监理工程师（</w:t>
            </w:r>
            <w:r>
              <w:rPr>
                <w:rFonts w:hint="eastAsia" w:ascii="宋体" w:hAnsi="宋体" w:cs="宋体"/>
                <w:color w:val="auto"/>
                <w:sz w:val="24"/>
                <w:szCs w:val="24"/>
                <w:highlight w:val="none"/>
                <w:lang w:eastAsia="zh-CN"/>
              </w:rPr>
              <w:t>房屋</w:t>
            </w:r>
            <w:r>
              <w:rPr>
                <w:rFonts w:hint="eastAsia" w:ascii="宋体" w:hAnsi="宋体" w:cs="宋体"/>
                <w:color w:val="auto"/>
                <w:sz w:val="24"/>
                <w:szCs w:val="24"/>
                <w:highlight w:val="none"/>
              </w:rPr>
              <w:t>建筑工程专业）执业资格，一级建造师（</w:t>
            </w:r>
            <w:r>
              <w:rPr>
                <w:rFonts w:hint="eastAsia" w:ascii="宋体" w:hAnsi="宋体" w:cs="宋体"/>
                <w:color w:val="auto"/>
                <w:sz w:val="24"/>
                <w:szCs w:val="24"/>
                <w:highlight w:val="none"/>
                <w:lang w:eastAsia="zh-CN"/>
              </w:rPr>
              <w:t>建筑</w:t>
            </w:r>
            <w:r>
              <w:rPr>
                <w:rFonts w:hint="eastAsia" w:ascii="宋体" w:hAnsi="宋体" w:cs="宋体"/>
                <w:color w:val="auto"/>
                <w:sz w:val="24"/>
                <w:szCs w:val="24"/>
                <w:highlight w:val="none"/>
              </w:rPr>
              <w:t>工程专业）执业资格，工程类高级及以上职称，每具备一个证书得5分，本项最多得20分。</w:t>
            </w:r>
          </w:p>
          <w:p>
            <w:pPr>
              <w:spacing w:line="276" w:lineRule="auto"/>
              <w:rPr>
                <w:rFonts w:ascii="宋体" w:hAnsi="宋体" w:cs="宋体"/>
                <w:color w:val="auto"/>
                <w:sz w:val="24"/>
                <w:szCs w:val="24"/>
                <w:highlight w:val="none"/>
              </w:rPr>
            </w:pPr>
            <w:r>
              <w:rPr>
                <w:rFonts w:hint="eastAsia" w:ascii="宋体" w:hAnsi="宋体" w:cs="宋体"/>
                <w:color w:val="auto"/>
                <w:sz w:val="24"/>
                <w:szCs w:val="24"/>
                <w:highlight w:val="none"/>
              </w:rPr>
              <w:t>2、其他造价人员</w:t>
            </w:r>
          </w:p>
          <w:p>
            <w:pPr>
              <w:spacing w:line="276" w:lineRule="auto"/>
              <w:ind w:firstLine="360" w:firstLineChars="150"/>
              <w:rPr>
                <w:color w:val="auto"/>
                <w:highlight w:val="none"/>
              </w:rPr>
            </w:pPr>
            <w:r>
              <w:rPr>
                <w:rFonts w:hint="eastAsia" w:ascii="宋体" w:hAnsi="宋体" w:cs="宋体"/>
                <w:color w:val="auto"/>
                <w:sz w:val="24"/>
                <w:szCs w:val="24"/>
                <w:highlight w:val="none"/>
              </w:rPr>
              <w:t>其他造价人员中有1名具有全国注册造价工程师或一级注册造价工程师（土木建筑工程专业）执业资格的，得5分，本项最高得</w:t>
            </w:r>
            <w:r>
              <w:rPr>
                <w:rFonts w:ascii="宋体" w:hAnsi="宋体" w:cs="宋体"/>
                <w:color w:val="auto"/>
                <w:sz w:val="24"/>
                <w:szCs w:val="24"/>
                <w:highlight w:val="none"/>
              </w:rPr>
              <w:t>5</w:t>
            </w:r>
            <w:r>
              <w:rPr>
                <w:rFonts w:hint="eastAsia" w:ascii="宋体" w:hAnsi="宋体" w:cs="宋体"/>
                <w:color w:val="auto"/>
                <w:sz w:val="24"/>
                <w:szCs w:val="24"/>
                <w:highlight w:val="none"/>
              </w:rPr>
              <w:t>分。</w:t>
            </w:r>
          </w:p>
        </w:tc>
        <w:tc>
          <w:tcPr>
            <w:tcW w:w="2342" w:type="dxa"/>
            <w:tcBorders>
              <w:top w:val="single" w:color="auto" w:sz="4" w:space="0"/>
              <w:bottom w:val="single" w:color="auto" w:sz="4" w:space="0"/>
            </w:tcBorders>
            <w:noWrap/>
            <w:vAlign w:val="center"/>
          </w:tcPr>
          <w:p>
            <w:pPr>
              <w:widowControl/>
              <w:ind w:right="-112" w:rightChars="-40"/>
              <w:rPr>
                <w:rFonts w:ascii="宋体" w:hAnsi="宋体" w:cs="宋体"/>
                <w:color w:val="auto"/>
                <w:sz w:val="24"/>
                <w:szCs w:val="24"/>
                <w:highlight w:val="none"/>
              </w:rPr>
            </w:pPr>
            <w:r>
              <w:rPr>
                <w:rFonts w:hint="eastAsia" w:ascii="宋体" w:hAnsi="宋体" w:cs="宋体"/>
                <w:color w:val="auto"/>
                <w:sz w:val="24"/>
                <w:szCs w:val="24"/>
                <w:highlight w:val="none"/>
              </w:rPr>
              <w:t>提供执业资格证书、注册证书、职称证复印件，并加盖公章，扫描件模糊不清的，该项不得分。提供拟派人员2023年3月-2023年8月的养老保险证明。</w:t>
            </w:r>
          </w:p>
          <w:p>
            <w:pPr>
              <w:spacing w:line="540" w:lineRule="exact"/>
              <w:ind w:right="-112" w:rightChars="-4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589" w:type="dxa"/>
            <w:vMerge w:val="continue"/>
            <w:noWrap/>
            <w:vAlign w:val="center"/>
          </w:tcPr>
          <w:p>
            <w:pPr>
              <w:rPr>
                <w:rFonts w:ascii="宋体" w:hAnsi="宋体" w:cs="宋体"/>
                <w:color w:val="auto"/>
                <w:sz w:val="24"/>
                <w:szCs w:val="22"/>
                <w:highlight w:val="none"/>
              </w:rPr>
            </w:pPr>
            <w:bookmarkStart w:id="32" w:name="_Toc54278997"/>
          </w:p>
        </w:tc>
        <w:tc>
          <w:tcPr>
            <w:tcW w:w="653" w:type="dxa"/>
            <w:vMerge w:val="continue"/>
            <w:noWrap/>
            <w:vAlign w:val="center"/>
          </w:tcPr>
          <w:p>
            <w:pPr>
              <w:rPr>
                <w:rFonts w:ascii="宋体" w:hAnsi="宋体" w:cs="宋体"/>
                <w:color w:val="auto"/>
                <w:sz w:val="24"/>
                <w:szCs w:val="22"/>
                <w:highlight w:val="none"/>
              </w:rPr>
            </w:pPr>
          </w:p>
        </w:tc>
        <w:tc>
          <w:tcPr>
            <w:tcW w:w="765" w:type="dxa"/>
            <w:noWrap/>
            <w:vAlign w:val="center"/>
          </w:tcPr>
          <w:p>
            <w:pPr>
              <w:widowControl/>
              <w:jc w:val="left"/>
              <w:rPr>
                <w:rFonts w:ascii="宋体" w:hAnsi="宋体" w:cs="宋体"/>
                <w:color w:val="auto"/>
                <w:sz w:val="24"/>
                <w:szCs w:val="24"/>
                <w:highlight w:val="none"/>
              </w:rPr>
            </w:pPr>
            <w:r>
              <w:rPr>
                <w:rFonts w:hint="eastAsia" w:ascii="宋体" w:hAnsi="宋体" w:cs="宋体"/>
                <w:color w:val="auto"/>
                <w:sz w:val="24"/>
                <w:szCs w:val="24"/>
                <w:highlight w:val="none"/>
              </w:rPr>
              <w:t>业绩</w:t>
            </w:r>
          </w:p>
          <w:p>
            <w:pPr>
              <w:widowControl/>
              <w:jc w:val="left"/>
              <w:rPr>
                <w:rFonts w:ascii="宋体" w:hAnsi="宋体" w:cs="宋体"/>
                <w:color w:val="auto"/>
                <w:sz w:val="24"/>
                <w:szCs w:val="22"/>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w:t>
            </w:r>
          </w:p>
        </w:tc>
        <w:tc>
          <w:tcPr>
            <w:tcW w:w="5133" w:type="dxa"/>
            <w:tcBorders>
              <w:top w:val="single" w:color="auto" w:sz="4" w:space="0"/>
              <w:bottom w:val="single" w:color="auto" w:sz="4" w:space="0"/>
            </w:tcBorders>
            <w:noWrap/>
            <w:vAlign w:val="center"/>
          </w:tcPr>
          <w:p>
            <w:pPr>
              <w:widowControl/>
              <w:jc w:val="left"/>
              <w:rPr>
                <w:rFonts w:ascii="宋体" w:hAnsi="宋体" w:cs="宋体"/>
                <w:color w:val="auto"/>
                <w:sz w:val="24"/>
                <w:szCs w:val="24"/>
                <w:highlight w:val="none"/>
              </w:rPr>
            </w:pPr>
            <w:r>
              <w:rPr>
                <w:rFonts w:hint="eastAsia" w:ascii="宋体" w:hAnsi="宋体" w:cs="宋体"/>
                <w:color w:val="auto"/>
                <w:sz w:val="24"/>
                <w:szCs w:val="24"/>
                <w:highlight w:val="none"/>
              </w:rPr>
              <w:t>竞标人 2020 年 1 月 1 日至今</w:t>
            </w:r>
            <w:r>
              <w:rPr>
                <w:rFonts w:hint="eastAsia" w:ascii="宋体" w:hAnsi="宋体" w:cs="宋体"/>
                <w:color w:val="auto"/>
                <w:sz w:val="24"/>
                <w:szCs w:val="24"/>
                <w:highlight w:val="none"/>
                <w:lang w:eastAsia="zh-CN"/>
              </w:rPr>
              <w:t>（合同签订时间为准）</w:t>
            </w:r>
            <w:r>
              <w:rPr>
                <w:rFonts w:hint="eastAsia" w:ascii="宋体" w:hAnsi="宋体" w:cs="宋体"/>
                <w:color w:val="auto"/>
                <w:sz w:val="24"/>
                <w:szCs w:val="24"/>
                <w:highlight w:val="none"/>
              </w:rPr>
              <w:t>承接过</w:t>
            </w:r>
            <w:r>
              <w:rPr>
                <w:rFonts w:hint="eastAsia" w:ascii="宋体" w:hAnsi="宋体" w:cs="宋体"/>
                <w:color w:val="auto"/>
                <w:sz w:val="24"/>
                <w:szCs w:val="24"/>
                <w:highlight w:val="none"/>
                <w:lang w:eastAsia="zh-CN"/>
              </w:rPr>
              <w:t>建安工程费在</w:t>
            </w:r>
            <w:r>
              <w:rPr>
                <w:rFonts w:hint="eastAsia" w:ascii="宋体" w:hAnsi="宋体" w:cs="宋体"/>
                <w:color w:val="auto"/>
                <w:sz w:val="24"/>
                <w:szCs w:val="24"/>
                <w:highlight w:val="none"/>
              </w:rPr>
              <w:t>4</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00万元及以</w:t>
            </w:r>
            <w:r>
              <w:rPr>
                <w:rFonts w:hint="eastAsia" w:ascii="宋体" w:hAnsi="宋体" w:cs="宋体"/>
                <w:color w:val="auto"/>
                <w:sz w:val="24"/>
                <w:szCs w:val="24"/>
                <w:highlight w:val="none"/>
                <w:lang w:eastAsia="zh-CN"/>
              </w:rPr>
              <w:t>上的</w:t>
            </w:r>
            <w:r>
              <w:rPr>
                <w:rFonts w:hint="eastAsia" w:ascii="宋体" w:hAnsi="宋体" w:cs="宋体"/>
                <w:color w:val="auto"/>
                <w:sz w:val="24"/>
                <w:szCs w:val="24"/>
                <w:highlight w:val="none"/>
              </w:rPr>
              <w:t>施工全过程造价控制</w:t>
            </w:r>
            <w:r>
              <w:rPr>
                <w:rFonts w:hint="eastAsia" w:ascii="宋体" w:hAnsi="宋体" w:cs="宋体"/>
                <w:color w:val="auto"/>
                <w:sz w:val="24"/>
                <w:szCs w:val="24"/>
                <w:highlight w:val="none"/>
                <w:lang w:eastAsia="zh-CN"/>
              </w:rPr>
              <w:t>业绩的</w:t>
            </w:r>
            <w:r>
              <w:rPr>
                <w:rFonts w:hint="eastAsia" w:ascii="宋体" w:hAnsi="宋体" w:cs="宋体"/>
                <w:color w:val="auto"/>
                <w:sz w:val="24"/>
                <w:szCs w:val="24"/>
                <w:highlight w:val="none"/>
              </w:rPr>
              <w:t>得1</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分，此项最多得 1</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 xml:space="preserve">分。 </w:t>
            </w:r>
          </w:p>
        </w:tc>
        <w:tc>
          <w:tcPr>
            <w:tcW w:w="2342" w:type="dxa"/>
            <w:tcBorders>
              <w:top w:val="single" w:color="auto" w:sz="4" w:space="0"/>
              <w:bottom w:val="single" w:color="auto" w:sz="4" w:space="0"/>
            </w:tcBorders>
            <w:noWrap/>
            <w:vAlign w:val="center"/>
          </w:tcPr>
          <w:p>
            <w:pPr>
              <w:widowControl/>
              <w:ind w:right="-112" w:rightChars="-40"/>
              <w:rPr>
                <w:rFonts w:hint="eastAsia" w:ascii="宋体" w:hAnsi="宋体" w:eastAsia="宋体" w:cs="宋体"/>
                <w:color w:val="auto"/>
                <w:sz w:val="24"/>
                <w:highlight w:val="none"/>
                <w:lang w:eastAsia="zh-CN"/>
              </w:rPr>
            </w:pPr>
            <w:r>
              <w:rPr>
                <w:rFonts w:hint="eastAsia" w:ascii="宋体" w:hAnsi="宋体" w:cs="宋体"/>
                <w:color w:val="auto"/>
                <w:sz w:val="24"/>
                <w:szCs w:val="24"/>
                <w:highlight w:val="none"/>
              </w:rPr>
              <w:t>须提供委托服务合同和成交结果公示截图（公共资源交易网站或政府采购网站）加盖鲜章</w:t>
            </w:r>
            <w:r>
              <w:rPr>
                <w:rFonts w:hint="eastAsia" w:ascii="宋体" w:hAnsi="宋体" w:cs="宋体"/>
                <w:color w:val="auto"/>
                <w:sz w:val="24"/>
                <w:szCs w:val="24"/>
                <w:highlight w:val="none"/>
                <w:lang w:eastAsia="zh-CN"/>
              </w:rPr>
              <w:t>。</w:t>
            </w:r>
          </w:p>
        </w:tc>
      </w:tr>
    </w:tbl>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所有计算及得分保留至小数点后两位，小数点后第三位四舍五入。</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关于小微企业报价扣除比例说明</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1.对小微型企业给予6%的扣除，以扣除后的报价参与评审。</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2.监狱企业、残疾人福利性单位属于微型企业的，应提供微型企业承诺书（详见第七篇 五、其他应提供的资料“中小微企业声明函”）。未提供以上资料的监狱企业、残疾人福利性单位视同小型企业。</w:t>
      </w:r>
    </w:p>
    <w:p>
      <w:pPr>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三、无效响应</w:t>
      </w:r>
      <w:bookmarkEnd w:id="32"/>
    </w:p>
    <w:p>
      <w:pPr>
        <w:snapToGrid w:val="0"/>
        <w:spacing w:line="360" w:lineRule="auto"/>
        <w:ind w:firstLine="465"/>
        <w:rPr>
          <w:rFonts w:ascii="宋体" w:hAnsi="宋体" w:cs="宋体"/>
          <w:color w:val="auto"/>
          <w:sz w:val="24"/>
          <w:szCs w:val="24"/>
          <w:highlight w:val="none"/>
        </w:rPr>
      </w:pPr>
      <w:bookmarkStart w:id="33" w:name="_Toc54278998"/>
      <w:r>
        <w:rPr>
          <w:rFonts w:hint="eastAsia" w:ascii="宋体" w:hAnsi="宋体" w:cs="宋体"/>
          <w:color w:val="auto"/>
          <w:sz w:val="24"/>
          <w:szCs w:val="24"/>
          <w:highlight w:val="none"/>
        </w:rPr>
        <w:t>竞标人发生以下条款情况之一者，视为无效响应，其响应文件将被拒绝：</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（一）竞标人不符合规定的基本资格条件或特定资格条件的；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（二）竞标人的法定代表人或其授权代表未参加磋商；</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（三）竞标人未按照竞争性磋商文件的要求缴纳磋商保证金；</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（四）竞标人所提交的响应文件不按第七篇“响应文件编制要求”规定编制或签字、盖章；</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（五）竞标人的最后报价超过采购预算的；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（六）法定代表人为同一个人的两个及两个以上法人，母公司、全资子公司及其控股公司，在同一分包采购中同时参与磋商；</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（七）单位负责人为同一人或者存在直接控股、管理关系的不同竞标人，参加同一合同项下的政府采购活动的；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（八）为采购项目提供整体设计、规范编制或者项目管理、监理、检测等服务的竞标人，再参加该采购项目的其他采购活动；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（九）“第二篇 采购服务需求”、“第三篇 采购商务需求”有一条及以上不能满足竞争性磋商文件要求的；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（十）竞标人响应文件内容有与国家现行法律法规相违背的内容，或附有采购人无法接受的条件。</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（十一）本磋商文件规定的其它情形。</w:t>
      </w:r>
    </w:p>
    <w:p>
      <w:pPr>
        <w:pStyle w:val="2"/>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四、</w:t>
      </w:r>
      <w:bookmarkEnd w:id="30"/>
      <w:bookmarkEnd w:id="31"/>
      <w:r>
        <w:rPr>
          <w:rFonts w:hint="eastAsia" w:ascii="宋体" w:hAnsi="宋体" w:cs="宋体"/>
          <w:color w:val="auto"/>
          <w:sz w:val="24"/>
          <w:szCs w:val="24"/>
          <w:highlight w:val="none"/>
        </w:rPr>
        <w:t>采购终止</w:t>
      </w:r>
      <w:bookmarkEnd w:id="33"/>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（一）因情况变化，不再符合规定的竞争性磋商采购方式适用情形的；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（二）出现影响采购公正的违法、违规行为的；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color w:val="auto"/>
          <w:sz w:val="24"/>
          <w:szCs w:val="24"/>
          <w:highlight w:val="none"/>
        </w:rPr>
        <w:sectPr>
          <w:footerReference r:id="rId7" w:type="default"/>
          <w:pgSz w:w="11907" w:h="16840"/>
          <w:pgMar w:top="1134" w:right="1191" w:bottom="1134" w:left="1304" w:header="964" w:footer="992" w:gutter="0"/>
          <w:pgNumType w:fmt="numberInDash"/>
          <w:cols w:space="720" w:num="1"/>
          <w:docGrid w:linePitch="312" w:charSpace="0"/>
        </w:sectPr>
      </w:pPr>
    </w:p>
    <w:p>
      <w:pPr>
        <w:pStyle w:val="3"/>
        <w:spacing w:line="360" w:lineRule="auto"/>
        <w:jc w:val="center"/>
        <w:rPr>
          <w:rFonts w:ascii="宋体" w:hAnsi="宋体" w:eastAsia="宋体" w:cs="宋体"/>
          <w:b w:val="0"/>
          <w:color w:val="auto"/>
          <w:szCs w:val="30"/>
          <w:highlight w:val="none"/>
        </w:rPr>
      </w:pPr>
      <w:bookmarkStart w:id="34" w:name="_Toc54278999"/>
      <w:bookmarkStart w:id="35" w:name="_Toc102227313"/>
      <w:r>
        <w:rPr>
          <w:rFonts w:hint="eastAsia" w:ascii="宋体" w:hAnsi="宋体" w:eastAsia="宋体" w:cs="宋体"/>
          <w:b w:val="0"/>
          <w:color w:val="auto"/>
          <w:sz w:val="36"/>
          <w:szCs w:val="30"/>
          <w:highlight w:val="none"/>
        </w:rPr>
        <w:t>第五篇  供应商须知</w:t>
      </w:r>
      <w:bookmarkEnd w:id="34"/>
      <w:bookmarkEnd w:id="35"/>
    </w:p>
    <w:p>
      <w:pPr>
        <w:pStyle w:val="2"/>
        <w:spacing w:line="360" w:lineRule="auto"/>
        <w:rPr>
          <w:rFonts w:ascii="宋体" w:hAnsi="宋体" w:cs="宋体"/>
          <w:color w:val="auto"/>
          <w:sz w:val="24"/>
          <w:szCs w:val="24"/>
          <w:highlight w:val="none"/>
        </w:rPr>
      </w:pPr>
      <w:bookmarkStart w:id="36" w:name="_Toc54279000"/>
      <w:bookmarkStart w:id="37" w:name="_Toc342913389"/>
      <w:r>
        <w:rPr>
          <w:rFonts w:hint="eastAsia" w:ascii="宋体" w:hAnsi="宋体" w:cs="宋体"/>
          <w:color w:val="auto"/>
          <w:sz w:val="24"/>
          <w:szCs w:val="24"/>
          <w:highlight w:val="none"/>
        </w:rPr>
        <w:t>一、磋商费用</w:t>
      </w:r>
      <w:bookmarkEnd w:id="36"/>
      <w:bookmarkEnd w:id="37"/>
    </w:p>
    <w:p>
      <w:pPr>
        <w:pStyle w:val="18"/>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参与磋商的供应商应承担其编制响应文件与递交响应文件所涉及的一切费用，不论磋商结果如何，采购人在任何情况下无义务也无责任承担这些费用。</w:t>
      </w:r>
    </w:p>
    <w:p>
      <w:pPr>
        <w:pStyle w:val="2"/>
        <w:tabs>
          <w:tab w:val="left" w:pos="2640"/>
        </w:tabs>
        <w:spacing w:line="360" w:lineRule="auto"/>
        <w:rPr>
          <w:rFonts w:ascii="宋体" w:hAnsi="宋体" w:cs="宋体"/>
          <w:color w:val="auto"/>
          <w:sz w:val="24"/>
          <w:szCs w:val="24"/>
          <w:highlight w:val="none"/>
        </w:rPr>
      </w:pPr>
      <w:bookmarkStart w:id="38" w:name="_Toc342913391"/>
      <w:bookmarkStart w:id="39" w:name="_Toc54279001"/>
      <w:r>
        <w:rPr>
          <w:rFonts w:hint="eastAsia" w:ascii="宋体" w:hAnsi="宋体" w:cs="宋体"/>
          <w:color w:val="auto"/>
          <w:sz w:val="24"/>
          <w:szCs w:val="24"/>
          <w:highlight w:val="none"/>
        </w:rPr>
        <w:t>二、竞争性磋商文件</w:t>
      </w:r>
      <w:bookmarkEnd w:id="38"/>
      <w:bookmarkEnd w:id="39"/>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（一）竞争性磋商文件由采购邀请书、项目服务需求、供应商须知、项目商务需求、磋商程序及方法、评审标准、无效响应和采购终止、供应商须知</w:t>
      </w:r>
      <w:r>
        <w:rPr>
          <w:rFonts w:hint="eastAsia" w:ascii="宋体" w:hAnsi="宋体" w:cs="宋体"/>
          <w:b/>
          <w:color w:val="auto"/>
          <w:sz w:val="24"/>
          <w:szCs w:val="24"/>
          <w:highlight w:val="none"/>
        </w:rPr>
        <w:t>、</w:t>
      </w:r>
      <w:r>
        <w:rPr>
          <w:rFonts w:hint="eastAsia" w:ascii="宋体" w:hAnsi="宋体" w:cs="宋体"/>
          <w:color w:val="auto"/>
          <w:sz w:val="24"/>
          <w:szCs w:val="24"/>
          <w:highlight w:val="none"/>
        </w:rPr>
        <w:t>政府采购合同</w:t>
      </w:r>
      <w:r>
        <w:rPr>
          <w:rFonts w:hint="eastAsia" w:ascii="宋体" w:hAnsi="宋体" w:cs="宋体"/>
          <w:b/>
          <w:color w:val="auto"/>
          <w:sz w:val="24"/>
          <w:szCs w:val="24"/>
          <w:highlight w:val="none"/>
        </w:rPr>
        <w:t>、</w:t>
      </w:r>
      <w:r>
        <w:rPr>
          <w:rFonts w:hint="eastAsia" w:ascii="宋体" w:hAnsi="宋体" w:cs="宋体"/>
          <w:color w:val="auto"/>
          <w:sz w:val="24"/>
          <w:szCs w:val="24"/>
          <w:highlight w:val="none"/>
        </w:rPr>
        <w:t>响应文件编制要求七部分组成。</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（二）采购人所作的一切有效的书面通知、修改及补充，都是竞争性磋商文件不可分割的部分。</w:t>
      </w:r>
    </w:p>
    <w:p>
      <w:pPr>
        <w:spacing w:line="360" w:lineRule="auto"/>
        <w:ind w:firstLine="480" w:firstLineChars="200"/>
        <w:rPr>
          <w:rFonts w:ascii="宋体" w:hAnsi="宋体" w:cs="宋体"/>
          <w:color w:val="auto"/>
          <w:sz w:val="24"/>
          <w:szCs w:val="24"/>
          <w:highlight w:val="none"/>
        </w:rPr>
      </w:pPr>
      <w:bookmarkStart w:id="40" w:name="_Toc318159349"/>
      <w:bookmarkStart w:id="41" w:name="_Toc318159160"/>
      <w:bookmarkStart w:id="42" w:name="_Toc318166429"/>
      <w:bookmarkStart w:id="43" w:name="_Toc318159780"/>
      <w:r>
        <w:rPr>
          <w:rFonts w:hint="eastAsia" w:ascii="宋体" w:hAnsi="宋体" w:cs="宋体"/>
          <w:color w:val="auto"/>
          <w:sz w:val="24"/>
          <w:szCs w:val="24"/>
          <w:highlight w:val="none"/>
        </w:rPr>
        <w:t>（三）本竞争性磋商文件中，磋商小组根据与供应商进行磋商可能实质性变动的内容为竞争性磋商文件第二、三、六篇全部内容。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（四）评审的依据为竞争性磋商文件和响应文件（含有效的书面承诺）。磋商小组判断响应文件对竞争性磋商文件的响应，仅基于响应文件本身而不靠外部证据。</w:t>
      </w:r>
    </w:p>
    <w:bookmarkEnd w:id="40"/>
    <w:bookmarkEnd w:id="41"/>
    <w:bookmarkEnd w:id="42"/>
    <w:bookmarkEnd w:id="43"/>
    <w:p>
      <w:pPr>
        <w:pStyle w:val="2"/>
        <w:spacing w:line="360" w:lineRule="auto"/>
        <w:rPr>
          <w:rFonts w:ascii="宋体" w:hAnsi="宋体" w:cs="宋体"/>
          <w:color w:val="auto"/>
          <w:sz w:val="24"/>
          <w:szCs w:val="24"/>
          <w:highlight w:val="none"/>
        </w:rPr>
      </w:pPr>
      <w:bookmarkStart w:id="44" w:name="_Toc179714297"/>
      <w:bookmarkStart w:id="45" w:name="_Toc54279002"/>
      <w:bookmarkStart w:id="46" w:name="_Toc342913392"/>
      <w:bookmarkStart w:id="47" w:name="_Toc102227318"/>
      <w:r>
        <w:rPr>
          <w:rFonts w:hint="eastAsia" w:ascii="宋体" w:hAnsi="宋体" w:cs="宋体"/>
          <w:color w:val="auto"/>
          <w:sz w:val="24"/>
          <w:szCs w:val="24"/>
          <w:highlight w:val="none"/>
        </w:rPr>
        <w:t>三、磋商要求</w:t>
      </w:r>
      <w:bookmarkEnd w:id="44"/>
      <w:bookmarkEnd w:id="45"/>
      <w:bookmarkEnd w:id="46"/>
      <w:bookmarkEnd w:id="47"/>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（一）响应文件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2.响应文件组成</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（二）联合体</w:t>
      </w:r>
    </w:p>
    <w:p>
      <w:pPr>
        <w:snapToGrid w:val="0"/>
        <w:spacing w:line="360" w:lineRule="auto"/>
        <w:ind w:firstLine="598" w:firstLineChars="248"/>
        <w:rPr>
          <w:rFonts w:ascii="宋体" w:hAnsi="宋体" w:cs="宋体"/>
          <w:color w:val="auto"/>
          <w:sz w:val="24"/>
          <w:szCs w:val="24"/>
          <w:highlight w:val="none"/>
        </w:rPr>
      </w:pPr>
      <w:r>
        <w:rPr>
          <w:rFonts w:hint="eastAsia" w:ascii="宋体" w:hAnsi="宋体" w:cs="宋体"/>
          <w:b/>
          <w:color w:val="auto"/>
          <w:sz w:val="24"/>
          <w:szCs w:val="24"/>
          <w:highlight w:val="none"/>
        </w:rPr>
        <w:t>本项目不接受联合体参与磋商。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（三）磋商有效期：响应文件及有关承诺文件有效期为提交响应文件截止时间起90天。</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（四）修正错误</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1.若供应商所递交的响应文件或最后报价中的价格出现大写金额和小写金额不一致的错误，以大写金额修正为准。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（五）提交响应文件的份数和签署</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1.响应文件一式二份（</w:t>
      </w:r>
      <w:r>
        <w:rPr>
          <w:rFonts w:hint="eastAsia" w:ascii="宋体" w:hAnsi="宋体" w:cs="宋体"/>
          <w:color w:val="auto"/>
          <w:sz w:val="24"/>
          <w:highlight w:val="none"/>
        </w:rPr>
        <w:t>封面标注正副本</w:t>
      </w:r>
      <w:r>
        <w:rPr>
          <w:rFonts w:hint="eastAsia" w:ascii="宋体" w:hAnsi="宋体" w:cs="宋体"/>
          <w:color w:val="auto"/>
          <w:sz w:val="24"/>
          <w:szCs w:val="24"/>
          <w:highlight w:val="none"/>
        </w:rPr>
        <w:t>），其中正本一份，副本一份，副本可为正本的复印件，应与正本一致，如出现不一致情况以正本为准。</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highlight w:val="none"/>
        </w:rPr>
        <w:t>在响应文件正本中，竞争性磋商文件第七篇响应文件编制要求中规定签字、盖章的地方必须按其规定签字、盖章。</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（六）响应文件的递交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1.响应文件的密封</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1.1响应文件（封面标注正副本）的正本、副本以均应密封送达磋商地点，应在封套上注明磋商项目名称、供应商名称。若正本、副本分别进行密封的，还应在封套上注明“正本”、“副本”字样。</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1.2封套的封口处应加盖供应商公章或由法定代表人授权代表签字。</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2.如果未按上述规定进行密封，采购人对响应文件误投、丢失或提前拆封不负责任。</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（七）供应商参与人员</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各个供应商应当派1-2名代表参与磋商，至少1人应为法定代表人或具有法定代表人授权委托书的授权代表。</w:t>
      </w:r>
    </w:p>
    <w:p>
      <w:pPr>
        <w:pStyle w:val="2"/>
        <w:spacing w:line="360" w:lineRule="auto"/>
        <w:rPr>
          <w:rFonts w:ascii="宋体" w:hAnsi="宋体" w:cs="宋体"/>
          <w:color w:val="auto"/>
          <w:sz w:val="24"/>
          <w:szCs w:val="24"/>
          <w:highlight w:val="none"/>
        </w:rPr>
      </w:pPr>
      <w:bookmarkStart w:id="48" w:name="_Toc54279003"/>
      <w:r>
        <w:rPr>
          <w:rFonts w:hint="eastAsia" w:ascii="宋体" w:hAnsi="宋体" w:cs="宋体"/>
          <w:color w:val="auto"/>
          <w:sz w:val="24"/>
          <w:szCs w:val="24"/>
          <w:highlight w:val="none"/>
        </w:rPr>
        <w:t>四、成交供应商的确认和变更</w:t>
      </w:r>
      <w:bookmarkEnd w:id="48"/>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（一）成交供应商的确认</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人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（二）成交供应商的变更</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成交供应商拒绝与采购人签订合同的，采购人报财政部门同意后可以按照评标报告推荐的成交候选供应商顺序，确定排名下一位的候选人为成交供应商，也可以重新开展政府采购活动。</w:t>
      </w:r>
    </w:p>
    <w:p>
      <w:pPr>
        <w:pStyle w:val="2"/>
        <w:spacing w:line="360" w:lineRule="auto"/>
        <w:rPr>
          <w:rFonts w:ascii="宋体" w:hAnsi="宋体" w:cs="宋体"/>
          <w:color w:val="auto"/>
          <w:sz w:val="24"/>
          <w:szCs w:val="24"/>
          <w:highlight w:val="none"/>
        </w:rPr>
      </w:pPr>
      <w:bookmarkStart w:id="49" w:name="_Toc54279004"/>
      <w:bookmarkStart w:id="50" w:name="_Toc102227321"/>
      <w:bookmarkStart w:id="51" w:name="_Toc342913395"/>
      <w:r>
        <w:rPr>
          <w:rFonts w:hint="eastAsia" w:ascii="宋体" w:hAnsi="宋体" w:cs="宋体"/>
          <w:color w:val="auto"/>
          <w:sz w:val="24"/>
          <w:szCs w:val="24"/>
          <w:highlight w:val="none"/>
        </w:rPr>
        <w:t>五、成交通知</w:t>
      </w:r>
      <w:bookmarkEnd w:id="49"/>
      <w:bookmarkEnd w:id="50"/>
      <w:bookmarkEnd w:id="5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（一）成交供应商确定后，采购人将在“建桥工业园”（http://www.jqgyy.com/）上发布成交结果公告。</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（二）结果公告发出同时，采购人将以书面形式发出《成交通知书》。《成交通知书》一经发出即发生法律效力。</w:t>
      </w:r>
      <w:r>
        <w:rPr>
          <w:rFonts w:hint="eastAsia" w:ascii="宋体" w:hAnsi="宋体" w:cs="宋体"/>
          <w:b/>
          <w:color w:val="auto"/>
          <w:sz w:val="24"/>
          <w:szCs w:val="24"/>
          <w:highlight w:val="none"/>
          <w:u w:val="single"/>
        </w:rPr>
        <w:t>成交人需持经办人介绍信、身份证复印件到采购人处领取。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（三）《成交通知书》将作为签订合同的依据。</w:t>
      </w:r>
    </w:p>
    <w:p>
      <w:pPr>
        <w:pStyle w:val="2"/>
        <w:spacing w:line="360" w:lineRule="auto"/>
        <w:rPr>
          <w:rFonts w:ascii="宋体" w:hAnsi="宋体" w:cs="宋体"/>
          <w:color w:val="auto"/>
          <w:sz w:val="24"/>
          <w:szCs w:val="24"/>
          <w:highlight w:val="none"/>
        </w:rPr>
      </w:pPr>
      <w:bookmarkStart w:id="52" w:name="_Toc54279005"/>
      <w:r>
        <w:rPr>
          <w:rFonts w:hint="eastAsia" w:ascii="宋体" w:hAnsi="宋体" w:cs="宋体"/>
          <w:color w:val="auto"/>
          <w:sz w:val="24"/>
          <w:szCs w:val="24"/>
          <w:highlight w:val="none"/>
        </w:rPr>
        <w:t>六、关于质疑和投诉</w:t>
      </w:r>
      <w:bookmarkEnd w:id="52"/>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供应商认为采购文件、采购过程和成交结果使自己的权益收到伤害的，可向采购人以书面形式提出质疑。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提出质疑的应当是参与所质疑项目采购活动的供应商。 </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1.质疑时限、内容</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供应商认为采购文件、采购过程、成交结果使自己的权益受到损害的，可以在知道或者应知其权益受到损害之日起7个工作日内，以书面形式向采购人提出质疑。</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1.2供应商提出质疑应当提交质疑函和必要的证明材料，质疑函应当包括下列内容：</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1.2.1供应商的姓名或者名称、地址、邮编、联系人及联系电话；</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1.2.2质疑项目的名称、项目号以及磋商项目编号；</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1.2.3具体、明确的质疑事项和与质疑事项相关的请求；</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1.2.4事实依据；</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1.2.5必要的法律依据；</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1.2.6提出质疑的日期；</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1.2.7营业执照（或事业单位法人证书，或个体工商户营业执照或有效的自然人身份证明）复印件；</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1.2.8法定代表人授权委托书原件、法定代表人身份证复印件和其授权代表的身份证复印件（供应商为自然人的提供自然人身份证复印件）；</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1.3供应商为自然人的，质疑函应当由本人签字；供应商为法人或者其他组织的，质疑函应当由法定代表人、主要负责人，或者其授权代表签字或者盖章，并加盖公章。</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2.质疑答复</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3.不予受理或暂缓受理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3.1质疑有下列情形之一的，不予受理：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3.1.1质疑供应商参与了磋商活动后，再对竞争性磋商文件内容提出质疑的；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3.1.2质疑超过有效期的；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3.1.3对同一事项重复质疑的。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3.2.1质疑书格式和内容不符合国家或重庆市相关规定的；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3.2.2质疑书提供的依据或证明材料不全的；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3.2.3质疑书副本数量不足的。</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3.其他</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3.1供应商应按照《政府采购质疑和投诉办法》（财政部令第94号）及相关法律法规要求，在法定质疑期内一次性提出针对同一采购程序环节的质疑。</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3.2质疑函范本可在财政部门户网站和中国政府采购网下载。</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（二）投诉</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1.供应商对采购人的答复不满意，或者采购人未在规定时间内作出答复的，可以在答复期满后15个工作日内按照相关法律法规向财政部门提起投诉。</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2.供应商应按照《政府采购质疑和投诉办法》（财政部令第94号）及相关法律法规要求递交投诉书和必要的证明材料。投诉书范本可在财政部门户网站和中国政府采购网下载。</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4.在确定受理投诉后，财政部门自受理投诉之日起30个工作日内（需要检验、检测、鉴定、专家评审以及需要投诉人补正材料的，所需时间不计算在投诉处理期限内）对投诉事项做出处理决定。</w:t>
      </w:r>
    </w:p>
    <w:p>
      <w:pPr>
        <w:pStyle w:val="2"/>
        <w:spacing w:line="360" w:lineRule="auto"/>
        <w:rPr>
          <w:rFonts w:ascii="宋体" w:hAnsi="宋体" w:cs="宋体"/>
          <w:color w:val="auto"/>
          <w:sz w:val="24"/>
          <w:szCs w:val="24"/>
          <w:highlight w:val="none"/>
        </w:rPr>
      </w:pPr>
      <w:bookmarkStart w:id="53" w:name="_Toc102227322"/>
      <w:bookmarkStart w:id="54" w:name="_Toc342913396"/>
      <w:bookmarkStart w:id="55" w:name="_Toc54279008"/>
      <w:bookmarkStart w:id="56" w:name="_Toc11641055"/>
      <w:bookmarkStart w:id="57" w:name="_Toc12789059"/>
      <w:r>
        <w:rPr>
          <w:rFonts w:hint="eastAsia" w:ascii="宋体" w:hAnsi="宋体" w:cs="宋体"/>
          <w:color w:val="auto"/>
          <w:sz w:val="24"/>
          <w:szCs w:val="24"/>
          <w:highlight w:val="none"/>
        </w:rPr>
        <w:t>七、签订</w:t>
      </w:r>
      <w:bookmarkEnd w:id="53"/>
      <w:r>
        <w:rPr>
          <w:rFonts w:hint="eastAsia" w:ascii="宋体" w:hAnsi="宋体" w:cs="宋体"/>
          <w:color w:val="auto"/>
          <w:sz w:val="24"/>
          <w:szCs w:val="24"/>
          <w:highlight w:val="none"/>
        </w:rPr>
        <w:t>合同</w:t>
      </w:r>
      <w:bookmarkEnd w:id="54"/>
      <w:bookmarkEnd w:id="55"/>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（二）竞争性磋商文件、供应商的响应文件及澄清文件等，均为签订政府采购合同的依据。</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（三）合同生效条款由供需双方约定，法律、行政法规规定应当办理批准、登记等手续后生效的合同，依照其规定。</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（四）合同原则上应按照《重庆市政府采购合同》签订，相关单位要求适用合同通用格式版本的，应按其要求另行签订其他合同。</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（五）采购人要求成交供应商提供履约保证金的，应当在竞争性磋商文件中予以约定。成交供应商履约完毕后，采购人根据采购文件规定退还其履约保证金。</w:t>
      </w:r>
    </w:p>
    <w:p>
      <w:pPr>
        <w:pStyle w:val="2"/>
        <w:spacing w:line="360" w:lineRule="auto"/>
        <w:rPr>
          <w:rFonts w:ascii="宋体" w:hAnsi="宋体" w:cs="宋体"/>
          <w:color w:val="auto"/>
          <w:sz w:val="24"/>
          <w:highlight w:val="none"/>
        </w:rPr>
      </w:pPr>
      <w:bookmarkStart w:id="58" w:name="_Toc16931_WPSOffice_Level2"/>
      <w:bookmarkStart w:id="59" w:name="_Toc3855"/>
      <w:bookmarkStart w:id="60" w:name="_Toc19576_WPSOffice_Level2"/>
      <w:bookmarkStart w:id="61" w:name="_Toc8666679"/>
      <w:r>
        <w:rPr>
          <w:rFonts w:hint="eastAsia" w:ascii="宋体" w:hAnsi="宋体" w:cs="宋体"/>
          <w:color w:val="auto"/>
          <w:sz w:val="24"/>
          <w:szCs w:val="24"/>
          <w:highlight w:val="none"/>
        </w:rPr>
        <w:t>八、</w:t>
      </w:r>
      <w:bookmarkEnd w:id="58"/>
      <w:bookmarkEnd w:id="59"/>
      <w:bookmarkEnd w:id="60"/>
      <w:bookmarkEnd w:id="61"/>
      <w:bookmarkStart w:id="62" w:name="_Toc14780"/>
      <w:bookmarkStart w:id="63" w:name="_Toc54279009"/>
      <w:r>
        <w:rPr>
          <w:rFonts w:hint="eastAsia" w:ascii="宋体" w:hAnsi="宋体" w:cs="宋体"/>
          <w:color w:val="auto"/>
          <w:sz w:val="24"/>
          <w:highlight w:val="none"/>
        </w:rPr>
        <w:t>政府采购信用融资</w:t>
      </w:r>
      <w:bookmarkEnd w:id="62"/>
      <w:bookmarkEnd w:id="63"/>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pPr>
        <w:pStyle w:val="3"/>
        <w:spacing w:line="360" w:lineRule="auto"/>
        <w:jc w:val="center"/>
        <w:rPr>
          <w:rFonts w:ascii="宋体" w:hAnsi="宋体" w:eastAsia="宋体" w:cs="宋体"/>
          <w:b w:val="0"/>
          <w:color w:val="auto"/>
          <w:sz w:val="36"/>
          <w:szCs w:val="30"/>
          <w:highlight w:val="none"/>
        </w:rPr>
      </w:pPr>
      <w:r>
        <w:rPr>
          <w:rFonts w:hint="eastAsia" w:ascii="宋体" w:hAnsi="宋体" w:eastAsia="宋体" w:cs="宋体"/>
          <w:color w:val="auto"/>
          <w:sz w:val="36"/>
          <w:szCs w:val="30"/>
          <w:highlight w:val="none"/>
        </w:rPr>
        <w:br w:type="page"/>
      </w:r>
      <w:bookmarkStart w:id="64" w:name="_Toc54279010"/>
      <w:r>
        <w:rPr>
          <w:rFonts w:hint="eastAsia" w:ascii="宋体" w:hAnsi="宋体" w:eastAsia="宋体" w:cs="宋体"/>
          <w:b w:val="0"/>
          <w:color w:val="auto"/>
          <w:sz w:val="36"/>
          <w:szCs w:val="30"/>
          <w:highlight w:val="none"/>
        </w:rPr>
        <w:t xml:space="preserve">第六篇  </w:t>
      </w:r>
      <w:bookmarkEnd w:id="56"/>
      <w:bookmarkEnd w:id="57"/>
      <w:r>
        <w:rPr>
          <w:rFonts w:hint="eastAsia" w:ascii="宋体" w:hAnsi="宋体" w:eastAsia="宋体" w:cs="宋体"/>
          <w:b w:val="0"/>
          <w:color w:val="auto"/>
          <w:sz w:val="36"/>
          <w:szCs w:val="30"/>
          <w:highlight w:val="none"/>
        </w:rPr>
        <w:t>合同</w:t>
      </w:r>
      <w:bookmarkEnd w:id="64"/>
    </w:p>
    <w:p>
      <w:pPr>
        <w:tabs>
          <w:tab w:val="left" w:pos="9000"/>
        </w:tabs>
        <w:spacing w:line="360" w:lineRule="auto"/>
        <w:jc w:val="center"/>
        <w:rPr>
          <w:rFonts w:ascii="宋体" w:hAnsi="宋体" w:cs="宋体"/>
          <w:color w:val="auto"/>
          <w:sz w:val="21"/>
          <w:szCs w:val="21"/>
          <w:highlight w:val="none"/>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r>
        <w:rPr>
          <w:rFonts w:hint="eastAsia" w:ascii="宋体" w:hAnsi="宋体" w:cs="宋体"/>
          <w:b/>
          <w:color w:val="auto"/>
          <w:sz w:val="44"/>
          <w:highlight w:val="none"/>
        </w:rPr>
        <w:t>格式自拟</w:t>
      </w:r>
    </w:p>
    <w:p>
      <w:pPr>
        <w:pStyle w:val="3"/>
        <w:spacing w:line="360" w:lineRule="auto"/>
        <w:jc w:val="center"/>
        <w:rPr>
          <w:rFonts w:ascii="宋体" w:hAnsi="宋体" w:eastAsia="宋体" w:cs="宋体"/>
          <w:b w:val="0"/>
          <w:color w:val="auto"/>
          <w:sz w:val="36"/>
          <w:szCs w:val="30"/>
          <w:highlight w:val="none"/>
        </w:rPr>
      </w:pPr>
      <w:bookmarkStart w:id="65" w:name="_Hlt41879464"/>
      <w:bookmarkEnd w:id="65"/>
      <w:bookmarkStart w:id="66" w:name="_Toc54279011"/>
      <w:r>
        <w:rPr>
          <w:rFonts w:hint="eastAsia" w:ascii="宋体" w:hAnsi="宋体" w:eastAsia="宋体" w:cs="宋体"/>
          <w:b w:val="0"/>
          <w:color w:val="auto"/>
          <w:sz w:val="36"/>
          <w:szCs w:val="30"/>
          <w:highlight w:val="none"/>
        </w:rPr>
        <w:t>第七篇  响应文件编制要求</w:t>
      </w:r>
      <w:bookmarkEnd w:id="6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一、经济部分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（一）竞争性磋商报价函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二、服务部分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（一）服务方案</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（二）服务响应偏离表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三、商务部分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（一）商务响应偏离表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（二）其它优惠服务承诺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（三）根据商务部分评分细则自行准备资料。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四、资格条件及其他</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（一）法人营业执照（副本）或事业单位法人证书（副本）或个体工商户营业执照或有效的自然人身份证明或社会团体法人登记证书复印件</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（二）法定代表人身份证明书（格式）</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（三）法定代表人授权委托书（格式）</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（四）基本资格条件承诺函（格式）</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（五）特定资格条件证书或证明文件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五、其他资料</w:t>
      </w:r>
    </w:p>
    <w:p>
      <w:pPr>
        <w:spacing w:line="360" w:lineRule="auto"/>
        <w:ind w:firstLine="480" w:firstLineChars="200"/>
        <w:rPr>
          <w:rFonts w:ascii="宋体" w:hAnsi="宋体" w:cs="宋体"/>
          <w:b/>
          <w:color w:val="auto"/>
          <w:sz w:val="24"/>
          <w:szCs w:val="24"/>
          <w:highlight w:val="none"/>
        </w:rPr>
      </w:pPr>
      <w:r>
        <w:rPr>
          <w:rFonts w:hint="eastAsia" w:ascii="宋体" w:hAnsi="宋体" w:cs="宋体"/>
          <w:color w:val="auto"/>
          <w:sz w:val="24"/>
          <w:szCs w:val="24"/>
          <w:highlight w:val="none"/>
        </w:rPr>
        <w:t>（一）中小微企业声明函、监狱企业证明文件、残疾人福利性单位声明函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（二）其他与项目有关的资料</w:t>
      </w:r>
    </w:p>
    <w:p>
      <w:pPr>
        <w:snapToGrid w:val="0"/>
        <w:spacing w:line="360" w:lineRule="auto"/>
        <w:rPr>
          <w:rFonts w:ascii="宋体" w:hAnsi="宋体" w:cs="宋体"/>
          <w:color w:val="auto"/>
          <w:sz w:val="24"/>
          <w:szCs w:val="24"/>
          <w:highlight w:val="none"/>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2"/>
        <w:spacing w:line="360" w:lineRule="auto"/>
        <w:rPr>
          <w:rFonts w:ascii="宋体" w:hAnsi="宋体" w:cs="宋体"/>
          <w:color w:val="auto"/>
          <w:sz w:val="24"/>
          <w:szCs w:val="24"/>
          <w:highlight w:val="none"/>
        </w:rPr>
      </w:pPr>
      <w:bookmarkStart w:id="67" w:name="_Toc54279012"/>
      <w:bookmarkStart w:id="68" w:name="_Toc313888360"/>
      <w:bookmarkStart w:id="69" w:name="_Toc342913419"/>
      <w:bookmarkStart w:id="70" w:name="_Toc313008356"/>
      <w:bookmarkStart w:id="71" w:name="_Toc283382454"/>
      <w:bookmarkStart w:id="72" w:name="_Toc12789073"/>
      <w:r>
        <w:rPr>
          <w:rFonts w:hint="eastAsia" w:ascii="宋体" w:hAnsi="宋体" w:cs="宋体"/>
          <w:color w:val="auto"/>
          <w:sz w:val="24"/>
          <w:szCs w:val="24"/>
          <w:highlight w:val="none"/>
        </w:rPr>
        <w:t>一、经济部分</w:t>
      </w:r>
      <w:bookmarkEnd w:id="67"/>
      <w:bookmarkEnd w:id="68"/>
      <w:bookmarkEnd w:id="69"/>
      <w:bookmarkEnd w:id="70"/>
    </w:p>
    <w:bookmarkEnd w:id="71"/>
    <w:bookmarkEnd w:id="72"/>
    <w:p>
      <w:pPr>
        <w:pStyle w:val="2"/>
        <w:spacing w:line="360" w:lineRule="auto"/>
        <w:rPr>
          <w:rFonts w:ascii="宋体" w:hAnsi="宋体" w:cs="宋体"/>
          <w:color w:val="auto"/>
          <w:sz w:val="24"/>
          <w:szCs w:val="24"/>
          <w:highlight w:val="none"/>
        </w:rPr>
      </w:pPr>
      <w:bookmarkStart w:id="73" w:name="_Toc466546937"/>
      <w:bookmarkStart w:id="74" w:name="_Toc313008357"/>
      <w:bookmarkStart w:id="75" w:name="_Toc54279013"/>
      <w:bookmarkStart w:id="76" w:name="_Toc313888361"/>
      <w:bookmarkStart w:id="77" w:name="_Toc342913420"/>
      <w:r>
        <w:rPr>
          <w:rFonts w:hint="eastAsia" w:ascii="宋体" w:hAnsi="宋体" w:cs="宋体"/>
          <w:color w:val="auto"/>
          <w:sz w:val="24"/>
          <w:szCs w:val="24"/>
          <w:highlight w:val="none"/>
        </w:rPr>
        <w:t>一、经济部分</w:t>
      </w:r>
      <w:bookmarkEnd w:id="73"/>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（一）竞争性磋商报价函</w:t>
      </w:r>
    </w:p>
    <w:p>
      <w:pPr>
        <w:tabs>
          <w:tab w:val="left" w:pos="6300"/>
        </w:tabs>
        <w:snapToGrid w:val="0"/>
        <w:spacing w:line="480" w:lineRule="exact"/>
        <w:jc w:val="center"/>
        <w:outlineLvl w:val="0"/>
        <w:rPr>
          <w:rFonts w:ascii="宋体" w:hAnsi="宋体" w:cs="宋体"/>
          <w:b/>
          <w:color w:val="auto"/>
          <w:szCs w:val="28"/>
          <w:highlight w:val="none"/>
        </w:rPr>
      </w:pPr>
      <w:r>
        <w:rPr>
          <w:rFonts w:hint="eastAsia" w:ascii="宋体" w:hAnsi="宋体" w:cs="宋体"/>
          <w:b/>
          <w:color w:val="auto"/>
          <w:szCs w:val="28"/>
          <w:highlight w:val="none"/>
        </w:rPr>
        <w:t>竞争性磋商报价函</w:t>
      </w:r>
    </w:p>
    <w:p>
      <w:pPr>
        <w:tabs>
          <w:tab w:val="left" w:pos="6300"/>
        </w:tabs>
        <w:snapToGrid w:val="0"/>
        <w:spacing w:line="480" w:lineRule="exact"/>
        <w:rPr>
          <w:rFonts w:ascii="宋体" w:hAnsi="宋体" w:cs="宋体"/>
          <w:color w:val="auto"/>
          <w:sz w:val="24"/>
          <w:szCs w:val="24"/>
          <w:highlight w:val="none"/>
        </w:rPr>
      </w:pPr>
      <w:r>
        <w:rPr>
          <w:rFonts w:hint="eastAsia" w:ascii="宋体" w:hAnsi="宋体" w:cs="宋体"/>
          <w:color w:val="auto"/>
          <w:sz w:val="24"/>
          <w:szCs w:val="24"/>
          <w:highlight w:val="none"/>
          <w:u w:val="single"/>
        </w:rPr>
        <w:t>（采购</w:t>
      </w:r>
      <w:r>
        <w:rPr>
          <w:rFonts w:hint="eastAsia" w:ascii="宋体" w:hAnsi="宋体" w:cs="宋体"/>
          <w:color w:val="auto"/>
          <w:sz w:val="24"/>
          <w:szCs w:val="24"/>
          <w:highlight w:val="none"/>
          <w:u w:val="single"/>
          <w:lang w:eastAsia="zh-CN"/>
        </w:rPr>
        <w:t>人</w:t>
      </w:r>
      <w:r>
        <w:rPr>
          <w:rFonts w:hint="eastAsia" w:ascii="宋体" w:hAnsi="宋体" w:cs="宋体"/>
          <w:color w:val="auto"/>
          <w:sz w:val="24"/>
          <w:szCs w:val="24"/>
          <w:highlight w:val="none"/>
          <w:u w:val="single"/>
        </w:rPr>
        <w:t>名称）</w:t>
      </w:r>
      <w:r>
        <w:rPr>
          <w:rFonts w:hint="eastAsia" w:ascii="宋体" w:hAnsi="宋体" w:cs="宋体"/>
          <w:color w:val="auto"/>
          <w:sz w:val="24"/>
          <w:szCs w:val="24"/>
          <w:highlight w:val="none"/>
        </w:rPr>
        <w:t>：</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我方收到____________________________（项目名称）及_____________（项目号）的竞争性磋商文件，经详细研究，决定参加该项目的磋商。</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1、愿意按照竞争性磋商文件的一切要求，提供本项目的技术服务，折扣率百分比初始报价为________%(折扣率百分比保留到小数点后2位)，以暂定建安投资4</w:t>
      </w:r>
      <w:r>
        <w:rPr>
          <w:rFonts w:hint="eastAsia" w:ascii="宋体" w:hAnsi="宋体" w:cs="宋体"/>
          <w:color w:val="auto"/>
          <w:sz w:val="24"/>
          <w:szCs w:val="24"/>
          <w:highlight w:val="none"/>
          <w:lang w:val="en-US" w:eastAsia="zh-CN"/>
        </w:rPr>
        <w:t>41</w:t>
      </w:r>
      <w:r>
        <w:rPr>
          <w:rFonts w:hint="eastAsia" w:ascii="宋体" w:hAnsi="宋体" w:cs="宋体"/>
          <w:color w:val="auto"/>
          <w:sz w:val="24"/>
          <w:szCs w:val="24"/>
          <w:highlight w:val="none"/>
        </w:rPr>
        <w:t>0万元为计费基数，咨询服务费总价初始报价为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元（咨询服务费总价保留到小数点后2位），以我公司最后报价为准。</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2、我方现提交的响应文件为：响应文件正本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份，副本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份。</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3、我方承诺：本次磋商的有效期为90天。</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4、我方完全理解和接受贵方竞争性磋商文件的一切规定和要求及评审办法。</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w:t>
      </w:r>
      <w:r>
        <w:rPr>
          <w:rFonts w:hint="eastAsia" w:ascii="宋体" w:hAnsi="宋体" w:cs="宋体"/>
          <w:color w:val="auto"/>
          <w:sz w:val="24"/>
          <w:szCs w:val="28"/>
          <w:highlight w:val="none"/>
        </w:rPr>
        <w:t>我方理解，最低报价不是成交的唯一条件。</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8、我方同意按竞争性磋商文件规定，交纳竞争性磋商文件要求的磋商保证金。如果我方成为成交竞标人，保证在接到成交通知书后，</w:t>
      </w:r>
      <w:r>
        <w:rPr>
          <w:rFonts w:hint="eastAsia" w:ascii="宋体" w:hAnsi="宋体" w:cs="宋体"/>
          <w:color w:val="auto"/>
          <w:sz w:val="24"/>
          <w:szCs w:val="24"/>
          <w:highlight w:val="none"/>
          <w:lang w:eastAsia="zh-CN"/>
        </w:rPr>
        <w:t>按时递交履约担保（如果有）并签订合同</w:t>
      </w:r>
      <w:r>
        <w:rPr>
          <w:rFonts w:hint="eastAsia" w:ascii="宋体" w:hAnsi="宋体" w:cs="宋体"/>
          <w:color w:val="auto"/>
          <w:sz w:val="24"/>
          <w:szCs w:val="24"/>
          <w:highlight w:val="none"/>
        </w:rPr>
        <w:t>。</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w:t>
      </w:r>
      <w:r>
        <w:rPr>
          <w:rFonts w:hint="eastAsia" w:ascii="宋体" w:hAnsi="宋体" w:cs="宋体"/>
          <w:color w:val="auto"/>
          <w:sz w:val="24"/>
          <w:szCs w:val="28"/>
          <w:highlight w:val="none"/>
        </w:rPr>
        <w:t>我方未</w:t>
      </w:r>
      <w:r>
        <w:rPr>
          <w:rFonts w:hint="eastAsia" w:ascii="宋体" w:hAnsi="宋体" w:cs="宋体"/>
          <w:color w:val="auto"/>
          <w:sz w:val="24"/>
          <w:szCs w:val="24"/>
          <w:highlight w:val="none"/>
        </w:rPr>
        <w:t>为采购项目提供整体设计、规范编制或者项目管理、监理、检测等服务。</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竞标人（公章）：</w:t>
      </w:r>
    </w:p>
    <w:p>
      <w:pPr>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rPr>
          <w:rFonts w:ascii="宋体" w:hAnsi="宋体" w:cs="宋体"/>
          <w:color w:val="auto"/>
          <w:sz w:val="24"/>
          <w:szCs w:val="24"/>
          <w:highlight w:val="none"/>
        </w:rPr>
      </w:pPr>
      <w:r>
        <w:rPr>
          <w:rFonts w:hint="eastAsia" w:ascii="宋体" w:hAnsi="宋体" w:cs="宋体"/>
          <w:color w:val="auto"/>
          <w:sz w:val="24"/>
          <w:szCs w:val="24"/>
          <w:highlight w:val="none"/>
        </w:rPr>
        <w:br w:type="page"/>
      </w:r>
    </w:p>
    <w:p>
      <w:pPr>
        <w:pStyle w:val="2"/>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二、服务部分</w:t>
      </w:r>
      <w:bookmarkEnd w:id="74"/>
      <w:bookmarkEnd w:id="75"/>
      <w:bookmarkEnd w:id="76"/>
      <w:bookmarkEnd w:id="77"/>
    </w:p>
    <w:p>
      <w:pPr>
        <w:tabs>
          <w:tab w:val="left" w:pos="6300"/>
        </w:tabs>
        <w:snapToGrid w:val="0"/>
        <w:spacing w:line="500" w:lineRule="exact"/>
        <w:ind w:firstLine="570"/>
        <w:jc w:val="center"/>
        <w:rPr>
          <w:rFonts w:ascii="宋体" w:hAnsi="宋体" w:cs="宋体"/>
          <w:color w:val="auto"/>
          <w:sz w:val="24"/>
          <w:szCs w:val="24"/>
          <w:highlight w:val="none"/>
        </w:rPr>
      </w:pPr>
      <w:r>
        <w:rPr>
          <w:rFonts w:hint="eastAsia" w:ascii="宋体" w:hAnsi="宋体" w:cs="宋体"/>
          <w:color w:val="auto"/>
          <w:sz w:val="24"/>
          <w:szCs w:val="24"/>
          <w:highlight w:val="none"/>
        </w:rPr>
        <w:t>（一）服务方案（格式自定）</w:t>
      </w:r>
      <w:r>
        <w:rPr>
          <w:rFonts w:hint="eastAsia" w:ascii="宋体" w:hAnsi="宋体" w:cs="宋体"/>
          <w:color w:val="auto"/>
          <w:szCs w:val="24"/>
          <w:highlight w:val="none"/>
        </w:rPr>
        <w:br w:type="page"/>
      </w:r>
      <w:r>
        <w:rPr>
          <w:rFonts w:hint="eastAsia" w:ascii="宋体" w:hAnsi="宋体" w:cs="宋体"/>
          <w:color w:val="auto"/>
          <w:sz w:val="24"/>
          <w:szCs w:val="24"/>
          <w:highlight w:val="none"/>
        </w:rPr>
        <w:t>（二）服务响应偏离表</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磋商项目名称：</w:t>
      </w:r>
    </w:p>
    <w:tbl>
      <w:tblPr>
        <w:tblStyle w:val="14"/>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r>
              <w:rPr>
                <w:rFonts w:hint="eastAsia" w:ascii="宋体" w:hAnsi="宋体" w:cs="宋体"/>
                <w:color w:val="auto"/>
                <w:sz w:val="21"/>
                <w:szCs w:val="21"/>
                <w:highlight w:val="none"/>
              </w:rPr>
              <w:t>序号</w:t>
            </w: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r>
              <w:rPr>
                <w:rFonts w:hint="eastAsia" w:ascii="宋体" w:hAnsi="宋体" w:cs="宋体"/>
                <w:color w:val="auto"/>
                <w:sz w:val="21"/>
                <w:szCs w:val="21"/>
                <w:highlight w:val="none"/>
              </w:rPr>
              <w:t>采购需求</w:t>
            </w: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r>
              <w:rPr>
                <w:rFonts w:hint="eastAsia" w:ascii="宋体" w:hAnsi="宋体" w:cs="宋体"/>
                <w:color w:val="auto"/>
                <w:sz w:val="21"/>
                <w:szCs w:val="21"/>
                <w:highlight w:val="none"/>
              </w:rPr>
              <w:t>响应情况</w:t>
            </w: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r>
              <w:rPr>
                <w:rFonts w:hint="eastAsia" w:ascii="宋体" w:hAnsi="宋体" w:cs="宋体"/>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bl>
    <w:p>
      <w:pPr>
        <w:spacing w:line="500" w:lineRule="exact"/>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法定代表人和授权代表：</w:t>
      </w:r>
    </w:p>
    <w:p>
      <w:pPr>
        <w:spacing w:line="500" w:lineRule="exact"/>
        <w:rPr>
          <w:rFonts w:ascii="宋体" w:hAnsi="宋体" w:cs="宋体"/>
          <w:color w:val="auto"/>
          <w:sz w:val="24"/>
          <w:szCs w:val="28"/>
          <w:highlight w:val="none"/>
        </w:rPr>
      </w:pPr>
    </w:p>
    <w:p>
      <w:pPr>
        <w:spacing w:line="500" w:lineRule="exact"/>
        <w:ind w:firstLine="720" w:firstLineChars="30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szCs w:val="24"/>
          <w:highlight w:val="none"/>
        </w:rPr>
        <w:t>1</w:t>
      </w:r>
      <w:r>
        <w:rPr>
          <w:rFonts w:hint="eastAsia" w:ascii="宋体" w:hAnsi="宋体" w:cs="宋体"/>
          <w:color w:val="auto"/>
          <w:sz w:val="24"/>
          <w:highlight w:val="none"/>
        </w:rPr>
        <w:t>.本表即为对本项目“第二篇  项目服务需求”中所列服务要求进行比较和响应；</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3.该表可扩展</w:t>
      </w:r>
      <w:r>
        <w:rPr>
          <w:rFonts w:hint="eastAsia" w:ascii="宋体" w:hAnsi="宋体" w:cs="宋体"/>
          <w:color w:val="auto"/>
          <w:sz w:val="24"/>
          <w:szCs w:val="28"/>
          <w:highlight w:val="none"/>
        </w:rPr>
        <w:t>，并逐页签字或盖章</w:t>
      </w:r>
      <w:r>
        <w:rPr>
          <w:rFonts w:hint="eastAsia" w:ascii="宋体" w:hAnsi="宋体" w:cs="宋体"/>
          <w:color w:val="auto"/>
          <w:sz w:val="24"/>
          <w:highlight w:val="none"/>
        </w:rPr>
        <w:t>；</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4.可附相关支撑材料。（格式自定）</w:t>
      </w:r>
    </w:p>
    <w:p>
      <w:pPr>
        <w:pStyle w:val="2"/>
        <w:spacing w:line="360" w:lineRule="auto"/>
        <w:rPr>
          <w:rFonts w:ascii="宋体" w:hAnsi="宋体" w:cs="宋体"/>
          <w:color w:val="auto"/>
          <w:sz w:val="24"/>
          <w:szCs w:val="24"/>
          <w:highlight w:val="none"/>
        </w:rPr>
      </w:pPr>
      <w:r>
        <w:rPr>
          <w:rFonts w:hint="eastAsia" w:ascii="宋体" w:hAnsi="宋体" w:cs="宋体"/>
          <w:b w:val="0"/>
          <w:color w:val="auto"/>
          <w:highlight w:val="none"/>
        </w:rPr>
        <w:br w:type="page"/>
      </w:r>
      <w:bookmarkStart w:id="78" w:name="_Toc54279014"/>
      <w:bookmarkStart w:id="79" w:name="_Toc342913421"/>
      <w:bookmarkStart w:id="80" w:name="_Toc313008358"/>
      <w:bookmarkStart w:id="81" w:name="_Toc313888362"/>
      <w:r>
        <w:rPr>
          <w:rFonts w:hint="eastAsia" w:ascii="宋体" w:hAnsi="宋体" w:cs="宋体"/>
          <w:color w:val="auto"/>
          <w:sz w:val="24"/>
          <w:szCs w:val="24"/>
          <w:highlight w:val="none"/>
        </w:rPr>
        <w:t>三、商务部分</w:t>
      </w:r>
      <w:bookmarkEnd w:id="78"/>
      <w:bookmarkEnd w:id="79"/>
      <w:bookmarkEnd w:id="80"/>
      <w:bookmarkEnd w:id="8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w:t>
      </w:r>
      <w:bookmarkStart w:id="82" w:name="_Toc283382459"/>
      <w:r>
        <w:rPr>
          <w:rFonts w:hint="eastAsia" w:ascii="宋体" w:hAnsi="宋体" w:cs="宋体"/>
          <w:color w:val="auto"/>
          <w:sz w:val="24"/>
          <w:szCs w:val="24"/>
          <w:highlight w:val="none"/>
        </w:rPr>
        <w:t>）商务响应偏离表</w:t>
      </w:r>
    </w:p>
    <w:p>
      <w:pPr>
        <w:snapToGrid w:val="0"/>
        <w:spacing w:line="360" w:lineRule="auto"/>
        <w:jc w:val="center"/>
        <w:rPr>
          <w:rFonts w:ascii="宋体" w:hAnsi="宋体" w:cs="宋体"/>
          <w:b/>
          <w:color w:val="auto"/>
          <w:szCs w:val="28"/>
          <w:highlight w:val="none"/>
        </w:rPr>
      </w:pPr>
      <w:r>
        <w:rPr>
          <w:rFonts w:hint="eastAsia" w:ascii="宋体" w:hAnsi="宋体" w:cs="宋体"/>
          <w:b/>
          <w:color w:val="auto"/>
          <w:szCs w:val="28"/>
          <w:highlight w:val="none"/>
        </w:rPr>
        <w:t>商务响应偏离表</w:t>
      </w:r>
    </w:p>
    <w:p>
      <w:pPr>
        <w:spacing w:line="40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项目号：                                磋商项目编号：</w:t>
      </w:r>
    </w:p>
    <w:p>
      <w:pPr>
        <w:snapToGrid w:val="0"/>
        <w:spacing w:line="40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 xml:space="preserve">磋商项目名称： </w:t>
      </w:r>
    </w:p>
    <w:tbl>
      <w:tblPr>
        <w:tblStyle w:val="14"/>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noWrap/>
            <w:vAlign w:val="center"/>
          </w:tcPr>
          <w:p>
            <w:pPr>
              <w:snapToGrid w:val="0"/>
              <w:spacing w:line="360" w:lineRule="auto"/>
              <w:ind w:firstLine="465"/>
              <w:rPr>
                <w:rFonts w:ascii="宋体" w:hAnsi="宋体" w:cs="宋体"/>
                <w:color w:val="auto"/>
                <w:sz w:val="21"/>
                <w:szCs w:val="24"/>
                <w:highlight w:val="none"/>
              </w:rPr>
            </w:pPr>
            <w:r>
              <w:rPr>
                <w:rFonts w:hint="eastAsia" w:ascii="宋体" w:hAnsi="宋体" w:cs="宋体"/>
                <w:color w:val="auto"/>
                <w:sz w:val="21"/>
                <w:szCs w:val="24"/>
                <w:highlight w:val="none"/>
              </w:rPr>
              <w:t>序号</w:t>
            </w: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r>
              <w:rPr>
                <w:rFonts w:hint="eastAsia" w:ascii="宋体" w:hAnsi="宋体" w:cs="宋体"/>
                <w:color w:val="auto"/>
                <w:sz w:val="21"/>
                <w:szCs w:val="24"/>
                <w:highlight w:val="none"/>
              </w:rPr>
              <w:t>磋商项目商务需求</w:t>
            </w: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r>
              <w:rPr>
                <w:rFonts w:hint="eastAsia" w:ascii="宋体" w:hAnsi="宋体" w:cs="宋体"/>
                <w:color w:val="auto"/>
                <w:sz w:val="21"/>
                <w:szCs w:val="24"/>
                <w:highlight w:val="none"/>
              </w:rPr>
              <w:t>响应情况</w:t>
            </w: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r>
              <w:rPr>
                <w:rFonts w:hint="eastAsia" w:ascii="宋体" w:hAnsi="宋体" w:cs="宋体"/>
                <w:color w:val="auto"/>
                <w:sz w:val="21"/>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r>
    </w:tbl>
    <w:p>
      <w:pPr>
        <w:snapToGrid w:val="0"/>
        <w:spacing w:line="360" w:lineRule="auto"/>
        <w:ind w:firstLine="465"/>
        <w:rPr>
          <w:rFonts w:ascii="宋体" w:hAnsi="宋体" w:cs="宋体"/>
          <w:color w:val="auto"/>
          <w:sz w:val="24"/>
          <w:szCs w:val="24"/>
          <w:highlight w:val="none"/>
        </w:rPr>
      </w:pPr>
    </w:p>
    <w:p>
      <w:pPr>
        <w:spacing w:line="500" w:lineRule="exact"/>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法定代表人和授权代表：</w:t>
      </w:r>
    </w:p>
    <w:p>
      <w:pPr>
        <w:spacing w:line="500" w:lineRule="exact"/>
        <w:rPr>
          <w:rFonts w:ascii="宋体" w:hAnsi="宋体" w:cs="宋体"/>
          <w:color w:val="auto"/>
          <w:sz w:val="24"/>
          <w:szCs w:val="28"/>
          <w:highlight w:val="none"/>
        </w:rPr>
      </w:pPr>
    </w:p>
    <w:p>
      <w:pPr>
        <w:spacing w:line="500" w:lineRule="exact"/>
        <w:ind w:firstLine="360" w:firstLineChars="15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szCs w:val="24"/>
          <w:highlight w:val="none"/>
        </w:rPr>
        <w:t>1</w:t>
      </w:r>
      <w:r>
        <w:rPr>
          <w:rFonts w:hint="eastAsia" w:ascii="宋体" w:hAnsi="宋体" w:cs="宋体"/>
          <w:color w:val="auto"/>
          <w:sz w:val="24"/>
          <w:highlight w:val="none"/>
        </w:rPr>
        <w:t>.本表即为对本项目“第三篇 项目商务需求”中所列服务要求进行比较和响应；</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3.该表可扩展</w:t>
      </w:r>
      <w:r>
        <w:rPr>
          <w:rFonts w:hint="eastAsia" w:ascii="宋体" w:hAnsi="宋体" w:cs="宋体"/>
          <w:color w:val="auto"/>
          <w:sz w:val="24"/>
          <w:szCs w:val="28"/>
          <w:highlight w:val="none"/>
        </w:rPr>
        <w:t>，并逐页签字或盖章</w:t>
      </w:r>
      <w:r>
        <w:rPr>
          <w:rFonts w:hint="eastAsia" w:ascii="宋体" w:hAnsi="宋体" w:cs="宋体"/>
          <w:color w:val="auto"/>
          <w:sz w:val="24"/>
          <w:highlight w:val="none"/>
        </w:rPr>
        <w:t>。</w:t>
      </w:r>
    </w:p>
    <w:p>
      <w:pPr>
        <w:spacing w:line="360" w:lineRule="auto"/>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（二）其它优惠承诺（格式自定）</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（三）根据商务部分评分细则自行准备资料。</w:t>
      </w:r>
    </w:p>
    <w:p>
      <w:pPr>
        <w:pStyle w:val="2"/>
        <w:spacing w:line="360" w:lineRule="auto"/>
        <w:rPr>
          <w:rFonts w:ascii="宋体" w:hAnsi="宋体" w:cs="宋体"/>
          <w:color w:val="auto"/>
          <w:highlight w:val="none"/>
        </w:rPr>
      </w:pPr>
      <w:r>
        <w:rPr>
          <w:rFonts w:hint="eastAsia" w:ascii="宋体" w:hAnsi="宋体" w:cs="宋体"/>
          <w:color w:val="auto"/>
          <w:sz w:val="24"/>
          <w:szCs w:val="24"/>
          <w:highlight w:val="none"/>
        </w:rPr>
        <w:br w:type="page"/>
      </w:r>
      <w:bookmarkEnd w:id="82"/>
      <w:bookmarkStart w:id="83" w:name="_Toc313888363"/>
      <w:bookmarkStart w:id="84" w:name="_Toc342913422"/>
      <w:bookmarkStart w:id="85" w:name="_Toc54279015"/>
      <w:bookmarkStart w:id="86" w:name="_Toc313008359"/>
      <w:r>
        <w:rPr>
          <w:rFonts w:hint="eastAsia" w:ascii="宋体" w:hAnsi="宋体" w:cs="宋体"/>
          <w:color w:val="auto"/>
          <w:sz w:val="24"/>
          <w:szCs w:val="24"/>
          <w:highlight w:val="none"/>
        </w:rPr>
        <w:t>四、资格条件及其他</w:t>
      </w:r>
      <w:bookmarkEnd w:id="83"/>
      <w:bookmarkEnd w:id="84"/>
      <w:bookmarkEnd w:id="85"/>
      <w:bookmarkEnd w:id="8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ascii="宋体" w:hAnsi="宋体" w:cs="宋体"/>
          <w:color w:val="auto"/>
          <w:highlight w:val="none"/>
        </w:rPr>
      </w:pPr>
    </w:p>
    <w:p>
      <w:pPr>
        <w:tabs>
          <w:tab w:val="left" w:pos="6300"/>
        </w:tabs>
        <w:snapToGrid w:val="0"/>
        <w:spacing w:line="500" w:lineRule="exact"/>
        <w:ind w:firstLine="570"/>
        <w:rPr>
          <w:rFonts w:ascii="宋体" w:hAnsi="宋体" w:cs="宋体"/>
          <w:color w:val="auto"/>
          <w:highlight w:val="none"/>
        </w:rPr>
      </w:pPr>
    </w:p>
    <w:p>
      <w:pPr>
        <w:tabs>
          <w:tab w:val="left" w:pos="6300"/>
        </w:tabs>
        <w:snapToGrid w:val="0"/>
        <w:spacing w:line="500" w:lineRule="exact"/>
        <w:ind w:firstLine="570"/>
        <w:rPr>
          <w:rFonts w:ascii="宋体" w:hAnsi="宋体" w:cs="宋体"/>
          <w:color w:val="auto"/>
          <w:highlight w:val="none"/>
        </w:rPr>
      </w:pPr>
    </w:p>
    <w:p>
      <w:pPr>
        <w:tabs>
          <w:tab w:val="left" w:pos="6300"/>
        </w:tabs>
        <w:snapToGrid w:val="0"/>
        <w:spacing w:line="500" w:lineRule="exact"/>
        <w:ind w:firstLine="570"/>
        <w:rPr>
          <w:rFonts w:ascii="宋体" w:hAnsi="宋体" w:cs="宋体"/>
          <w:color w:val="auto"/>
          <w:highlight w:val="none"/>
        </w:rPr>
      </w:pPr>
    </w:p>
    <w:p>
      <w:pPr>
        <w:tabs>
          <w:tab w:val="left" w:pos="6300"/>
        </w:tabs>
        <w:snapToGrid w:val="0"/>
        <w:spacing w:line="500" w:lineRule="exact"/>
        <w:ind w:firstLine="570"/>
        <w:rPr>
          <w:rFonts w:ascii="宋体" w:hAnsi="宋体" w:cs="宋体"/>
          <w:color w:val="auto"/>
          <w:highlight w:val="none"/>
        </w:rPr>
      </w:pPr>
    </w:p>
    <w:p>
      <w:pPr>
        <w:widowControl/>
        <w:ind w:firstLine="560" w:firstLineChars="200"/>
        <w:jc w:val="left"/>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（二）法定代表人身份证明书（格式）</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u w:val="single"/>
        </w:rPr>
      </w:pPr>
      <w:r>
        <w:rPr>
          <w:rFonts w:hint="eastAsia" w:ascii="宋体" w:hAnsi="宋体" w:cs="宋体"/>
          <w:color w:val="auto"/>
          <w:sz w:val="24"/>
          <w:highlight w:val="none"/>
        </w:rPr>
        <w:t>磋商项目名称：</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致：（采购人名称）：</w:t>
      </w: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（法定代表人姓名）在（竞标人名称）任（职务名称）职务，是（竞标人名称）的法定代表人。</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特此证明。</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 xml:space="preserve">                                             （竞标人公章）</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 xml:space="preserve">                                             年   月   日</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（附：法定代表人身份证正反面复印件）</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（三）法定代表人授权委托书（格式）</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480" w:firstLineChars="200"/>
        <w:rPr>
          <w:rFonts w:ascii="宋体" w:hAnsi="宋体" w:cs="宋体"/>
          <w:color w:val="auto"/>
          <w:sz w:val="24"/>
          <w:highlight w:val="none"/>
          <w:u w:val="single"/>
        </w:rPr>
      </w:pPr>
      <w:r>
        <w:rPr>
          <w:rFonts w:hint="eastAsia" w:ascii="宋体" w:hAnsi="宋体" w:cs="宋体"/>
          <w:color w:val="auto"/>
          <w:sz w:val="24"/>
          <w:szCs w:val="28"/>
          <w:highlight w:val="none"/>
        </w:rPr>
        <w:t>磋商项目名称</w:t>
      </w:r>
      <w:r>
        <w:rPr>
          <w:rFonts w:hint="eastAsia" w:ascii="宋体" w:hAnsi="宋体" w:cs="宋体"/>
          <w:color w:val="auto"/>
          <w:sz w:val="24"/>
          <w:highlight w:val="none"/>
        </w:rPr>
        <w:t>：</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致：（采购人名称）：</w:t>
      </w:r>
    </w:p>
    <w:p>
      <w:pPr>
        <w:tabs>
          <w:tab w:val="left" w:pos="6300"/>
        </w:tabs>
        <w:snapToGrid w:val="0"/>
        <w:spacing w:line="500" w:lineRule="exact"/>
        <w:ind w:firstLine="720" w:firstLineChars="300"/>
        <w:rPr>
          <w:rFonts w:ascii="宋体" w:hAnsi="宋体" w:cs="宋体"/>
          <w:color w:val="auto"/>
          <w:sz w:val="24"/>
          <w:highlight w:val="none"/>
        </w:rPr>
      </w:pPr>
      <w:r>
        <w:rPr>
          <w:rFonts w:hint="eastAsia" w:ascii="宋体" w:hAnsi="宋体" w:cs="宋体"/>
          <w:color w:val="auto"/>
          <w:sz w:val="24"/>
          <w:highlight w:val="none"/>
        </w:rPr>
        <w:t>（竞标人法定代表人名称）是（竞标人名称）的法定代表人，特授权（被授权人姓名、身份证号码）代表我单位全权办理上述项目的磋商、签约等具体工作，并签署全部有关文件、协议及合同。</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我单位对被授权人的签字负全部责任。</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被授权人：                                 竞标人法定代表人：</w:t>
      </w:r>
    </w:p>
    <w:p>
      <w:pPr>
        <w:tabs>
          <w:tab w:val="left" w:pos="6300"/>
        </w:tabs>
        <w:snapToGrid w:val="0"/>
        <w:spacing w:line="500" w:lineRule="exact"/>
        <w:ind w:firstLine="570"/>
        <w:rPr>
          <w:rFonts w:ascii="宋体" w:hAnsi="宋体" w:cs="宋体"/>
          <w:color w:val="auto"/>
          <w:sz w:val="24"/>
          <w:szCs w:val="28"/>
          <w:highlight w:val="none"/>
        </w:rPr>
      </w:pPr>
      <w:r>
        <w:rPr>
          <w:rFonts w:hint="eastAsia" w:ascii="宋体" w:hAnsi="宋体" w:cs="宋体"/>
          <w:color w:val="auto"/>
          <w:sz w:val="24"/>
          <w:szCs w:val="28"/>
          <w:highlight w:val="none"/>
        </w:rPr>
        <w:t>（签字或盖章）                                （签字或盖章）</w:t>
      </w:r>
    </w:p>
    <w:p>
      <w:pPr>
        <w:tabs>
          <w:tab w:val="left" w:pos="6300"/>
        </w:tabs>
        <w:snapToGrid w:val="0"/>
        <w:spacing w:line="500" w:lineRule="exact"/>
        <w:ind w:firstLine="570"/>
        <w:rPr>
          <w:rFonts w:ascii="宋体" w:hAnsi="宋体" w:cs="宋体"/>
          <w:color w:val="auto"/>
          <w:sz w:val="24"/>
          <w:szCs w:val="28"/>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（附：被授权人身份证正反面复印件）</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right="480" w:firstLine="570"/>
        <w:jc w:val="right"/>
        <w:rPr>
          <w:rFonts w:ascii="宋体" w:hAnsi="宋体" w:cs="宋体"/>
          <w:color w:val="auto"/>
          <w:sz w:val="24"/>
          <w:highlight w:val="none"/>
        </w:rPr>
      </w:pPr>
      <w:r>
        <w:rPr>
          <w:rFonts w:hint="eastAsia" w:ascii="宋体" w:hAnsi="宋体" w:cs="宋体"/>
          <w:color w:val="auto"/>
          <w:sz w:val="24"/>
          <w:highlight w:val="none"/>
        </w:rPr>
        <w:t>（竞标人公章）</w:t>
      </w:r>
    </w:p>
    <w:p>
      <w:pPr>
        <w:tabs>
          <w:tab w:val="left" w:pos="6300"/>
        </w:tabs>
        <w:snapToGrid w:val="0"/>
        <w:spacing w:line="500" w:lineRule="exact"/>
        <w:ind w:right="480" w:firstLine="570"/>
        <w:jc w:val="right"/>
        <w:rPr>
          <w:rFonts w:ascii="宋体" w:hAnsi="宋体" w:cs="宋体"/>
          <w:color w:val="auto"/>
          <w:sz w:val="24"/>
          <w:highlight w:val="none"/>
        </w:rPr>
      </w:pPr>
      <w:r>
        <w:rPr>
          <w:rFonts w:hint="eastAsia" w:ascii="宋体" w:hAnsi="宋体" w:cs="宋体"/>
          <w:color w:val="auto"/>
          <w:sz w:val="24"/>
          <w:highlight w:val="none"/>
        </w:rPr>
        <w:t>年   月   日</w:t>
      </w:r>
    </w:p>
    <w:p>
      <w:pPr>
        <w:tabs>
          <w:tab w:val="left" w:pos="6300"/>
        </w:tabs>
        <w:snapToGrid w:val="0"/>
        <w:spacing w:line="500" w:lineRule="exact"/>
        <w:ind w:right="480" w:firstLine="570"/>
        <w:jc w:val="right"/>
        <w:rPr>
          <w:rFonts w:ascii="宋体" w:hAnsi="宋体" w:cs="宋体"/>
          <w:color w:val="auto"/>
          <w:sz w:val="24"/>
          <w:highlight w:val="none"/>
        </w:rPr>
      </w:pPr>
    </w:p>
    <w:p>
      <w:pPr>
        <w:tabs>
          <w:tab w:val="left" w:pos="6300"/>
        </w:tabs>
        <w:snapToGrid w:val="0"/>
        <w:spacing w:line="500" w:lineRule="exact"/>
        <w:ind w:right="480" w:firstLine="570"/>
        <w:jc w:val="left"/>
        <w:rPr>
          <w:rFonts w:ascii="宋体" w:hAnsi="宋体" w:cs="宋体"/>
          <w:color w:val="auto"/>
          <w:sz w:val="24"/>
          <w:highlight w:val="none"/>
        </w:rPr>
      </w:pPr>
      <w:r>
        <w:rPr>
          <w:rFonts w:hint="eastAsia" w:ascii="宋体" w:hAnsi="宋体" w:cs="宋体"/>
          <w:color w:val="auto"/>
          <w:sz w:val="24"/>
          <w:highlight w:val="none"/>
        </w:rPr>
        <w:t>注：</w:t>
      </w:r>
    </w:p>
    <w:p>
      <w:pPr>
        <w:tabs>
          <w:tab w:val="left" w:pos="6300"/>
        </w:tabs>
        <w:snapToGrid w:val="0"/>
        <w:spacing w:line="500" w:lineRule="exact"/>
        <w:ind w:right="480" w:firstLine="570"/>
        <w:jc w:val="left"/>
        <w:rPr>
          <w:rFonts w:ascii="宋体" w:hAnsi="宋体" w:cs="宋体"/>
          <w:color w:val="auto"/>
          <w:sz w:val="24"/>
          <w:highlight w:val="none"/>
        </w:rPr>
      </w:pPr>
      <w:r>
        <w:rPr>
          <w:rFonts w:hint="eastAsia" w:ascii="宋体" w:hAnsi="宋体" w:cs="宋体"/>
          <w:color w:val="auto"/>
          <w:sz w:val="24"/>
          <w:highlight w:val="none"/>
        </w:rPr>
        <w:t>若为法定代表人办理并签署响应文件的，不提供此文件，被授权人须提供竞标人为其连续缴纳的2023年3月-2023年8月的养老保险证明。</w:t>
      </w:r>
    </w:p>
    <w:p>
      <w:pPr>
        <w:tabs>
          <w:tab w:val="left" w:pos="6300"/>
        </w:tabs>
        <w:snapToGrid w:val="0"/>
        <w:spacing w:line="500" w:lineRule="exact"/>
        <w:ind w:firstLine="570"/>
        <w:jc w:val="center"/>
        <w:rPr>
          <w:rFonts w:ascii="宋体" w:hAnsi="宋体" w:cs="宋体"/>
          <w:color w:val="auto"/>
          <w:sz w:val="24"/>
          <w:highlight w:val="none"/>
        </w:rPr>
      </w:pPr>
      <w:r>
        <w:rPr>
          <w:rFonts w:hint="eastAsia" w:ascii="宋体" w:hAnsi="宋体" w:cs="宋体"/>
          <w:color w:val="auto"/>
          <w:highlight w:val="none"/>
        </w:rPr>
        <w:br w:type="column"/>
      </w:r>
      <w:r>
        <w:rPr>
          <w:rFonts w:hint="eastAsia" w:ascii="宋体" w:hAnsi="宋体" w:cs="宋体"/>
          <w:color w:val="auto"/>
          <w:sz w:val="24"/>
          <w:szCs w:val="22"/>
          <w:highlight w:val="none"/>
        </w:rPr>
        <w:t>（四）</w:t>
      </w:r>
      <w:r>
        <w:rPr>
          <w:rFonts w:hint="eastAsia" w:ascii="宋体" w:hAnsi="宋体" w:cs="宋体"/>
          <w:color w:val="auto"/>
          <w:sz w:val="24"/>
          <w:szCs w:val="24"/>
          <w:highlight w:val="none"/>
        </w:rPr>
        <w:t>书面声明</w:t>
      </w:r>
    </w:p>
    <w:p>
      <w:pPr>
        <w:tabs>
          <w:tab w:val="left" w:pos="6300"/>
        </w:tabs>
        <w:snapToGrid w:val="0"/>
        <w:spacing w:line="500" w:lineRule="exact"/>
        <w:ind w:firstLine="480" w:firstLineChars="200"/>
        <w:rPr>
          <w:rFonts w:ascii="宋体" w:hAnsi="宋体" w:cs="宋体"/>
          <w:color w:val="auto"/>
          <w:sz w:val="24"/>
          <w:highlight w:val="none"/>
          <w:u w:val="single"/>
        </w:rPr>
      </w:pPr>
      <w:r>
        <w:rPr>
          <w:rFonts w:hint="eastAsia" w:ascii="宋体" w:hAnsi="宋体" w:cs="宋体"/>
          <w:color w:val="auto"/>
          <w:sz w:val="24"/>
          <w:szCs w:val="28"/>
          <w:highlight w:val="none"/>
        </w:rPr>
        <w:t>磋商项目名称</w:t>
      </w:r>
      <w:r>
        <w:rPr>
          <w:rFonts w:hint="eastAsia" w:ascii="宋体" w:hAnsi="宋体" w:cs="宋体"/>
          <w:color w:val="auto"/>
          <w:sz w:val="24"/>
          <w:highlight w:val="none"/>
        </w:rPr>
        <w:t>：</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致：（采购人名称）：</w:t>
      </w:r>
    </w:p>
    <w:p>
      <w:pPr>
        <w:tabs>
          <w:tab w:val="left" w:pos="6300"/>
        </w:tabs>
        <w:snapToGrid w:val="0"/>
        <w:spacing w:line="530" w:lineRule="exact"/>
        <w:ind w:firstLine="560" w:firstLineChars="200"/>
        <w:rPr>
          <w:rFonts w:ascii="宋体" w:hAnsi="宋体" w:cs="宋体"/>
          <w:color w:val="auto"/>
          <w:szCs w:val="24"/>
          <w:highlight w:val="none"/>
        </w:rPr>
      </w:pPr>
      <w:r>
        <w:rPr>
          <w:rFonts w:hint="eastAsia" w:ascii="宋体" w:hAnsi="宋体" w:cs="宋体"/>
          <w:color w:val="auto"/>
          <w:szCs w:val="24"/>
          <w:highlight w:val="none"/>
          <w:u w:val="single"/>
        </w:rPr>
        <w:t xml:space="preserve">            </w:t>
      </w:r>
      <w:r>
        <w:rPr>
          <w:rFonts w:hint="eastAsia" w:ascii="宋体" w:hAnsi="宋体" w:cs="宋体"/>
          <w:color w:val="auto"/>
          <w:szCs w:val="24"/>
          <w:highlight w:val="none"/>
        </w:rPr>
        <w:t>（</w:t>
      </w:r>
      <w:r>
        <w:rPr>
          <w:rFonts w:hint="eastAsia" w:ascii="宋体" w:hAnsi="宋体" w:cs="宋体"/>
          <w:color w:val="auto"/>
          <w:sz w:val="24"/>
          <w:szCs w:val="28"/>
          <w:highlight w:val="none"/>
        </w:rPr>
        <w:t>供应商名称）郑重承诺：</w:t>
      </w:r>
    </w:p>
    <w:p>
      <w:pPr>
        <w:spacing w:line="53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53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2.我方未列入在信用中国网站（www.creditchina.gov.cn）“失信被执行人”、“重大税收违法案件当事人名单”中，也未列入中国政府采购网（www.ccgp.gov.cn）“政府采购严重违法失信行为记录名单”中。</w:t>
      </w:r>
    </w:p>
    <w:p>
      <w:pPr>
        <w:spacing w:line="53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3.我方在采购项目评审（评标）环节结束后，随时接受采购人、采购代理机构的检查验证，配合提供相关证明材料，证明符合《中华人民共和国政府采购法》规定的竞标人基本资格条件。</w:t>
      </w:r>
    </w:p>
    <w:p>
      <w:pPr>
        <w:tabs>
          <w:tab w:val="left" w:pos="6300"/>
        </w:tabs>
        <w:snapToGrid w:val="0"/>
        <w:spacing w:line="53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我方对以上承诺负全部法律责任。</w:t>
      </w:r>
    </w:p>
    <w:p>
      <w:pPr>
        <w:tabs>
          <w:tab w:val="left" w:pos="6300"/>
        </w:tabs>
        <w:snapToGrid w:val="0"/>
        <w:spacing w:line="53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特此承诺。</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供应商可以将信用中国网站及中国政府采购网查询结果附后（查询时间为本项目采购公告发布之日起至提交响应文件截止时间前）。</w:t>
      </w: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1. 信用中国网站（www.creditchina.gov.cn）查询结果（提供查询结果网页打印件或截图，并加盖供应商公章）</w:t>
      </w: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1.1“失信被执行人”查询结果；</w:t>
      </w: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1.2“重大税收违法案件当事人名单”查询结果；</w:t>
      </w: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2. 中国政府采购网（www.ccgp.gov.cn）（提供查询结果网页打印件或截图，并加盖供应商公章）</w:t>
      </w: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“政府采购严重违法失信行为记录名单”查询结果。</w:t>
      </w:r>
      <w:bookmarkStart w:id="89" w:name="_GoBack"/>
      <w:bookmarkEnd w:id="89"/>
    </w:p>
    <w:p>
      <w:pPr>
        <w:tabs>
          <w:tab w:val="left" w:pos="6300"/>
        </w:tabs>
        <w:snapToGrid w:val="0"/>
        <w:spacing w:line="500" w:lineRule="exact"/>
        <w:ind w:right="424" w:firstLine="570"/>
        <w:jc w:val="right"/>
        <w:rPr>
          <w:rFonts w:ascii="宋体" w:hAnsi="宋体" w:cs="宋体"/>
          <w:color w:val="auto"/>
          <w:sz w:val="24"/>
          <w:highlight w:val="none"/>
        </w:rPr>
      </w:pPr>
      <w:r>
        <w:rPr>
          <w:rFonts w:hint="eastAsia" w:ascii="宋体" w:hAnsi="宋体" w:cs="宋体"/>
          <w:color w:val="auto"/>
          <w:sz w:val="24"/>
          <w:highlight w:val="none"/>
        </w:rPr>
        <w:t>（供应商公章）</w:t>
      </w:r>
    </w:p>
    <w:p>
      <w:pPr>
        <w:tabs>
          <w:tab w:val="left" w:pos="6300"/>
        </w:tabs>
        <w:snapToGrid w:val="0"/>
        <w:spacing w:line="500" w:lineRule="exact"/>
        <w:ind w:right="480" w:firstLine="570"/>
        <w:jc w:val="right"/>
        <w:rPr>
          <w:rFonts w:ascii="宋体" w:hAnsi="宋体" w:cs="宋体"/>
          <w:color w:val="auto"/>
          <w:sz w:val="24"/>
          <w:highlight w:val="none"/>
        </w:rPr>
      </w:pPr>
      <w:r>
        <w:rPr>
          <w:rFonts w:hint="eastAsia" w:ascii="宋体" w:hAnsi="宋体" w:cs="宋体"/>
          <w:color w:val="auto"/>
          <w:sz w:val="24"/>
          <w:highlight w:val="none"/>
        </w:rPr>
        <w:t>年   月   日</w:t>
      </w:r>
    </w:p>
    <w:p>
      <w:pPr>
        <w:tabs>
          <w:tab w:val="left" w:pos="6300"/>
        </w:tabs>
        <w:snapToGrid w:val="0"/>
        <w:spacing w:line="500" w:lineRule="exact"/>
        <w:ind w:right="168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szCs w:val="22"/>
          <w:highlight w:val="none"/>
        </w:rPr>
      </w:pPr>
      <w:r>
        <w:rPr>
          <w:rFonts w:hint="eastAsia" w:ascii="宋体" w:hAnsi="宋体" w:cs="宋体"/>
          <w:color w:val="auto"/>
          <w:highlight w:val="none"/>
        </w:rPr>
        <w:br w:type="page"/>
      </w:r>
      <w:r>
        <w:rPr>
          <w:rFonts w:hint="eastAsia" w:ascii="宋体" w:hAnsi="宋体" w:cs="宋体"/>
          <w:color w:val="auto"/>
          <w:sz w:val="24"/>
          <w:szCs w:val="22"/>
          <w:highlight w:val="none"/>
        </w:rPr>
        <w:t>（五）特定资格条件证书或证明文件</w:t>
      </w:r>
    </w:p>
    <w:p>
      <w:pPr>
        <w:pStyle w:val="2"/>
        <w:spacing w:line="360" w:lineRule="auto"/>
        <w:rPr>
          <w:rFonts w:ascii="宋体" w:hAnsi="宋体" w:cs="宋体"/>
          <w:color w:val="auto"/>
          <w:sz w:val="24"/>
          <w:szCs w:val="24"/>
          <w:highlight w:val="none"/>
        </w:rPr>
      </w:pPr>
      <w:bookmarkStart w:id="87" w:name="_Toc14422"/>
      <w:r>
        <w:rPr>
          <w:rFonts w:hint="eastAsia" w:ascii="宋体" w:hAnsi="宋体" w:cs="宋体"/>
          <w:b w:val="0"/>
          <w:color w:val="auto"/>
          <w:sz w:val="28"/>
          <w:highlight w:val="none"/>
        </w:rPr>
        <w:br w:type="page"/>
      </w:r>
      <w:bookmarkStart w:id="88" w:name="_Toc54279016"/>
      <w:r>
        <w:rPr>
          <w:rFonts w:hint="eastAsia" w:ascii="宋体" w:hAnsi="宋体" w:cs="宋体"/>
          <w:color w:val="auto"/>
          <w:sz w:val="24"/>
          <w:szCs w:val="24"/>
          <w:highlight w:val="none"/>
        </w:rPr>
        <w:t>五、其他资料</w:t>
      </w:r>
      <w:bookmarkEnd w:id="87"/>
      <w:bookmarkEnd w:id="88"/>
    </w:p>
    <w:p>
      <w:pPr>
        <w:tabs>
          <w:tab w:val="left" w:pos="6300"/>
        </w:tabs>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（一）中小微企业声明函、监狱企业证明文件、残疾人福利性单位声明函</w:t>
      </w:r>
    </w:p>
    <w:p>
      <w:pPr>
        <w:tabs>
          <w:tab w:val="left" w:pos="6300"/>
        </w:tabs>
        <w:snapToGrid w:val="0"/>
        <w:spacing w:line="360" w:lineRule="auto"/>
        <w:ind w:firstLine="561"/>
        <w:rPr>
          <w:rFonts w:ascii="宋体" w:hAnsi="宋体" w:cs="宋体"/>
          <w:color w:val="auto"/>
          <w:sz w:val="24"/>
          <w:szCs w:val="24"/>
          <w:highlight w:val="none"/>
        </w:rPr>
      </w:pPr>
      <w:r>
        <w:rPr>
          <w:rFonts w:hint="eastAsia" w:ascii="宋体" w:hAnsi="宋体" w:cs="宋体"/>
          <w:color w:val="auto"/>
          <w:sz w:val="24"/>
          <w:szCs w:val="24"/>
          <w:highlight w:val="none"/>
        </w:rPr>
        <w:t>1.竞标人认为本企业符合《关于印发中小企业划型标准规定的通知》（工信部联企业〔2011〕300号）规定的中小企业划型标准，属于小型或微型企业，且提供的标的物为本企业制造的货物、承担的工程或者服务，须进行声明并提交中小微企业声明函（按附表格式填写，格式附后）。</w:t>
      </w:r>
    </w:p>
    <w:p>
      <w:pPr>
        <w:tabs>
          <w:tab w:val="left" w:pos="6300"/>
        </w:tabs>
        <w:snapToGrid w:val="0"/>
        <w:spacing w:line="360" w:lineRule="auto"/>
        <w:ind w:firstLine="561"/>
        <w:rPr>
          <w:rFonts w:ascii="宋体" w:hAnsi="宋体" w:cs="宋体"/>
          <w:color w:val="auto"/>
          <w:szCs w:val="28"/>
          <w:highlight w:val="none"/>
        </w:rPr>
      </w:pPr>
      <w:r>
        <w:rPr>
          <w:rFonts w:hint="eastAsia" w:ascii="宋体" w:hAnsi="宋体" w:cs="宋体"/>
          <w:color w:val="auto"/>
          <w:sz w:val="24"/>
          <w:szCs w:val="24"/>
          <w:highlight w:val="none"/>
        </w:rPr>
        <w:t>2.若竞标人提供了其他企业制造的货物，且该企业符合《关于印发中小企业划型标准规定的通知》（工信部联企业〔2011〕300号）规定的小型或微型企业的，还须提所涉及其它企业的中小微企业声明函（格式参照附表）（若涉及多个制造商的，每个制造商均须出具）。</w:t>
      </w: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spacing w:line="540" w:lineRule="exact"/>
        <w:jc w:val="center"/>
        <w:rPr>
          <w:rFonts w:ascii="黑体" w:hAnsi="黑体" w:eastAsia="黑体"/>
          <w:color w:val="auto"/>
          <w:sz w:val="30"/>
          <w:szCs w:val="30"/>
          <w:highlight w:val="none"/>
        </w:rPr>
      </w:pPr>
      <w:r>
        <w:rPr>
          <w:rFonts w:hint="eastAsia" w:ascii="黑体" w:hAnsi="黑体" w:eastAsia="黑体"/>
          <w:color w:val="auto"/>
          <w:sz w:val="30"/>
          <w:szCs w:val="30"/>
          <w:highlight w:val="none"/>
        </w:rPr>
        <w:t xml:space="preserve">中小企业声明函 </w:t>
      </w:r>
    </w:p>
    <w:p>
      <w:pPr>
        <w:spacing w:line="540" w:lineRule="exact"/>
        <w:jc w:val="center"/>
        <w:rPr>
          <w:rFonts w:ascii="黑体" w:hAnsi="黑体" w:eastAsia="黑体"/>
          <w:color w:val="auto"/>
          <w:sz w:val="30"/>
          <w:szCs w:val="30"/>
          <w:highlight w:val="none"/>
        </w:rPr>
      </w:pPr>
    </w:p>
    <w:p>
      <w:pPr>
        <w:spacing w:line="540" w:lineRule="exact"/>
        <w:ind w:firstLine="480" w:firstLineChars="20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本公司(联合体)郑重声明,根据《政府采购促进中小企业发展管理办法》(财库(2020)46号)的规定,本公司(联合体)参加</w:t>
      </w:r>
      <w:r>
        <w:rPr>
          <w:rFonts w:hint="eastAsia" w:ascii="方正仿宋_GBK" w:eastAsia="方正仿宋_GBK"/>
          <w:color w:val="auto"/>
          <w:sz w:val="24"/>
          <w:szCs w:val="24"/>
          <w:highlight w:val="none"/>
          <w:u w:val="single"/>
        </w:rPr>
        <w:t>(单位名称)</w:t>
      </w:r>
      <w:r>
        <w:rPr>
          <w:rFonts w:hint="eastAsia" w:ascii="方正仿宋_GBK" w:eastAsia="方正仿宋_GBK"/>
          <w:color w:val="auto"/>
          <w:sz w:val="24"/>
          <w:szCs w:val="24"/>
          <w:highlight w:val="none"/>
        </w:rPr>
        <w:t>的</w:t>
      </w:r>
      <w:r>
        <w:rPr>
          <w:rFonts w:hint="eastAsia" w:ascii="方正仿宋_GBK" w:eastAsia="方正仿宋_GBK"/>
          <w:color w:val="auto"/>
          <w:sz w:val="24"/>
          <w:szCs w:val="24"/>
          <w:highlight w:val="none"/>
          <w:u w:val="single"/>
        </w:rPr>
        <w:t>(项目名称)</w:t>
      </w:r>
      <w:r>
        <w:rPr>
          <w:rFonts w:hint="eastAsia" w:ascii="方正仿宋_GBK" w:eastAsia="方正仿宋_GBK"/>
          <w:color w:val="auto"/>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540" w:lineRule="exact"/>
        <w:ind w:firstLine="480" w:firstLineChars="20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1.</w:t>
      </w:r>
      <w:r>
        <w:rPr>
          <w:rFonts w:hint="eastAsia" w:ascii="方正仿宋_GBK" w:eastAsia="方正仿宋_GBK"/>
          <w:color w:val="auto"/>
          <w:sz w:val="24"/>
          <w:szCs w:val="24"/>
          <w:highlight w:val="none"/>
          <w:u w:val="single"/>
        </w:rPr>
        <w:t>(标的名称)</w:t>
      </w:r>
      <w:r>
        <w:rPr>
          <w:rFonts w:hint="eastAsia" w:ascii="方正仿宋_GBK" w:eastAsia="方正仿宋_GBK"/>
          <w:color w:val="auto"/>
          <w:sz w:val="24"/>
          <w:szCs w:val="24"/>
          <w:highlight w:val="none"/>
        </w:rPr>
        <w:t>,属于</w:t>
      </w:r>
      <w:r>
        <w:rPr>
          <w:rFonts w:hint="eastAsia" w:ascii="方正仿宋_GBK" w:eastAsia="方正仿宋_GBK"/>
          <w:color w:val="auto"/>
          <w:sz w:val="24"/>
          <w:szCs w:val="24"/>
          <w:highlight w:val="none"/>
          <w:u w:val="single"/>
        </w:rPr>
        <w:t>(采购文件中明确的所属行业</w:t>
      </w:r>
      <w:r>
        <w:rPr>
          <w:rFonts w:hint="eastAsia" w:ascii="方正仿宋_GBK" w:eastAsia="方正仿宋_GBK"/>
          <w:color w:val="auto"/>
          <w:sz w:val="24"/>
          <w:szCs w:val="24"/>
          <w:highlight w:val="none"/>
        </w:rPr>
        <w:t>)承建(承接)企业为（</w:t>
      </w:r>
      <w:r>
        <w:rPr>
          <w:rFonts w:hint="eastAsia" w:ascii="方正仿宋_GBK" w:eastAsia="方正仿宋_GBK"/>
          <w:color w:val="auto"/>
          <w:sz w:val="24"/>
          <w:szCs w:val="24"/>
          <w:highlight w:val="none"/>
          <w:u w:val="single"/>
        </w:rPr>
        <w:t>企业名称),</w:t>
      </w:r>
      <w:r>
        <w:rPr>
          <w:rFonts w:hint="eastAsia" w:ascii="方正仿宋_GBK" w:eastAsia="方正仿宋_GBK"/>
          <w:color w:val="auto"/>
          <w:sz w:val="24"/>
          <w:szCs w:val="24"/>
          <w:highlight w:val="none"/>
        </w:rPr>
        <w:t>从业人员人,营业收入为万元,资产总额为万元,属于(</w:t>
      </w:r>
      <w:r>
        <w:rPr>
          <w:rFonts w:hint="eastAsia" w:ascii="方正仿宋_GBK" w:eastAsia="方正仿宋_GBK"/>
          <w:color w:val="auto"/>
          <w:sz w:val="24"/>
          <w:szCs w:val="24"/>
          <w:highlight w:val="none"/>
          <w:u w:val="single"/>
        </w:rPr>
        <w:t>中型企业,小型企业,微型企业</w:t>
      </w:r>
      <w:r>
        <w:rPr>
          <w:rFonts w:hint="eastAsia" w:ascii="方正仿宋_GBK" w:eastAsia="方正仿宋_GBK"/>
          <w:color w:val="auto"/>
          <w:sz w:val="24"/>
          <w:szCs w:val="24"/>
          <w:highlight w:val="none"/>
        </w:rPr>
        <w:t>)</w:t>
      </w:r>
    </w:p>
    <w:p>
      <w:pPr>
        <w:spacing w:line="540" w:lineRule="exact"/>
        <w:ind w:firstLine="480" w:firstLineChars="20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2.</w:t>
      </w:r>
      <w:r>
        <w:rPr>
          <w:rFonts w:hint="eastAsia" w:ascii="方正仿宋_GBK" w:eastAsia="方正仿宋_GBK"/>
          <w:color w:val="auto"/>
          <w:sz w:val="24"/>
          <w:szCs w:val="24"/>
          <w:highlight w:val="none"/>
          <w:u w:val="single"/>
        </w:rPr>
        <w:t>(标的名称)</w:t>
      </w:r>
      <w:r>
        <w:rPr>
          <w:rFonts w:hint="eastAsia" w:ascii="方正仿宋_GBK" w:eastAsia="方正仿宋_GBK"/>
          <w:color w:val="auto"/>
          <w:sz w:val="24"/>
          <w:szCs w:val="24"/>
          <w:highlight w:val="none"/>
        </w:rPr>
        <w:t>,属于</w:t>
      </w:r>
      <w:r>
        <w:rPr>
          <w:rFonts w:hint="eastAsia" w:ascii="方正仿宋_GBK" w:eastAsia="方正仿宋_GBK"/>
          <w:color w:val="auto"/>
          <w:sz w:val="24"/>
          <w:szCs w:val="24"/>
          <w:highlight w:val="none"/>
          <w:u w:val="single"/>
        </w:rPr>
        <w:t>(采购文件中明确的所属行业)；</w:t>
      </w:r>
      <w:r>
        <w:rPr>
          <w:rFonts w:hint="eastAsia" w:ascii="方正仿宋_GBK" w:eastAsia="方正仿宋_GBK"/>
          <w:color w:val="auto"/>
          <w:sz w:val="24"/>
          <w:szCs w:val="24"/>
          <w:highlight w:val="none"/>
        </w:rPr>
        <w:t>承建(承接)企业为</w:t>
      </w:r>
      <w:r>
        <w:rPr>
          <w:rFonts w:hint="eastAsia" w:ascii="方正仿宋_GBK" w:eastAsia="方正仿宋_GBK"/>
          <w:color w:val="auto"/>
          <w:sz w:val="24"/>
          <w:szCs w:val="24"/>
          <w:highlight w:val="none"/>
          <w:u w:val="single"/>
        </w:rPr>
        <w:t>（企业名称)</w:t>
      </w:r>
      <w:r>
        <w:rPr>
          <w:rFonts w:hint="eastAsia" w:ascii="方正仿宋_GBK" w:eastAsia="方正仿宋_GBK"/>
          <w:color w:val="auto"/>
          <w:sz w:val="24"/>
          <w:szCs w:val="24"/>
          <w:highlight w:val="none"/>
        </w:rPr>
        <w:t>,从业人员人,营业收入为万元,资产总额为万元,属于(</w:t>
      </w:r>
      <w:r>
        <w:rPr>
          <w:rFonts w:hint="eastAsia" w:ascii="方正仿宋_GBK" w:eastAsia="方正仿宋_GBK"/>
          <w:color w:val="auto"/>
          <w:sz w:val="24"/>
          <w:szCs w:val="24"/>
          <w:highlight w:val="none"/>
          <w:u w:val="single"/>
        </w:rPr>
        <w:t>中型企业小型企业、微型企业</w:t>
      </w:r>
      <w:r>
        <w:rPr>
          <w:rFonts w:hint="eastAsia" w:ascii="方正仿宋_GBK" w:eastAsia="方正仿宋_GBK"/>
          <w:color w:val="auto"/>
          <w:sz w:val="24"/>
          <w:szCs w:val="24"/>
          <w:highlight w:val="none"/>
        </w:rPr>
        <w:t>)</w:t>
      </w:r>
    </w:p>
    <w:p>
      <w:pPr>
        <w:spacing w:line="540" w:lineRule="exact"/>
        <w:ind w:firstLine="480" w:firstLineChars="200"/>
        <w:rPr>
          <w:rFonts w:ascii="方正仿宋_GBK" w:eastAsia="方正仿宋_GBK"/>
          <w:color w:val="auto"/>
          <w:sz w:val="24"/>
          <w:szCs w:val="24"/>
          <w:highlight w:val="none"/>
        </w:rPr>
      </w:pPr>
      <w:r>
        <w:rPr>
          <w:rFonts w:ascii="方正仿宋_GBK" w:eastAsia="方正仿宋_GBK"/>
          <w:color w:val="auto"/>
          <w:sz w:val="24"/>
          <w:szCs w:val="24"/>
          <w:highlight w:val="none"/>
        </w:rPr>
        <w:t>……</w:t>
      </w:r>
    </w:p>
    <w:p>
      <w:pPr>
        <w:spacing w:line="540" w:lineRule="exact"/>
        <w:ind w:firstLine="480" w:firstLineChars="20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以上企业,不属于大企业的分支机构,不存在控股殷东为大企业的情形,也不存在与大企业的负责人为同一人的情形。</w:t>
      </w:r>
    </w:p>
    <w:p>
      <w:pPr>
        <w:spacing w:line="540" w:lineRule="exact"/>
        <w:ind w:firstLine="480" w:firstLineChars="20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本企业对上述声明内容的真实性负责。如有虚假,将依法承担相应责任</w:t>
      </w:r>
    </w:p>
    <w:p>
      <w:pPr>
        <w:spacing w:line="540" w:lineRule="exact"/>
        <w:ind w:firstLine="3960" w:firstLineChars="1650"/>
        <w:rPr>
          <w:rFonts w:ascii="方正仿宋_GBK" w:eastAsia="方正仿宋_GBK"/>
          <w:color w:val="auto"/>
          <w:sz w:val="24"/>
          <w:szCs w:val="24"/>
          <w:highlight w:val="none"/>
        </w:rPr>
      </w:pPr>
    </w:p>
    <w:p>
      <w:pPr>
        <w:spacing w:line="540" w:lineRule="exact"/>
        <w:ind w:firstLine="3960" w:firstLineChars="165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企业名称(盖章):</w:t>
      </w:r>
    </w:p>
    <w:p>
      <w:pPr>
        <w:spacing w:line="540" w:lineRule="exact"/>
        <w:ind w:firstLine="3960" w:firstLineChars="165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日期：</w:t>
      </w:r>
    </w:p>
    <w:p>
      <w:pPr>
        <w:spacing w:line="540" w:lineRule="exact"/>
        <w:ind w:firstLine="480" w:firstLineChars="200"/>
        <w:rPr>
          <w:rFonts w:ascii="方正仿宋_GBK" w:eastAsia="方正仿宋_GBK"/>
          <w:color w:val="auto"/>
          <w:sz w:val="24"/>
          <w:szCs w:val="24"/>
          <w:highlight w:val="none"/>
        </w:rPr>
      </w:pPr>
    </w:p>
    <w:p>
      <w:pPr>
        <w:spacing w:line="540" w:lineRule="exact"/>
        <w:ind w:firstLine="480" w:firstLineChars="200"/>
        <w:rPr>
          <w:rFonts w:ascii="方正仿宋_GBK" w:eastAsia="方正仿宋_GBK"/>
          <w:color w:val="auto"/>
          <w:sz w:val="24"/>
          <w:szCs w:val="24"/>
          <w:highlight w:val="none"/>
        </w:rPr>
      </w:pPr>
    </w:p>
    <w:p>
      <w:pPr>
        <w:spacing w:line="540" w:lineRule="exact"/>
        <w:ind w:firstLine="480" w:firstLineChars="20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从业人员、背业收入，资产总额填报上一年度数据。无上一年度数据的新成立企业可不填报。</w:t>
      </w:r>
    </w:p>
    <w:p>
      <w:pPr>
        <w:tabs>
          <w:tab w:val="left" w:pos="6300"/>
        </w:tabs>
        <w:snapToGrid w:val="0"/>
        <w:rPr>
          <w:rFonts w:ascii="方正仿宋_GBK" w:hAnsi="宋体" w:eastAsia="方正仿宋_GBK"/>
          <w:color w:val="auto"/>
          <w:sz w:val="24"/>
          <w:szCs w:val="24"/>
          <w:highlight w:val="none"/>
        </w:rPr>
      </w:pPr>
    </w:p>
    <w:p>
      <w:pPr>
        <w:tabs>
          <w:tab w:val="left" w:pos="6300"/>
        </w:tabs>
        <w:snapToGrid w:val="0"/>
        <w:rPr>
          <w:rFonts w:ascii="方正仿宋_GBK" w:hAnsi="宋体" w:eastAsia="方正仿宋_GBK"/>
          <w:color w:val="auto"/>
          <w:sz w:val="24"/>
          <w:szCs w:val="24"/>
          <w:highlight w:val="none"/>
        </w:rPr>
      </w:pPr>
    </w:p>
    <w:p>
      <w:pPr>
        <w:tabs>
          <w:tab w:val="left" w:pos="6300"/>
        </w:tabs>
        <w:snapToGrid w:val="0"/>
        <w:rPr>
          <w:rFonts w:ascii="方正仿宋_GBK" w:hAnsi="宋体" w:eastAsia="方正仿宋_GBK"/>
          <w:color w:val="auto"/>
          <w:sz w:val="24"/>
          <w:szCs w:val="24"/>
          <w:highlight w:val="none"/>
        </w:rPr>
      </w:pPr>
    </w:p>
    <w:p>
      <w:pPr>
        <w:tabs>
          <w:tab w:val="left" w:pos="6300"/>
        </w:tabs>
        <w:snapToGrid w:val="0"/>
        <w:rPr>
          <w:rFonts w:ascii="方正仿宋_GBK" w:hAnsi="宋体" w:eastAsia="方正仿宋_GBK"/>
          <w:color w:val="auto"/>
          <w:sz w:val="24"/>
          <w:szCs w:val="24"/>
          <w:highlight w:val="none"/>
        </w:rPr>
      </w:pPr>
    </w:p>
    <w:p>
      <w:pPr>
        <w:tabs>
          <w:tab w:val="left" w:pos="6300"/>
        </w:tabs>
        <w:snapToGrid w:val="0"/>
        <w:rPr>
          <w:rFonts w:ascii="方正仿宋_GBK" w:hAnsi="宋体" w:eastAsia="方正仿宋_GBK"/>
          <w:color w:val="auto"/>
          <w:sz w:val="24"/>
          <w:szCs w:val="24"/>
          <w:highlight w:val="none"/>
        </w:rPr>
      </w:pPr>
    </w:p>
    <w:p>
      <w:pPr>
        <w:tabs>
          <w:tab w:val="left" w:pos="6300"/>
        </w:tabs>
        <w:snapToGrid w:val="0"/>
        <w:rPr>
          <w:rFonts w:ascii="方正仿宋_GBK" w:hAnsi="宋体" w:eastAsia="方正仿宋_GBK"/>
          <w:color w:val="auto"/>
          <w:sz w:val="24"/>
          <w:szCs w:val="24"/>
          <w:highlight w:val="none"/>
        </w:rPr>
      </w:pPr>
    </w:p>
    <w:p>
      <w:pPr>
        <w:tabs>
          <w:tab w:val="left" w:pos="6300"/>
        </w:tabs>
        <w:snapToGrid w:val="0"/>
        <w:rPr>
          <w:rFonts w:ascii="方正仿宋_GBK" w:hAnsi="宋体" w:eastAsia="方正仿宋_GBK"/>
          <w:color w:val="auto"/>
          <w:sz w:val="24"/>
          <w:szCs w:val="24"/>
          <w:highlight w:val="none"/>
        </w:rPr>
      </w:pPr>
    </w:p>
    <w:p>
      <w:pPr>
        <w:tabs>
          <w:tab w:val="left" w:pos="6300"/>
        </w:tabs>
        <w:snapToGrid w:val="0"/>
        <w:rPr>
          <w:rFonts w:ascii="方正仿宋_GBK" w:hAnsi="宋体" w:eastAsia="方正仿宋_GBK"/>
          <w:color w:val="auto"/>
          <w:sz w:val="24"/>
          <w:szCs w:val="24"/>
          <w:highlight w:val="none"/>
        </w:rPr>
      </w:pPr>
    </w:p>
    <w:p>
      <w:pPr>
        <w:tabs>
          <w:tab w:val="left" w:pos="6300"/>
        </w:tabs>
        <w:snapToGrid w:val="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注：各行业划型标准：</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（十六）其他未列明行业。从业人员300人以下的为中小微型企业。其中，从业人员100人及以上的为中型企业；从业人员10人及以上的为小型企业；从业人员10人以下的为微型企业。</w:t>
      </w:r>
    </w:p>
    <w:p>
      <w:pPr>
        <w:spacing w:line="400" w:lineRule="exact"/>
        <w:ind w:left="-10"/>
        <w:rPr>
          <w:rFonts w:ascii="仿宋" w:hAnsi="仿宋" w:eastAsia="仿宋" w:cs="仿宋"/>
          <w:color w:val="auto"/>
          <w:sz w:val="24"/>
          <w:szCs w:val="24"/>
          <w:highlight w:val="none"/>
        </w:rPr>
      </w:pPr>
    </w:p>
    <w:p>
      <w:pPr>
        <w:tabs>
          <w:tab w:val="left" w:pos="6300"/>
        </w:tabs>
        <w:snapToGrid w:val="0"/>
        <w:spacing w:line="500" w:lineRule="exact"/>
        <w:ind w:firstLine="480" w:firstLineChars="200"/>
        <w:jc w:val="center"/>
        <w:rPr>
          <w:rFonts w:ascii="宋体" w:hAnsi="宋体" w:cs="宋体"/>
          <w:color w:val="auto"/>
          <w:highlight w:val="none"/>
        </w:rPr>
      </w:pPr>
      <w:r>
        <w:rPr>
          <w:rFonts w:hint="eastAsia" w:ascii="宋体" w:hAnsi="宋体" w:cs="宋体"/>
          <w:color w:val="auto"/>
          <w:sz w:val="24"/>
          <w:szCs w:val="24"/>
          <w:highlight w:val="none"/>
        </w:rPr>
        <w:br w:type="page"/>
      </w:r>
      <w:r>
        <w:rPr>
          <w:rFonts w:hint="eastAsia" w:ascii="宋体" w:hAnsi="宋体" w:cs="宋体"/>
          <w:color w:val="auto"/>
          <w:highlight w:val="none"/>
        </w:rPr>
        <w:t>监狱企业证明文件</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宋体" w:hAnsi="宋体" w:cs="宋体"/>
          <w:color w:val="auto"/>
          <w:highlight w:val="none"/>
        </w:rPr>
      </w:pPr>
      <w:r>
        <w:rPr>
          <w:rFonts w:hint="eastAsia" w:ascii="宋体" w:hAnsi="宋体" w:cs="宋体"/>
          <w:color w:val="auto"/>
          <w:sz w:val="24"/>
          <w:highlight w:val="none"/>
        </w:rPr>
        <w:br w:type="page"/>
      </w:r>
      <w:r>
        <w:rPr>
          <w:rFonts w:hint="eastAsia" w:ascii="宋体" w:hAnsi="宋体" w:cs="宋体"/>
          <w:color w:val="auto"/>
          <w:highlight w:val="none"/>
        </w:rPr>
        <w:t>残疾人福利性单位声明函</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tabs>
          <w:tab w:val="left" w:pos="6300"/>
        </w:tabs>
        <w:snapToGrid w:val="0"/>
        <w:spacing w:line="500" w:lineRule="exact"/>
        <w:ind w:firstLine="480" w:firstLineChars="200"/>
        <w:rPr>
          <w:rFonts w:ascii="宋体" w:hAnsi="宋体" w:cs="宋体"/>
          <w:color w:val="auto"/>
          <w:sz w:val="24"/>
          <w:highlight w:val="none"/>
        </w:rPr>
      </w:pPr>
    </w:p>
    <w:p>
      <w:pPr>
        <w:tabs>
          <w:tab w:val="left" w:pos="6300"/>
        </w:tabs>
        <w:snapToGrid w:val="0"/>
        <w:spacing w:line="500" w:lineRule="exact"/>
        <w:ind w:firstLine="480" w:firstLineChars="200"/>
        <w:rPr>
          <w:rFonts w:ascii="宋体" w:hAnsi="宋体" w:cs="宋体"/>
          <w:color w:val="auto"/>
          <w:sz w:val="24"/>
          <w:highlight w:val="none"/>
        </w:rPr>
      </w:pP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供应商名称（盖章）：</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日  期：</w:t>
      </w: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color w:val="auto"/>
          <w:sz w:val="24"/>
          <w:szCs w:val="24"/>
          <w:highlight w:val="none"/>
        </w:rPr>
        <w:t>（二）其他与项目有关的资料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其他与项目有关的资料（自附）：供应商总体情况介绍、其他与本项目有关的资料等。</w:t>
      </w: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360" w:lineRule="auto"/>
        <w:rPr>
          <w:rFonts w:ascii="宋体" w:hAnsi="宋体" w:cs="宋体"/>
          <w:color w:val="auto"/>
          <w:sz w:val="24"/>
          <w:szCs w:val="24"/>
          <w:highlight w:val="none"/>
        </w:rPr>
      </w:pPr>
    </w:p>
    <w:p>
      <w:pPr>
        <w:spacing w:line="360" w:lineRule="auto"/>
        <w:ind w:firstLine="480" w:firstLineChars="200"/>
        <w:jc w:val="center"/>
        <w:rPr>
          <w:rFonts w:ascii="宋体" w:hAnsi="宋体" w:cs="宋体"/>
          <w:color w:val="auto"/>
          <w:sz w:val="24"/>
          <w:szCs w:val="24"/>
          <w:highlight w:val="none"/>
        </w:rPr>
      </w:pPr>
    </w:p>
    <w:p>
      <w:pPr>
        <w:spacing w:line="360" w:lineRule="auto"/>
        <w:ind w:firstLine="480" w:firstLineChars="200"/>
        <w:jc w:val="center"/>
        <w:rPr>
          <w:rFonts w:ascii="宋体" w:hAnsi="宋体" w:cs="宋体"/>
          <w:color w:val="auto"/>
          <w:highlight w:val="none"/>
        </w:rPr>
      </w:pPr>
      <w:r>
        <w:rPr>
          <w:rFonts w:hint="eastAsia" w:ascii="宋体" w:hAnsi="宋体" w:cs="宋体"/>
          <w:color w:val="auto"/>
          <w:sz w:val="24"/>
          <w:szCs w:val="24"/>
          <w:highlight w:val="none"/>
        </w:rPr>
        <w:t>（结束）</w:t>
      </w:r>
    </w:p>
    <w:p>
      <w:pPr>
        <w:rPr>
          <w:color w:val="auto"/>
          <w:highlight w:val="none"/>
        </w:rPr>
      </w:pPr>
    </w:p>
    <w:p>
      <w:pPr>
        <w:rPr>
          <w:color w:val="auto"/>
          <w:highlight w:val="none"/>
        </w:rPr>
      </w:pPr>
    </w:p>
    <w:p>
      <w:pPr>
        <w:rPr>
          <w:color w:val="auto"/>
          <w:highlight w:val="none"/>
        </w:rPr>
      </w:pPr>
    </w:p>
    <w:sectPr>
      <w:headerReference r:id="rId10"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jc w:val="center"/>
      <w:rPr>
        <w:rStyle w:val="16"/>
        <w:rFonts w:ascii="宋体"/>
        <w:sz w:val="21"/>
        <w:szCs w:val="21"/>
      </w:rPr>
    </w:pPr>
    <w:r>
      <w:rPr>
        <w:rFonts w:ascii="宋体"/>
        <w:sz w:val="21"/>
        <w:szCs w:val="21"/>
      </w:rPr>
      <w:fldChar w:fldCharType="begin"/>
    </w:r>
    <w:r>
      <w:rPr>
        <w:rStyle w:val="16"/>
        <w:rFonts w:ascii="宋体"/>
        <w:sz w:val="21"/>
        <w:szCs w:val="21"/>
      </w:rPr>
      <w:instrText xml:space="preserve">PAGE  </w:instrText>
    </w:r>
    <w:r>
      <w:rPr>
        <w:rFonts w:ascii="宋体"/>
        <w:sz w:val="21"/>
        <w:szCs w:val="21"/>
      </w:rPr>
      <w:fldChar w:fldCharType="separate"/>
    </w:r>
    <w:r>
      <w:rPr>
        <w:rStyle w:val="16"/>
        <w:rFonts w:ascii="宋体"/>
        <w:sz w:val="21"/>
        <w:szCs w:val="21"/>
      </w:rPr>
      <w:t>- 3 -</w:t>
    </w:r>
    <w:r>
      <w:rPr>
        <w:rFonts w:ascii="宋体"/>
        <w:sz w:val="21"/>
        <w:szCs w:val="21"/>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p>
  <w:p>
    <w:pPr>
      <w:pStyle w:val="9"/>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1"/>
        <w:szCs w:val="21"/>
      </w:rPr>
    </w:pPr>
    <w:r>
      <w:rPr>
        <w:rFonts w:ascii="宋体" w:hAnsi="宋体"/>
        <w:sz w:val="21"/>
        <w:szCs w:val="21"/>
      </w:rPr>
      <w:fldChar w:fldCharType="begin"/>
    </w:r>
    <w:r>
      <w:rPr>
        <w:rStyle w:val="16"/>
        <w:rFonts w:ascii="宋体" w:hAnsi="宋体"/>
        <w:sz w:val="21"/>
        <w:szCs w:val="21"/>
      </w:rPr>
      <w:instrText xml:space="preserve"> PAGE </w:instrText>
    </w:r>
    <w:r>
      <w:rPr>
        <w:rFonts w:ascii="宋体" w:hAnsi="宋体"/>
        <w:sz w:val="21"/>
        <w:szCs w:val="21"/>
      </w:rPr>
      <w:fldChar w:fldCharType="separate"/>
    </w:r>
    <w:r>
      <w:rPr>
        <w:rStyle w:val="16"/>
        <w:rFonts w:ascii="宋体" w:hAnsi="宋体"/>
        <w:sz w:val="21"/>
        <w:szCs w:val="21"/>
      </w:rPr>
      <w:t>- 17 -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1"/>
        <w:szCs w:val="21"/>
      </w:rPr>
    </w:pPr>
    <w:r>
      <w:rPr>
        <w:rFonts w:ascii="宋体" w:hAnsi="宋体"/>
        <w:sz w:val="21"/>
        <w:szCs w:val="21"/>
      </w:rPr>
      <w:fldChar w:fldCharType="begin"/>
    </w:r>
    <w:r>
      <w:rPr>
        <w:rStyle w:val="16"/>
        <w:rFonts w:ascii="宋体" w:hAnsi="宋体"/>
        <w:sz w:val="21"/>
        <w:szCs w:val="21"/>
      </w:rPr>
      <w:instrText xml:space="preserve"> PAGE </w:instrText>
    </w:r>
    <w:r>
      <w:rPr>
        <w:rFonts w:ascii="宋体" w:hAnsi="宋体"/>
        <w:sz w:val="21"/>
        <w:szCs w:val="21"/>
      </w:rPr>
      <w:fldChar w:fldCharType="separate"/>
    </w:r>
    <w:r>
      <w:rPr>
        <w:rStyle w:val="16"/>
        <w:rFonts w:ascii="宋体" w:hAnsi="宋体"/>
        <w:sz w:val="21"/>
        <w:szCs w:val="21"/>
      </w:rPr>
      <w:t>- 25 -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方正仿宋_GBK" w:eastAsia="方正仿宋_GBK"/>
        <w:sz w:val="21"/>
        <w:szCs w:val="21"/>
      </w:rPr>
    </w:pPr>
    <w:r>
      <w:rPr>
        <w:rFonts w:hint="eastAsia" w:ascii="方正仿宋_GBK" w:eastAsia="方正仿宋_GBK"/>
        <w:sz w:val="21"/>
        <w:szCs w:val="21"/>
      </w:rPr>
      <w:t>重庆建桥实业发展有限公司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B3295"/>
    <w:multiLevelType w:val="singleLevel"/>
    <w:tmpl w:val="BF2B3295"/>
    <w:lvl w:ilvl="0" w:tentative="0">
      <w:start w:val="2"/>
      <w:numFmt w:val="chineseCounting"/>
      <w:suff w:val="nothing"/>
      <w:lvlText w:val="（%1）"/>
      <w:lvlJc w:val="left"/>
      <w:rPr>
        <w:rFonts w:hint="eastAsia"/>
      </w:rPr>
    </w:lvl>
  </w:abstractNum>
  <w:abstractNum w:abstractNumId="1">
    <w:nsid w:val="E0BA215F"/>
    <w:multiLevelType w:val="singleLevel"/>
    <w:tmpl w:val="E0BA215F"/>
    <w:lvl w:ilvl="0" w:tentative="0">
      <w:start w:val="1"/>
      <w:numFmt w:val="decimal"/>
      <w:pStyle w:val="4"/>
      <w:lvlText w:val="%1."/>
      <w:lvlJc w:val="left"/>
      <w:pPr>
        <w:tabs>
          <w:tab w:val="left" w:pos="780"/>
        </w:tabs>
        <w:ind w:left="780" w:hanging="360"/>
      </w:pPr>
    </w:lvl>
  </w:abstractNum>
  <w:abstractNum w:abstractNumId="2">
    <w:nsid w:val="085367C8"/>
    <w:multiLevelType w:val="singleLevel"/>
    <w:tmpl w:val="085367C8"/>
    <w:lvl w:ilvl="0" w:tentative="0">
      <w:start w:val="1"/>
      <w:numFmt w:val="decimal"/>
      <w:suff w:val="nothing"/>
      <w:lvlText w:val="%1、"/>
      <w:lvlJc w:val="left"/>
    </w:lvl>
  </w:abstractNum>
  <w:abstractNum w:abstractNumId="3">
    <w:nsid w:val="662E256C"/>
    <w:multiLevelType w:val="singleLevel"/>
    <w:tmpl w:val="662E256C"/>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4N2FkZDE4ZDgwNDc4YWJmMDEyYWI5NzEyOTA3MGUifQ=="/>
  </w:docVars>
  <w:rsids>
    <w:rsidRoot w:val="14703394"/>
    <w:rsid w:val="00000D10"/>
    <w:rsid w:val="00003751"/>
    <w:rsid w:val="00066664"/>
    <w:rsid w:val="0008067F"/>
    <w:rsid w:val="001C2F9C"/>
    <w:rsid w:val="0046169B"/>
    <w:rsid w:val="004C0A77"/>
    <w:rsid w:val="005C1A71"/>
    <w:rsid w:val="00647A71"/>
    <w:rsid w:val="006E2BCE"/>
    <w:rsid w:val="007462C7"/>
    <w:rsid w:val="007B06ED"/>
    <w:rsid w:val="008021FB"/>
    <w:rsid w:val="008750EE"/>
    <w:rsid w:val="00A878AB"/>
    <w:rsid w:val="00A9631E"/>
    <w:rsid w:val="00AC6968"/>
    <w:rsid w:val="00B1795A"/>
    <w:rsid w:val="00BC3774"/>
    <w:rsid w:val="00C377FA"/>
    <w:rsid w:val="00C761F7"/>
    <w:rsid w:val="00C8229D"/>
    <w:rsid w:val="00CA411F"/>
    <w:rsid w:val="00D36268"/>
    <w:rsid w:val="00D50E7B"/>
    <w:rsid w:val="00DF6540"/>
    <w:rsid w:val="00E83BC3"/>
    <w:rsid w:val="00E856AC"/>
    <w:rsid w:val="00EF469A"/>
    <w:rsid w:val="00F249C0"/>
    <w:rsid w:val="00F37B93"/>
    <w:rsid w:val="01304FDD"/>
    <w:rsid w:val="0137667F"/>
    <w:rsid w:val="01F91D03"/>
    <w:rsid w:val="02FF06E8"/>
    <w:rsid w:val="04945507"/>
    <w:rsid w:val="04FA75D0"/>
    <w:rsid w:val="05032600"/>
    <w:rsid w:val="05495EB8"/>
    <w:rsid w:val="055851C6"/>
    <w:rsid w:val="05900535"/>
    <w:rsid w:val="05AA653C"/>
    <w:rsid w:val="05C77597"/>
    <w:rsid w:val="05CE2BDE"/>
    <w:rsid w:val="05F8322D"/>
    <w:rsid w:val="06BE2E9A"/>
    <w:rsid w:val="070832EA"/>
    <w:rsid w:val="07916F80"/>
    <w:rsid w:val="0858592D"/>
    <w:rsid w:val="086A3512"/>
    <w:rsid w:val="08866241"/>
    <w:rsid w:val="089A670A"/>
    <w:rsid w:val="098D5CCD"/>
    <w:rsid w:val="0B476AF2"/>
    <w:rsid w:val="0B694342"/>
    <w:rsid w:val="0BF11EF1"/>
    <w:rsid w:val="0C153CEC"/>
    <w:rsid w:val="0CF927C5"/>
    <w:rsid w:val="0DA65256"/>
    <w:rsid w:val="0DFA2F21"/>
    <w:rsid w:val="0E1C731E"/>
    <w:rsid w:val="0E2F4F6B"/>
    <w:rsid w:val="0E5E2D6F"/>
    <w:rsid w:val="0EA91F0F"/>
    <w:rsid w:val="0EC432D3"/>
    <w:rsid w:val="109E189F"/>
    <w:rsid w:val="10C37EC6"/>
    <w:rsid w:val="11863678"/>
    <w:rsid w:val="11B355D2"/>
    <w:rsid w:val="11DF4CCE"/>
    <w:rsid w:val="127424DE"/>
    <w:rsid w:val="12E00606"/>
    <w:rsid w:val="132C5169"/>
    <w:rsid w:val="135B70C7"/>
    <w:rsid w:val="135C2718"/>
    <w:rsid w:val="145A1B30"/>
    <w:rsid w:val="14703394"/>
    <w:rsid w:val="148A1CAC"/>
    <w:rsid w:val="14E07D12"/>
    <w:rsid w:val="15E10A89"/>
    <w:rsid w:val="16287F9B"/>
    <w:rsid w:val="164A26B5"/>
    <w:rsid w:val="1679694B"/>
    <w:rsid w:val="17440860"/>
    <w:rsid w:val="17702E89"/>
    <w:rsid w:val="17B3630A"/>
    <w:rsid w:val="18080925"/>
    <w:rsid w:val="193A40DA"/>
    <w:rsid w:val="19ED4C08"/>
    <w:rsid w:val="1A8A6CAC"/>
    <w:rsid w:val="1AE92CAB"/>
    <w:rsid w:val="1AFB6A8A"/>
    <w:rsid w:val="1AFD0825"/>
    <w:rsid w:val="1B922A95"/>
    <w:rsid w:val="1C3205AF"/>
    <w:rsid w:val="1D771C0F"/>
    <w:rsid w:val="1D8A0EE0"/>
    <w:rsid w:val="1EDD767A"/>
    <w:rsid w:val="1F2A72A2"/>
    <w:rsid w:val="1FA40640"/>
    <w:rsid w:val="1FC50E8F"/>
    <w:rsid w:val="1FF816EF"/>
    <w:rsid w:val="2008663E"/>
    <w:rsid w:val="2073013F"/>
    <w:rsid w:val="2089239D"/>
    <w:rsid w:val="20B178DE"/>
    <w:rsid w:val="218922A6"/>
    <w:rsid w:val="21C135B4"/>
    <w:rsid w:val="220C6911"/>
    <w:rsid w:val="23260D19"/>
    <w:rsid w:val="234D421C"/>
    <w:rsid w:val="23586144"/>
    <w:rsid w:val="239306D5"/>
    <w:rsid w:val="23A60D6C"/>
    <w:rsid w:val="23C3388A"/>
    <w:rsid w:val="245E239C"/>
    <w:rsid w:val="24AD3FCD"/>
    <w:rsid w:val="24D9755C"/>
    <w:rsid w:val="254D73F1"/>
    <w:rsid w:val="25D05108"/>
    <w:rsid w:val="25E73A8E"/>
    <w:rsid w:val="261B23AF"/>
    <w:rsid w:val="26281D64"/>
    <w:rsid w:val="264B3307"/>
    <w:rsid w:val="26E57310"/>
    <w:rsid w:val="275B2349"/>
    <w:rsid w:val="27647B14"/>
    <w:rsid w:val="27EA47A0"/>
    <w:rsid w:val="28032512"/>
    <w:rsid w:val="28100E75"/>
    <w:rsid w:val="283709C2"/>
    <w:rsid w:val="28B948F7"/>
    <w:rsid w:val="29404842"/>
    <w:rsid w:val="2969088D"/>
    <w:rsid w:val="29B37473"/>
    <w:rsid w:val="2AB00CB9"/>
    <w:rsid w:val="2AEB08D9"/>
    <w:rsid w:val="2B20156F"/>
    <w:rsid w:val="2BDD73DC"/>
    <w:rsid w:val="2C2045FC"/>
    <w:rsid w:val="2C355E38"/>
    <w:rsid w:val="2C7879BE"/>
    <w:rsid w:val="2D647307"/>
    <w:rsid w:val="2D7877C8"/>
    <w:rsid w:val="2D7B71EF"/>
    <w:rsid w:val="2DB96526"/>
    <w:rsid w:val="2EC33812"/>
    <w:rsid w:val="2ECC1FEA"/>
    <w:rsid w:val="2ECF5AB0"/>
    <w:rsid w:val="2F800C57"/>
    <w:rsid w:val="2FD64B31"/>
    <w:rsid w:val="302B7DAF"/>
    <w:rsid w:val="303E5D11"/>
    <w:rsid w:val="30D94846"/>
    <w:rsid w:val="313121D3"/>
    <w:rsid w:val="31502B0D"/>
    <w:rsid w:val="32913CE3"/>
    <w:rsid w:val="33493FB2"/>
    <w:rsid w:val="33E07126"/>
    <w:rsid w:val="343B21AF"/>
    <w:rsid w:val="348D507F"/>
    <w:rsid w:val="34C15824"/>
    <w:rsid w:val="351F191A"/>
    <w:rsid w:val="35CB35FD"/>
    <w:rsid w:val="35D37D00"/>
    <w:rsid w:val="35EA7A7E"/>
    <w:rsid w:val="35EC70C0"/>
    <w:rsid w:val="360D5BCB"/>
    <w:rsid w:val="368F3959"/>
    <w:rsid w:val="36C36CE6"/>
    <w:rsid w:val="377F314C"/>
    <w:rsid w:val="379434F2"/>
    <w:rsid w:val="37FB0B40"/>
    <w:rsid w:val="38A572F9"/>
    <w:rsid w:val="38F927C1"/>
    <w:rsid w:val="39C01BD4"/>
    <w:rsid w:val="39EA1767"/>
    <w:rsid w:val="3A7B18A5"/>
    <w:rsid w:val="3B3B6D46"/>
    <w:rsid w:val="3B75359D"/>
    <w:rsid w:val="3BA608D2"/>
    <w:rsid w:val="3C142DC4"/>
    <w:rsid w:val="3D164261"/>
    <w:rsid w:val="3D1D0938"/>
    <w:rsid w:val="3D360A63"/>
    <w:rsid w:val="3D394991"/>
    <w:rsid w:val="3D396159"/>
    <w:rsid w:val="3EB66EC1"/>
    <w:rsid w:val="3F464892"/>
    <w:rsid w:val="3FE33B80"/>
    <w:rsid w:val="401C4930"/>
    <w:rsid w:val="40FB141E"/>
    <w:rsid w:val="42566DC6"/>
    <w:rsid w:val="42BC0898"/>
    <w:rsid w:val="42D83BE6"/>
    <w:rsid w:val="42F174B4"/>
    <w:rsid w:val="43557484"/>
    <w:rsid w:val="436210A2"/>
    <w:rsid w:val="4391364D"/>
    <w:rsid w:val="43BF2EBF"/>
    <w:rsid w:val="44163F3F"/>
    <w:rsid w:val="448635F7"/>
    <w:rsid w:val="44CF5058"/>
    <w:rsid w:val="44E42D5A"/>
    <w:rsid w:val="452C483D"/>
    <w:rsid w:val="460430B2"/>
    <w:rsid w:val="4620092C"/>
    <w:rsid w:val="46617B0F"/>
    <w:rsid w:val="468C1D64"/>
    <w:rsid w:val="4708359B"/>
    <w:rsid w:val="47646C89"/>
    <w:rsid w:val="47D170EE"/>
    <w:rsid w:val="484A400D"/>
    <w:rsid w:val="4865188F"/>
    <w:rsid w:val="495D193F"/>
    <w:rsid w:val="496153BF"/>
    <w:rsid w:val="4AC00FE3"/>
    <w:rsid w:val="4B5216C4"/>
    <w:rsid w:val="4B5B4990"/>
    <w:rsid w:val="4B82488A"/>
    <w:rsid w:val="4BB17882"/>
    <w:rsid w:val="4BEB6A20"/>
    <w:rsid w:val="4BF01871"/>
    <w:rsid w:val="4C5A7B0A"/>
    <w:rsid w:val="4C86527C"/>
    <w:rsid w:val="4CA976D8"/>
    <w:rsid w:val="4CEE64BD"/>
    <w:rsid w:val="4D4E118C"/>
    <w:rsid w:val="4D92287B"/>
    <w:rsid w:val="4DAC2AAF"/>
    <w:rsid w:val="4DD5517B"/>
    <w:rsid w:val="4E9D5F64"/>
    <w:rsid w:val="4EE64BE7"/>
    <w:rsid w:val="4EF10ED3"/>
    <w:rsid w:val="4FB355BA"/>
    <w:rsid w:val="4FC07507"/>
    <w:rsid w:val="500B2D00"/>
    <w:rsid w:val="500F3D6F"/>
    <w:rsid w:val="51236C37"/>
    <w:rsid w:val="51321446"/>
    <w:rsid w:val="51622EDD"/>
    <w:rsid w:val="51872B5D"/>
    <w:rsid w:val="51911B46"/>
    <w:rsid w:val="51995120"/>
    <w:rsid w:val="521926F0"/>
    <w:rsid w:val="521A2DFA"/>
    <w:rsid w:val="521F3EBE"/>
    <w:rsid w:val="52D37990"/>
    <w:rsid w:val="52DB4BFC"/>
    <w:rsid w:val="546774E5"/>
    <w:rsid w:val="54745D28"/>
    <w:rsid w:val="549D2437"/>
    <w:rsid w:val="54B62838"/>
    <w:rsid w:val="54C004FC"/>
    <w:rsid w:val="54C0233A"/>
    <w:rsid w:val="54E954BF"/>
    <w:rsid w:val="55013BC4"/>
    <w:rsid w:val="55E51B31"/>
    <w:rsid w:val="56991FC4"/>
    <w:rsid w:val="57475B47"/>
    <w:rsid w:val="576E6917"/>
    <w:rsid w:val="578436CA"/>
    <w:rsid w:val="578447CC"/>
    <w:rsid w:val="578B565A"/>
    <w:rsid w:val="57C07F70"/>
    <w:rsid w:val="57EB5CAB"/>
    <w:rsid w:val="58357611"/>
    <w:rsid w:val="585607B0"/>
    <w:rsid w:val="588971D9"/>
    <w:rsid w:val="58C0443E"/>
    <w:rsid w:val="58DC2EF6"/>
    <w:rsid w:val="596671F9"/>
    <w:rsid w:val="59A06769"/>
    <w:rsid w:val="5A6D0687"/>
    <w:rsid w:val="5AB01605"/>
    <w:rsid w:val="5AB671E7"/>
    <w:rsid w:val="5AC7524F"/>
    <w:rsid w:val="5AC8406F"/>
    <w:rsid w:val="5ACC2138"/>
    <w:rsid w:val="5B1E79D7"/>
    <w:rsid w:val="5CFB3E1C"/>
    <w:rsid w:val="5D255C21"/>
    <w:rsid w:val="5D5361C0"/>
    <w:rsid w:val="5E2023D3"/>
    <w:rsid w:val="5EA53307"/>
    <w:rsid w:val="5EC16091"/>
    <w:rsid w:val="5F346455"/>
    <w:rsid w:val="5F571ABE"/>
    <w:rsid w:val="5FC9064E"/>
    <w:rsid w:val="604E6400"/>
    <w:rsid w:val="6090173B"/>
    <w:rsid w:val="62330F35"/>
    <w:rsid w:val="62866C48"/>
    <w:rsid w:val="62E204CF"/>
    <w:rsid w:val="631F47EF"/>
    <w:rsid w:val="6389447C"/>
    <w:rsid w:val="638A3E13"/>
    <w:rsid w:val="64786476"/>
    <w:rsid w:val="64787654"/>
    <w:rsid w:val="65365405"/>
    <w:rsid w:val="6556072C"/>
    <w:rsid w:val="65853D21"/>
    <w:rsid w:val="658E283D"/>
    <w:rsid w:val="65CB4D1F"/>
    <w:rsid w:val="662E04F6"/>
    <w:rsid w:val="66B81F94"/>
    <w:rsid w:val="66B975B3"/>
    <w:rsid w:val="67385E5F"/>
    <w:rsid w:val="67642FCA"/>
    <w:rsid w:val="678C1209"/>
    <w:rsid w:val="67A1437F"/>
    <w:rsid w:val="67C353CC"/>
    <w:rsid w:val="683D1479"/>
    <w:rsid w:val="68C45540"/>
    <w:rsid w:val="692777FF"/>
    <w:rsid w:val="69492A37"/>
    <w:rsid w:val="69523C3A"/>
    <w:rsid w:val="696A1B2F"/>
    <w:rsid w:val="699724C7"/>
    <w:rsid w:val="6AD6551B"/>
    <w:rsid w:val="6AE92879"/>
    <w:rsid w:val="6B1F769E"/>
    <w:rsid w:val="6B32733D"/>
    <w:rsid w:val="6BDA15AE"/>
    <w:rsid w:val="6C225995"/>
    <w:rsid w:val="6C43212A"/>
    <w:rsid w:val="6C4579C8"/>
    <w:rsid w:val="6C654211"/>
    <w:rsid w:val="6CA21F3D"/>
    <w:rsid w:val="6CC549A1"/>
    <w:rsid w:val="6D034F77"/>
    <w:rsid w:val="6D537D6A"/>
    <w:rsid w:val="6D8771F5"/>
    <w:rsid w:val="6E2C17EC"/>
    <w:rsid w:val="6E3050FD"/>
    <w:rsid w:val="6EE50A5C"/>
    <w:rsid w:val="6FA83909"/>
    <w:rsid w:val="6FC65304"/>
    <w:rsid w:val="718D4964"/>
    <w:rsid w:val="730A1964"/>
    <w:rsid w:val="73317105"/>
    <w:rsid w:val="73BF64A8"/>
    <w:rsid w:val="73F71AC8"/>
    <w:rsid w:val="7427080A"/>
    <w:rsid w:val="746D6B55"/>
    <w:rsid w:val="757B7036"/>
    <w:rsid w:val="75835B8A"/>
    <w:rsid w:val="75DD1A70"/>
    <w:rsid w:val="75E47D15"/>
    <w:rsid w:val="76242DF9"/>
    <w:rsid w:val="76B51DE1"/>
    <w:rsid w:val="77610D29"/>
    <w:rsid w:val="77D70AA1"/>
    <w:rsid w:val="78C14EF2"/>
    <w:rsid w:val="79022C33"/>
    <w:rsid w:val="796C5EC9"/>
    <w:rsid w:val="79884584"/>
    <w:rsid w:val="7AB32B86"/>
    <w:rsid w:val="7ABA0A9E"/>
    <w:rsid w:val="7AFD61AB"/>
    <w:rsid w:val="7B937AC9"/>
    <w:rsid w:val="7C430AAD"/>
    <w:rsid w:val="7CDD1B90"/>
    <w:rsid w:val="7CFF6183"/>
    <w:rsid w:val="7DBB34E0"/>
    <w:rsid w:val="7DE27016"/>
    <w:rsid w:val="7E096CD0"/>
    <w:rsid w:val="7E0C0660"/>
    <w:rsid w:val="7E9D4DCF"/>
    <w:rsid w:val="7EC9128A"/>
    <w:rsid w:val="7FD50FE6"/>
    <w:rsid w:val="7FF97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2">
    <w:name w:val="heading 3"/>
    <w:basedOn w:val="1"/>
    <w:next w:val="1"/>
    <w:qFormat/>
    <w:uiPriority w:val="0"/>
    <w:pPr>
      <w:keepNext/>
      <w:keepLines/>
      <w:spacing w:line="413" w:lineRule="auto"/>
      <w:outlineLvl w:val="2"/>
    </w:pPr>
    <w:rPr>
      <w:b/>
      <w:sz w:val="32"/>
    </w:rPr>
  </w:style>
  <w:style w:type="character" w:default="1" w:styleId="15">
    <w:name w:val="Default Paragraph Font"/>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List Number 2"/>
    <w:basedOn w:val="1"/>
    <w:qFormat/>
    <w:uiPriority w:val="0"/>
    <w:pPr>
      <w:numPr>
        <w:ilvl w:val="0"/>
        <w:numId w:val="1"/>
      </w:numPr>
      <w:spacing w:line="360" w:lineRule="auto"/>
    </w:pPr>
    <w:rPr>
      <w:rFonts w:eastAsia="方正仿宋_GBK"/>
      <w:sz w:val="24"/>
    </w:rPr>
  </w:style>
  <w:style w:type="paragraph" w:styleId="5">
    <w:name w:val="Body Text"/>
    <w:basedOn w:val="1"/>
    <w:next w:val="1"/>
    <w:qFormat/>
    <w:uiPriority w:val="0"/>
    <w:pPr>
      <w:spacing w:after="120"/>
    </w:pPr>
  </w:style>
  <w:style w:type="paragraph" w:styleId="6">
    <w:name w:val="toc 3"/>
    <w:basedOn w:val="1"/>
    <w:next w:val="1"/>
    <w:qFormat/>
    <w:uiPriority w:val="39"/>
    <w:pPr>
      <w:ind w:left="840" w:leftChars="400"/>
    </w:pPr>
  </w:style>
  <w:style w:type="paragraph" w:styleId="7">
    <w:name w:val="Plain Text"/>
    <w:basedOn w:val="1"/>
    <w:qFormat/>
    <w:uiPriority w:val="0"/>
    <w:rPr>
      <w:rFonts w:ascii="宋体" w:hAnsi="Courier New"/>
      <w:sz w:val="21"/>
    </w:rPr>
  </w:style>
  <w:style w:type="paragraph" w:styleId="8">
    <w:name w:val="Date"/>
    <w:basedOn w:val="1"/>
    <w:next w:val="1"/>
    <w:qFormat/>
    <w:uiPriority w:val="0"/>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toc 1"/>
    <w:basedOn w:val="1"/>
    <w:next w:val="1"/>
    <w:qFormat/>
    <w:uiPriority w:val="39"/>
    <w:pPr>
      <w:spacing w:before="120" w:after="120"/>
      <w:jc w:val="left"/>
    </w:pPr>
    <w:rPr>
      <w:caps/>
      <w:sz w:val="20"/>
    </w:rPr>
  </w:style>
  <w:style w:type="paragraph" w:styleId="12">
    <w:name w:val="toc 2"/>
    <w:basedOn w:val="1"/>
    <w:next w:val="1"/>
    <w:qFormat/>
    <w:uiPriority w:val="39"/>
    <w:pPr>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6">
    <w:name w:val="page number"/>
    <w:basedOn w:val="15"/>
    <w:qFormat/>
    <w:uiPriority w:val="0"/>
  </w:style>
  <w:style w:type="character" w:styleId="17">
    <w:name w:val="Hyperlink"/>
    <w:qFormat/>
    <w:uiPriority w:val="99"/>
    <w:rPr>
      <w:color w:val="0000FF"/>
      <w:u w:val="single"/>
    </w:rPr>
  </w:style>
  <w:style w:type="paragraph" w:customStyle="1" w:styleId="18">
    <w:name w:val="1"/>
    <w:basedOn w:val="1"/>
    <w:next w:val="7"/>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42</Pages>
  <Words>3490</Words>
  <Characters>19899</Characters>
  <Lines>165</Lines>
  <Paragraphs>46</Paragraphs>
  <TotalTime>15</TotalTime>
  <ScaleCrop>false</ScaleCrop>
  <LinksUpToDate>false</LinksUpToDate>
  <CharactersWithSpaces>23343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2023-09-22T07:26:00Z</dcterms:created>
  <dc:creator>admin</dc:creator>
  <cp:lastModifiedBy>肖良萍</cp:lastModifiedBy>
  <dcterms:modified xsi:type="dcterms:W3CDTF">2023-10-09T07:07:00Z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CD282A5FA83146A7BCBCDE2095A43847_13</vt:lpwstr>
  </property>
</Properties>
</file>