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lang w:eastAsia="zh-CN"/>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sz w:val="84"/>
          <w:szCs w:val="84"/>
        </w:rPr>
      </w:pPr>
    </w:p>
    <w:p>
      <w:pPr>
        <w:jc w:val="center"/>
        <w:rPr>
          <w:rFonts w:hint="eastAsia" w:ascii="宋体" w:hAnsi="宋体" w:cs="宋体"/>
          <w:color w:val="auto"/>
          <w:sz w:val="84"/>
          <w:szCs w:val="84"/>
        </w:rPr>
      </w:pPr>
      <w:r>
        <w:rPr>
          <w:rFonts w:hint="eastAsia" w:ascii="宋体" w:hAnsi="宋体" w:cs="宋体"/>
          <w:color w:val="auto"/>
          <w:sz w:val="84"/>
          <w:szCs w:val="84"/>
        </w:rPr>
        <w:t>竞争性磋商文件</w:t>
      </w:r>
    </w:p>
    <w:p>
      <w:pPr>
        <w:spacing w:line="700" w:lineRule="exact"/>
        <w:jc w:val="center"/>
        <w:rPr>
          <w:rFonts w:ascii="宋体" w:hAnsi="宋体" w:cs="宋体"/>
          <w:color w:val="auto"/>
          <w:sz w:val="32"/>
        </w:rPr>
      </w:pPr>
    </w:p>
    <w:p>
      <w:pPr>
        <w:spacing w:line="700" w:lineRule="exact"/>
        <w:jc w:val="center"/>
        <w:rPr>
          <w:rFonts w:hint="eastAsia" w:ascii="宋体" w:hAnsi="宋体" w:eastAsia="宋体" w:cs="宋体"/>
          <w:color w:val="auto"/>
          <w:sz w:val="32"/>
          <w:lang w:eastAsia="zh-CN"/>
        </w:rPr>
      </w:pPr>
    </w:p>
    <w:p>
      <w:pPr>
        <w:spacing w:line="700" w:lineRule="exact"/>
        <w:jc w:val="center"/>
        <w:rPr>
          <w:rFonts w:ascii="宋体" w:hAnsi="宋体" w:cs="宋体"/>
          <w:color w:val="auto"/>
          <w:sz w:val="32"/>
        </w:rPr>
      </w:pPr>
    </w:p>
    <w:p>
      <w:pPr>
        <w:spacing w:line="700" w:lineRule="exact"/>
        <w:jc w:val="center"/>
        <w:rPr>
          <w:rFonts w:ascii="宋体" w:hAnsi="宋体" w:cs="宋体"/>
          <w:color w:val="auto"/>
          <w:sz w:val="32"/>
        </w:rPr>
      </w:pPr>
    </w:p>
    <w:p>
      <w:pPr>
        <w:spacing w:line="700" w:lineRule="exact"/>
        <w:jc w:val="center"/>
        <w:rPr>
          <w:rFonts w:ascii="宋体" w:hAnsi="宋体" w:cs="宋体"/>
          <w:color w:val="auto"/>
          <w:sz w:val="32"/>
        </w:rPr>
      </w:pPr>
    </w:p>
    <w:p>
      <w:pPr>
        <w:spacing w:line="700" w:lineRule="exact"/>
        <w:ind w:left="2514" w:leftChars="512" w:hanging="1080" w:hangingChars="300"/>
        <w:rPr>
          <w:rFonts w:hint="eastAsia" w:ascii="宋体" w:hAnsi="宋体" w:eastAsia="宋体" w:cs="宋体"/>
          <w:color w:val="auto"/>
          <w:sz w:val="36"/>
          <w:szCs w:val="30"/>
          <w:lang w:eastAsia="zh-CN"/>
        </w:rPr>
      </w:pPr>
      <w:r>
        <w:rPr>
          <w:rFonts w:hint="eastAsia" w:ascii="宋体" w:hAnsi="宋体" w:cs="宋体"/>
          <w:color w:val="auto"/>
          <w:sz w:val="36"/>
          <w:szCs w:val="30"/>
        </w:rPr>
        <w:t>磋商项目名称：大渡口区环保科技产业园平场工程二期西侧边坡滑坡抢险工程检测服务</w:t>
      </w:r>
    </w:p>
    <w:p>
      <w:pPr>
        <w:spacing w:line="700" w:lineRule="exact"/>
        <w:ind w:firstLine="1749" w:firstLineChars="486"/>
        <w:rPr>
          <w:rFonts w:ascii="宋体" w:hAnsi="宋体" w:cs="宋体"/>
          <w:color w:val="auto"/>
          <w:sz w:val="36"/>
          <w:szCs w:val="30"/>
        </w:rPr>
      </w:pPr>
    </w:p>
    <w:p>
      <w:pPr>
        <w:spacing w:line="700" w:lineRule="exact"/>
        <w:ind w:firstLine="1749" w:firstLineChars="486"/>
        <w:rPr>
          <w:rFonts w:ascii="宋体" w:hAnsi="宋体" w:cs="宋体"/>
          <w:color w:val="auto"/>
          <w:sz w:val="36"/>
          <w:szCs w:val="30"/>
        </w:rPr>
      </w:pPr>
    </w:p>
    <w:p>
      <w:pPr>
        <w:spacing w:line="700" w:lineRule="exact"/>
        <w:jc w:val="center"/>
        <w:rPr>
          <w:rFonts w:ascii="宋体" w:hAnsi="宋体" w:cs="宋体"/>
          <w:b/>
          <w:color w:val="auto"/>
          <w:sz w:val="30"/>
          <w:szCs w:val="30"/>
        </w:rPr>
      </w:pPr>
    </w:p>
    <w:p>
      <w:pPr>
        <w:spacing w:line="700" w:lineRule="exact"/>
        <w:ind w:left="2514" w:leftChars="512" w:hanging="1080" w:hangingChars="300"/>
        <w:rPr>
          <w:rFonts w:hint="eastAsia" w:ascii="宋体" w:hAnsi="宋体" w:eastAsia="宋体" w:cs="宋体"/>
          <w:color w:val="auto"/>
          <w:sz w:val="36"/>
          <w:szCs w:val="30"/>
        </w:rPr>
      </w:pPr>
      <w:r>
        <w:rPr>
          <w:rFonts w:hint="eastAsia" w:ascii="宋体" w:hAnsi="宋体" w:eastAsia="宋体" w:cs="宋体"/>
          <w:color w:val="auto"/>
          <w:sz w:val="36"/>
          <w:szCs w:val="30"/>
        </w:rPr>
        <w:t>采   购   人：重庆建桥实业发展有限公司</w:t>
      </w:r>
    </w:p>
    <w:p>
      <w:pPr>
        <w:spacing w:line="720" w:lineRule="exact"/>
        <w:jc w:val="center"/>
        <w:outlineLvl w:val="0"/>
        <w:rPr>
          <w:rFonts w:ascii="宋体" w:hAnsi="宋体" w:cs="宋体"/>
          <w:color w:val="auto"/>
          <w:sz w:val="36"/>
          <w:szCs w:val="30"/>
        </w:rPr>
      </w:pPr>
    </w:p>
    <w:p>
      <w:pPr>
        <w:spacing w:line="720" w:lineRule="exact"/>
        <w:jc w:val="center"/>
        <w:outlineLvl w:val="0"/>
        <w:rPr>
          <w:rFonts w:ascii="宋体" w:hAnsi="宋体" w:cs="宋体"/>
          <w:color w:val="auto"/>
          <w:sz w:val="36"/>
          <w:szCs w:val="30"/>
        </w:rPr>
      </w:pPr>
      <w:r>
        <w:rPr>
          <w:rFonts w:hint="eastAsia" w:ascii="宋体" w:hAnsi="宋体" w:cs="宋体"/>
          <w:color w:val="auto"/>
          <w:sz w:val="36"/>
          <w:szCs w:val="30"/>
        </w:rPr>
        <w:t>二〇二</w:t>
      </w:r>
      <w:r>
        <w:rPr>
          <w:rFonts w:hint="eastAsia" w:ascii="宋体" w:hAnsi="宋体" w:cs="宋体"/>
          <w:color w:val="auto"/>
          <w:sz w:val="36"/>
          <w:szCs w:val="30"/>
          <w:lang w:eastAsia="zh-CN"/>
        </w:rPr>
        <w:t>三</w:t>
      </w:r>
      <w:r>
        <w:rPr>
          <w:rFonts w:hint="eastAsia" w:ascii="宋体" w:hAnsi="宋体" w:cs="宋体"/>
          <w:color w:val="auto"/>
          <w:sz w:val="36"/>
          <w:szCs w:val="30"/>
        </w:rPr>
        <w:t>年</w:t>
      </w:r>
      <w:r>
        <w:rPr>
          <w:rFonts w:hint="eastAsia" w:ascii="宋体" w:hAnsi="宋体" w:cs="宋体"/>
          <w:color w:val="auto"/>
          <w:sz w:val="36"/>
          <w:szCs w:val="30"/>
          <w:lang w:eastAsia="zh-CN"/>
        </w:rPr>
        <w:t>九</w:t>
      </w:r>
      <w:r>
        <w:rPr>
          <w:rFonts w:hint="eastAsia" w:ascii="宋体" w:hAnsi="宋体" w:cs="宋体"/>
          <w:color w:val="auto"/>
          <w:sz w:val="36"/>
          <w:szCs w:val="30"/>
        </w:rPr>
        <w:t>月</w:t>
      </w:r>
    </w:p>
    <w:p>
      <w:pPr>
        <w:spacing w:line="480" w:lineRule="exact"/>
        <w:jc w:val="center"/>
        <w:outlineLvl w:val="0"/>
        <w:rPr>
          <w:rFonts w:ascii="宋体" w:hAnsi="宋体" w:cs="宋体"/>
          <w:color w:val="auto"/>
          <w:sz w:val="44"/>
          <w:szCs w:val="28"/>
        </w:rPr>
      </w:pPr>
      <w:r>
        <w:rPr>
          <w:rFonts w:hint="eastAsia" w:ascii="宋体" w:hAnsi="宋体" w:cs="宋体"/>
          <w:color w:val="auto"/>
          <w:sz w:val="44"/>
          <w:szCs w:val="28"/>
        </w:rPr>
        <w:br w:type="page"/>
      </w:r>
      <w:r>
        <w:rPr>
          <w:rFonts w:hint="eastAsia" w:ascii="宋体" w:hAnsi="宋体" w:cs="宋体"/>
          <w:color w:val="auto"/>
          <w:sz w:val="44"/>
          <w:szCs w:val="28"/>
        </w:rPr>
        <w:t>目   录</w:t>
      </w:r>
    </w:p>
    <w:p>
      <w:pPr>
        <w:pStyle w:val="11"/>
        <w:tabs>
          <w:tab w:val="right" w:leader="dot" w:pos="9402"/>
        </w:tabs>
        <w:ind w:left="560"/>
        <w:rPr>
          <w:rFonts w:ascii="宋体" w:hAnsi="宋体" w:cs="宋体"/>
          <w:color w:val="auto"/>
          <w:sz w:val="21"/>
          <w:szCs w:val="22"/>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TOC \o "1-3" \h \z </w:instrText>
      </w:r>
      <w:r>
        <w:rPr>
          <w:rFonts w:hint="eastAsia" w:ascii="宋体" w:hAnsi="宋体" w:cs="宋体"/>
          <w:color w:val="auto"/>
          <w:sz w:val="21"/>
          <w:szCs w:val="21"/>
        </w:rPr>
        <w:fldChar w:fldCharType="separate"/>
      </w:r>
      <w:r>
        <w:rPr>
          <w:color w:val="auto"/>
        </w:rPr>
        <w:fldChar w:fldCharType="begin"/>
      </w:r>
      <w:r>
        <w:rPr>
          <w:color w:val="auto"/>
        </w:rPr>
        <w:instrText xml:space="preserve"> HYPERLINK \l "_Toc54278968" </w:instrText>
      </w:r>
      <w:r>
        <w:rPr>
          <w:color w:val="auto"/>
        </w:rPr>
        <w:fldChar w:fldCharType="separate"/>
      </w:r>
      <w:r>
        <w:rPr>
          <w:rStyle w:val="16"/>
          <w:rFonts w:hint="eastAsia" w:ascii="宋体" w:hAnsi="宋体" w:cs="宋体"/>
          <w:color w:val="auto"/>
        </w:rPr>
        <w:t>第一篇  采购邀请书</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_Toc54278968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"_Toc54278969" </w:instrText>
      </w:r>
      <w:r>
        <w:rPr>
          <w:color w:val="auto"/>
        </w:rPr>
        <w:fldChar w:fldCharType="separate"/>
      </w:r>
      <w:r>
        <w:rPr>
          <w:rStyle w:val="16"/>
          <w:rFonts w:hint="eastAsia" w:ascii="宋体" w:hAnsi="宋体" w:cs="宋体"/>
          <w:color w:val="auto"/>
        </w:rPr>
        <w:t>一、竞争性磋商内容</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_Toc54278969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"_Toc54278970" </w:instrText>
      </w:r>
      <w:r>
        <w:rPr>
          <w:color w:val="auto"/>
        </w:rPr>
        <w:fldChar w:fldCharType="separate"/>
      </w:r>
      <w:r>
        <w:rPr>
          <w:rStyle w:val="16"/>
          <w:rFonts w:hint="eastAsia" w:ascii="宋体" w:hAnsi="宋体" w:cs="宋体"/>
          <w:color w:val="auto"/>
        </w:rPr>
        <w:t>二、资金来源</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_Toc54278970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"_Toc54278971" </w:instrText>
      </w:r>
      <w:r>
        <w:rPr>
          <w:color w:val="auto"/>
        </w:rPr>
        <w:fldChar w:fldCharType="separate"/>
      </w:r>
      <w:r>
        <w:rPr>
          <w:rStyle w:val="16"/>
          <w:rFonts w:hint="eastAsia" w:ascii="宋体" w:hAnsi="宋体" w:cs="宋体"/>
          <w:color w:val="auto"/>
        </w:rPr>
        <w:t>三、供应商资格条件</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_Toc54278971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Style w:val="16"/>
          <w:rFonts w:ascii="宋体" w:hAnsi="宋体" w:cs="宋体"/>
          <w:color w:val="auto"/>
        </w:rPr>
      </w:pPr>
      <w:r>
        <w:rPr>
          <w:color w:val="auto"/>
        </w:rPr>
        <w:fldChar w:fldCharType="begin"/>
      </w:r>
      <w:r>
        <w:rPr>
          <w:color w:val="auto"/>
        </w:rPr>
        <w:instrText xml:space="preserve"> HYPERLINK \l "_Toc54278972" </w:instrText>
      </w:r>
      <w:r>
        <w:rPr>
          <w:color w:val="auto"/>
        </w:rPr>
        <w:fldChar w:fldCharType="separate"/>
      </w:r>
      <w:r>
        <w:rPr>
          <w:rStyle w:val="16"/>
          <w:rFonts w:hint="eastAsia" w:ascii="宋体" w:hAnsi="宋体" w:cs="宋体"/>
          <w:color w:val="auto"/>
        </w:rPr>
        <w:t>四、磋商有关说明</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Style w:val="16"/>
          <w:rFonts w:ascii="宋体" w:hAnsi="宋体" w:cs="宋体"/>
          <w:color w:val="auto"/>
        </w:rPr>
      </w:pPr>
      <w:r>
        <w:rPr>
          <w:color w:val="auto"/>
        </w:rPr>
        <w:fldChar w:fldCharType="begin"/>
      </w:r>
      <w:r>
        <w:rPr>
          <w:color w:val="auto"/>
        </w:rPr>
        <w:instrText xml:space="preserve"> HYPERLINK \l "_Toc54278972" </w:instrText>
      </w:r>
      <w:r>
        <w:rPr>
          <w:color w:val="auto"/>
        </w:rPr>
        <w:fldChar w:fldCharType="separate"/>
      </w:r>
      <w:r>
        <w:rPr>
          <w:rStyle w:val="16"/>
          <w:rFonts w:hint="eastAsia" w:ascii="宋体" w:hAnsi="宋体" w:cs="宋体"/>
          <w:color w:val="auto"/>
        </w:rPr>
        <w:t>五、磋商保证金</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u w:val="single"/>
        </w:rPr>
      </w:pPr>
      <w:r>
        <w:rPr>
          <w:color w:val="auto"/>
        </w:rPr>
        <w:fldChar w:fldCharType="begin"/>
      </w:r>
      <w:r>
        <w:rPr>
          <w:color w:val="auto"/>
        </w:rPr>
        <w:instrText xml:space="preserve"> HYPERLINK \l "_Toc54278972" </w:instrText>
      </w:r>
      <w:r>
        <w:rPr>
          <w:color w:val="auto"/>
        </w:rPr>
        <w:fldChar w:fldCharType="separate"/>
      </w:r>
      <w:r>
        <w:rPr>
          <w:rStyle w:val="16"/>
          <w:rFonts w:hint="eastAsia" w:ascii="宋体" w:hAnsi="宋体" w:cs="宋体"/>
          <w:color w:val="auto"/>
        </w:rPr>
        <w:t>六、履约保证金</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_Toc54278972 \h </w:instrText>
      </w:r>
      <w:r>
        <w:rPr>
          <w:rFonts w:hint="eastAsia" w:ascii="宋体" w:hAnsi="宋体" w:cs="宋体"/>
          <w:color w:val="auto"/>
        </w:rPr>
        <w:fldChar w:fldCharType="separate"/>
      </w:r>
      <w:r>
        <w:rPr>
          <w:rFonts w:hint="eastAsia" w:ascii="宋体" w:hAnsi="宋体" w:cs="宋体"/>
          <w:color w:val="auto"/>
        </w:rPr>
        <w:t>- 4 -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"_Toc54278973" </w:instrText>
      </w:r>
      <w:r>
        <w:rPr>
          <w:color w:val="auto"/>
        </w:rPr>
        <w:fldChar w:fldCharType="separate"/>
      </w:r>
      <w:r>
        <w:rPr>
          <w:rStyle w:val="16"/>
          <w:rFonts w:hint="eastAsia" w:ascii="宋体" w:hAnsi="宋体" w:cs="宋体"/>
          <w:color w:val="auto"/>
        </w:rPr>
        <w:t>七、采购项目需落实的政府采购政策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_Toc54278973 \h </w:instrText>
      </w:r>
      <w:r>
        <w:rPr>
          <w:rFonts w:hint="eastAsia" w:ascii="宋体" w:hAnsi="宋体" w:cs="宋体"/>
          <w:color w:val="auto"/>
        </w:rPr>
        <w:fldChar w:fldCharType="separate"/>
      </w:r>
      <w:r>
        <w:rPr>
          <w:rFonts w:hint="eastAsia" w:ascii="宋体" w:hAnsi="宋体" w:cs="宋体"/>
          <w:color w:val="auto"/>
        </w:rPr>
        <w:t>- 6 -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"_Toc54278974" </w:instrText>
      </w:r>
      <w:r>
        <w:rPr>
          <w:color w:val="auto"/>
        </w:rPr>
        <w:fldChar w:fldCharType="separate"/>
      </w:r>
      <w:r>
        <w:rPr>
          <w:rStyle w:val="16"/>
          <w:rFonts w:hint="eastAsia" w:ascii="宋体" w:hAnsi="宋体" w:cs="宋体"/>
          <w:color w:val="auto"/>
        </w:rPr>
        <w:t>八、其它有关规定</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_Toc54278974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"_Toc54278975" </w:instrText>
      </w:r>
      <w:r>
        <w:rPr>
          <w:color w:val="auto"/>
        </w:rPr>
        <w:fldChar w:fldCharType="separate"/>
      </w:r>
      <w:r>
        <w:rPr>
          <w:rStyle w:val="16"/>
          <w:rFonts w:hint="eastAsia" w:ascii="宋体" w:hAnsi="宋体" w:cs="宋体"/>
          <w:color w:val="auto"/>
        </w:rPr>
        <w:t>九、联系方式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_Toc54278975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"_Toc54278977" </w:instrText>
      </w:r>
      <w:r>
        <w:rPr>
          <w:color w:val="auto"/>
        </w:rPr>
        <w:fldChar w:fldCharType="separate"/>
      </w:r>
      <w:r>
        <w:rPr>
          <w:rStyle w:val="16"/>
          <w:rFonts w:hint="eastAsia" w:ascii="宋体" w:hAnsi="宋体" w:cs="宋体"/>
          <w:color w:val="auto"/>
        </w:rPr>
        <w:t>第二篇  项目服务需求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_Toc54278977 \h </w:instrText>
      </w:r>
      <w:r>
        <w:rPr>
          <w:rFonts w:hint="eastAsia" w:ascii="宋体" w:hAnsi="宋体" w:cs="宋体"/>
          <w:color w:val="auto"/>
        </w:rPr>
        <w:fldChar w:fldCharType="separate"/>
      </w:r>
      <w:r>
        <w:rPr>
          <w:rFonts w:hint="eastAsia" w:ascii="宋体" w:hAnsi="宋体" w:cs="宋体"/>
          <w:color w:val="auto"/>
        </w:rPr>
        <w:t>- 7 -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"_Toc54278978" </w:instrText>
      </w:r>
      <w:r>
        <w:rPr>
          <w:color w:val="auto"/>
        </w:rPr>
        <w:fldChar w:fldCharType="separate"/>
      </w:r>
      <w:r>
        <w:rPr>
          <w:rStyle w:val="16"/>
          <w:rFonts w:hint="eastAsia" w:ascii="宋体" w:hAnsi="宋体" w:cs="宋体"/>
          <w:color w:val="auto"/>
        </w:rPr>
        <w:t>一、建设地点</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_Toc54278978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"_Toc54278979" </w:instrText>
      </w:r>
      <w:r>
        <w:rPr>
          <w:color w:val="auto"/>
        </w:rPr>
        <w:fldChar w:fldCharType="separate"/>
      </w:r>
      <w:r>
        <w:rPr>
          <w:rStyle w:val="16"/>
          <w:rFonts w:hint="eastAsia" w:ascii="宋体" w:hAnsi="宋体" w:cs="宋体"/>
          <w:color w:val="auto"/>
        </w:rPr>
        <w:t>二、建设规模</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_Toc54278979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"_Toc54278984" </w:instrText>
      </w:r>
      <w:r>
        <w:rPr>
          <w:color w:val="auto"/>
        </w:rPr>
        <w:fldChar w:fldCharType="separate"/>
      </w:r>
      <w:r>
        <w:rPr>
          <w:rStyle w:val="16"/>
          <w:rFonts w:hint="eastAsia" w:ascii="宋体" w:hAnsi="宋体" w:cs="宋体"/>
          <w:color w:val="auto"/>
        </w:rPr>
        <w:t>第三篇  项目商务需求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_Toc54278984 \h </w:instrText>
      </w:r>
      <w:r>
        <w:rPr>
          <w:rFonts w:hint="eastAsia" w:ascii="宋体" w:hAnsi="宋体" w:cs="宋体"/>
          <w:color w:val="auto"/>
        </w:rPr>
        <w:fldChar w:fldCharType="separate"/>
      </w:r>
      <w:r>
        <w:rPr>
          <w:rFonts w:hint="eastAsia" w:ascii="宋体" w:hAnsi="宋体" w:cs="宋体"/>
          <w:color w:val="auto"/>
        </w:rPr>
        <w:t>- 8 -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"_Toc54278985" </w:instrText>
      </w:r>
      <w:r>
        <w:rPr>
          <w:color w:val="auto"/>
        </w:rPr>
        <w:fldChar w:fldCharType="separate"/>
      </w:r>
      <w:r>
        <w:rPr>
          <w:rStyle w:val="16"/>
          <w:rFonts w:hint="eastAsia" w:ascii="宋体" w:hAnsi="宋体" w:cs="宋体"/>
          <w:color w:val="auto"/>
        </w:rPr>
        <w:t>一、服务期、地点及验收方式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_Toc54278985 \h </w:instrText>
      </w:r>
      <w:r>
        <w:rPr>
          <w:rFonts w:hint="eastAsia" w:ascii="宋体" w:hAnsi="宋体" w:cs="宋体"/>
          <w:color w:val="auto"/>
        </w:rPr>
        <w:fldChar w:fldCharType="separate"/>
      </w:r>
      <w:r>
        <w:rPr>
          <w:rFonts w:hint="eastAsia" w:ascii="宋体" w:hAnsi="宋体" w:cs="宋体"/>
          <w:color w:val="auto"/>
        </w:rPr>
        <w:t>- 9 -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"_Toc54278986" </w:instrText>
      </w:r>
      <w:r>
        <w:rPr>
          <w:color w:val="auto"/>
        </w:rPr>
        <w:fldChar w:fldCharType="separate"/>
      </w:r>
      <w:r>
        <w:rPr>
          <w:rStyle w:val="16"/>
          <w:rFonts w:hint="eastAsia" w:ascii="宋体" w:hAnsi="宋体" w:cs="宋体"/>
          <w:color w:val="auto"/>
        </w:rPr>
        <w:t>二、报价要求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_Toc54278986 \h </w:instrText>
      </w:r>
      <w:r>
        <w:rPr>
          <w:rFonts w:hint="eastAsia" w:ascii="宋体" w:hAnsi="宋体" w:cs="宋体"/>
          <w:color w:val="auto"/>
        </w:rPr>
        <w:fldChar w:fldCharType="separate"/>
      </w:r>
      <w:r>
        <w:rPr>
          <w:rFonts w:hint="eastAsia" w:ascii="宋体" w:hAnsi="宋体" w:cs="宋体"/>
          <w:color w:val="auto"/>
        </w:rPr>
        <w:t>- 9 -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"_Toc54278987" </w:instrText>
      </w:r>
      <w:r>
        <w:rPr>
          <w:color w:val="auto"/>
        </w:rPr>
        <w:fldChar w:fldCharType="separate"/>
      </w:r>
      <w:r>
        <w:rPr>
          <w:rStyle w:val="16"/>
          <w:rFonts w:hint="eastAsia" w:ascii="宋体" w:hAnsi="宋体" w:cs="宋体"/>
          <w:color w:val="auto"/>
        </w:rPr>
        <w:t>三、结算原则</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_Toc54278987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"_Toc54278988" </w:instrText>
      </w:r>
      <w:r>
        <w:rPr>
          <w:color w:val="auto"/>
        </w:rPr>
        <w:fldChar w:fldCharType="separate"/>
      </w:r>
      <w:r>
        <w:rPr>
          <w:rStyle w:val="16"/>
          <w:rFonts w:hint="eastAsia" w:ascii="宋体" w:hAnsi="宋体" w:cs="宋体"/>
          <w:color w:val="auto"/>
        </w:rPr>
        <w:t>四、付款方式</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_Toc54278988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"_Toc54278989" </w:instrText>
      </w:r>
      <w:r>
        <w:rPr>
          <w:color w:val="auto"/>
        </w:rPr>
        <w:fldChar w:fldCharType="separate"/>
      </w:r>
      <w:r>
        <w:rPr>
          <w:rStyle w:val="16"/>
          <w:rFonts w:hint="eastAsia" w:ascii="宋体" w:hAnsi="宋体" w:cs="宋体"/>
          <w:color w:val="auto"/>
        </w:rPr>
        <w:t>五、知识产权</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_Toc54278989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"_Toc54278991" </w:instrText>
      </w:r>
      <w:r>
        <w:rPr>
          <w:color w:val="auto"/>
        </w:rPr>
        <w:fldChar w:fldCharType="separate"/>
      </w:r>
      <w:r>
        <w:rPr>
          <w:rStyle w:val="16"/>
          <w:rFonts w:hint="eastAsia" w:ascii="宋体" w:hAnsi="宋体" w:cs="宋体"/>
          <w:color w:val="auto"/>
        </w:rPr>
        <w:t>六、其他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_Toc54278991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"_Toc54278994" </w:instrText>
      </w:r>
      <w:r>
        <w:rPr>
          <w:color w:val="auto"/>
        </w:rPr>
        <w:fldChar w:fldCharType="separate"/>
      </w:r>
      <w:r>
        <w:rPr>
          <w:rStyle w:val="16"/>
          <w:rFonts w:hint="eastAsia" w:ascii="宋体" w:hAnsi="宋体" w:cs="宋体"/>
          <w:color w:val="auto"/>
        </w:rPr>
        <w:t>第四篇  磋商程序及方法、评审标准、无效响应和采购终止</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_Toc54278994 \h </w:instrText>
      </w:r>
      <w:r>
        <w:rPr>
          <w:rFonts w:hint="eastAsia" w:ascii="宋体" w:hAnsi="宋体" w:cs="宋体"/>
          <w:color w:val="auto"/>
        </w:rPr>
        <w:fldChar w:fldCharType="separate"/>
      </w:r>
      <w:r>
        <w:rPr>
          <w:rFonts w:hint="eastAsia" w:ascii="宋体" w:hAnsi="宋体" w:cs="宋体"/>
          <w:color w:val="auto"/>
        </w:rPr>
        <w:t>- 9 -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"_Toc54278995" </w:instrText>
      </w:r>
      <w:r>
        <w:rPr>
          <w:color w:val="auto"/>
        </w:rPr>
        <w:fldChar w:fldCharType="separate"/>
      </w:r>
      <w:r>
        <w:rPr>
          <w:rStyle w:val="16"/>
          <w:rFonts w:hint="eastAsia" w:ascii="宋体" w:hAnsi="宋体" w:cs="宋体"/>
          <w:color w:val="auto"/>
        </w:rPr>
        <w:t>一、磋商程序及方法</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_Toc54278995 \h </w:instrText>
      </w:r>
      <w:r>
        <w:rPr>
          <w:rFonts w:hint="eastAsia" w:ascii="宋体" w:hAnsi="宋体" w:cs="宋体"/>
          <w:color w:val="auto"/>
        </w:rPr>
        <w:fldChar w:fldCharType="separate"/>
      </w:r>
      <w:r>
        <w:rPr>
          <w:rFonts w:hint="eastAsia" w:ascii="宋体" w:hAnsi="宋体" w:cs="宋体"/>
          <w:color w:val="auto"/>
        </w:rPr>
        <w:t>- 11 -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"_Toc54278996" </w:instrText>
      </w:r>
      <w:r>
        <w:rPr>
          <w:color w:val="auto"/>
        </w:rPr>
        <w:fldChar w:fldCharType="separate"/>
      </w:r>
      <w:r>
        <w:rPr>
          <w:rStyle w:val="16"/>
          <w:rFonts w:hint="eastAsia" w:ascii="宋体" w:hAnsi="宋体" w:cs="宋体"/>
          <w:color w:val="auto"/>
        </w:rPr>
        <w:t>二、评审标准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_Toc54278996 \h </w:instrText>
      </w:r>
      <w:r>
        <w:rPr>
          <w:rFonts w:hint="eastAsia" w:ascii="宋体" w:hAnsi="宋体" w:cs="宋体"/>
          <w:color w:val="auto"/>
        </w:rPr>
        <w:fldChar w:fldCharType="separate"/>
      </w:r>
      <w:r>
        <w:rPr>
          <w:rFonts w:hint="eastAsia" w:ascii="宋体" w:hAnsi="宋体" w:cs="宋体"/>
          <w:color w:val="auto"/>
        </w:rPr>
        <w:t>- 13 -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"_Toc54278997" </w:instrText>
      </w:r>
      <w:r>
        <w:rPr>
          <w:color w:val="auto"/>
        </w:rPr>
        <w:fldChar w:fldCharType="separate"/>
      </w:r>
      <w:r>
        <w:rPr>
          <w:rStyle w:val="16"/>
          <w:rFonts w:hint="eastAsia" w:ascii="宋体" w:hAnsi="宋体" w:cs="宋体"/>
          <w:color w:val="auto"/>
        </w:rPr>
        <w:t>三、无效响应</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_Toc54278997 \h </w:instrText>
      </w:r>
      <w:r>
        <w:rPr>
          <w:rFonts w:hint="eastAsia" w:ascii="宋体" w:hAnsi="宋体" w:cs="宋体"/>
          <w:color w:val="auto"/>
        </w:rPr>
        <w:fldChar w:fldCharType="separate"/>
      </w:r>
      <w:r>
        <w:rPr>
          <w:rFonts w:hint="eastAsia" w:ascii="宋体" w:hAnsi="宋体" w:cs="宋体"/>
          <w:color w:val="auto"/>
        </w:rPr>
        <w:t>- 15 -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"_Toc54278998" </w:instrText>
      </w:r>
      <w:r>
        <w:rPr>
          <w:color w:val="auto"/>
        </w:rPr>
        <w:fldChar w:fldCharType="separate"/>
      </w:r>
      <w:r>
        <w:rPr>
          <w:rStyle w:val="16"/>
          <w:rFonts w:hint="eastAsia" w:ascii="宋体" w:hAnsi="宋体" w:cs="宋体"/>
          <w:color w:val="auto"/>
        </w:rPr>
        <w:t>四、采购终止</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_Toc54278998 \h </w:instrText>
      </w:r>
      <w:r>
        <w:rPr>
          <w:rFonts w:hint="eastAsia" w:ascii="宋体" w:hAnsi="宋体" w:cs="宋体"/>
          <w:color w:val="auto"/>
        </w:rPr>
        <w:fldChar w:fldCharType="separate"/>
      </w:r>
      <w:r>
        <w:rPr>
          <w:rFonts w:hint="eastAsia" w:ascii="宋体" w:hAnsi="宋体" w:cs="宋体"/>
          <w:color w:val="auto"/>
        </w:rPr>
        <w:t>- 15 -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"_Toc54278999" </w:instrText>
      </w:r>
      <w:r>
        <w:rPr>
          <w:color w:val="auto"/>
        </w:rPr>
        <w:fldChar w:fldCharType="separate"/>
      </w:r>
      <w:r>
        <w:rPr>
          <w:rStyle w:val="16"/>
          <w:rFonts w:hint="eastAsia" w:ascii="宋体" w:hAnsi="宋体" w:cs="宋体"/>
          <w:color w:val="auto"/>
        </w:rPr>
        <w:t>第五篇  供应商须知</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_Toc54278999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"_Toc54279000" </w:instrText>
      </w:r>
      <w:r>
        <w:rPr>
          <w:color w:val="auto"/>
        </w:rPr>
        <w:fldChar w:fldCharType="separate"/>
      </w:r>
      <w:r>
        <w:rPr>
          <w:rStyle w:val="16"/>
          <w:rFonts w:hint="eastAsia" w:ascii="宋体" w:hAnsi="宋体" w:cs="宋体"/>
          <w:color w:val="auto"/>
        </w:rPr>
        <w:t>一、磋商费用</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_Toc54279000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"_Toc54279001" </w:instrText>
      </w:r>
      <w:r>
        <w:rPr>
          <w:color w:val="auto"/>
        </w:rPr>
        <w:fldChar w:fldCharType="separate"/>
      </w:r>
      <w:r>
        <w:rPr>
          <w:rStyle w:val="16"/>
          <w:rFonts w:hint="eastAsia" w:ascii="宋体" w:hAnsi="宋体" w:cs="宋体"/>
          <w:color w:val="auto"/>
        </w:rPr>
        <w:t>二、竞争性磋商文件</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_Toc54279001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"_Toc54279002" </w:instrText>
      </w:r>
      <w:r>
        <w:rPr>
          <w:color w:val="auto"/>
        </w:rPr>
        <w:fldChar w:fldCharType="separate"/>
      </w:r>
      <w:r>
        <w:rPr>
          <w:rStyle w:val="16"/>
          <w:rFonts w:hint="eastAsia" w:ascii="宋体" w:hAnsi="宋体" w:cs="宋体"/>
          <w:color w:val="auto"/>
        </w:rPr>
        <w:t>三、磋商要求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_Toc54279002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"_Toc54279003" </w:instrText>
      </w:r>
      <w:r>
        <w:rPr>
          <w:color w:val="auto"/>
        </w:rPr>
        <w:fldChar w:fldCharType="separate"/>
      </w:r>
      <w:r>
        <w:rPr>
          <w:rStyle w:val="16"/>
          <w:rFonts w:hint="eastAsia" w:ascii="宋体" w:hAnsi="宋体" w:cs="宋体"/>
          <w:color w:val="auto"/>
        </w:rPr>
        <w:t>四、成交供应商的确认和变更</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_Toc54279003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"_Toc54279004" </w:instrText>
      </w:r>
      <w:r>
        <w:rPr>
          <w:color w:val="auto"/>
        </w:rPr>
        <w:fldChar w:fldCharType="separate"/>
      </w:r>
      <w:r>
        <w:rPr>
          <w:rStyle w:val="16"/>
          <w:rFonts w:hint="eastAsia" w:ascii="宋体" w:hAnsi="宋体" w:cs="宋体"/>
          <w:color w:val="auto"/>
        </w:rPr>
        <w:t>五、成交通知</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_Toc54279004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"_Toc54279005" </w:instrText>
      </w:r>
      <w:r>
        <w:rPr>
          <w:color w:val="auto"/>
        </w:rPr>
        <w:fldChar w:fldCharType="separate"/>
      </w:r>
      <w:r>
        <w:rPr>
          <w:rStyle w:val="16"/>
          <w:rFonts w:hint="eastAsia" w:ascii="宋体" w:hAnsi="宋体" w:cs="宋体"/>
          <w:color w:val="auto"/>
        </w:rPr>
        <w:t>六、关于质疑和投诉</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_Toc54279005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"_Toc54279008" </w:instrText>
      </w:r>
      <w:r>
        <w:rPr>
          <w:color w:val="auto"/>
        </w:rPr>
        <w:fldChar w:fldCharType="separate"/>
      </w:r>
      <w:r>
        <w:rPr>
          <w:rStyle w:val="16"/>
          <w:rFonts w:hint="eastAsia" w:ascii="宋体" w:hAnsi="宋体" w:cs="宋体"/>
          <w:color w:val="auto"/>
        </w:rPr>
        <w:t>七、签订合同</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_Toc54279008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"_Toc54279009" </w:instrText>
      </w:r>
      <w:r>
        <w:rPr>
          <w:color w:val="auto"/>
        </w:rPr>
        <w:fldChar w:fldCharType="separate"/>
      </w:r>
      <w:r>
        <w:rPr>
          <w:rStyle w:val="16"/>
          <w:rFonts w:hint="eastAsia" w:ascii="宋体" w:hAnsi="宋体" w:cs="宋体"/>
          <w:color w:val="auto"/>
        </w:rPr>
        <w:t>八、政府采购信用融资</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_Toc54279009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"_Toc54279010" </w:instrText>
      </w:r>
      <w:r>
        <w:rPr>
          <w:color w:val="auto"/>
        </w:rPr>
        <w:fldChar w:fldCharType="separate"/>
      </w:r>
      <w:r>
        <w:rPr>
          <w:rStyle w:val="16"/>
          <w:rFonts w:hint="eastAsia" w:ascii="宋体" w:hAnsi="宋体" w:cs="宋体"/>
          <w:color w:val="auto"/>
        </w:rPr>
        <w:t>第六篇  政府采购合同</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_Toc54279010 \h </w:instrText>
      </w:r>
      <w:r>
        <w:rPr>
          <w:rFonts w:hint="eastAsia" w:ascii="宋体" w:hAnsi="宋体" w:cs="宋体"/>
          <w:color w:val="auto"/>
        </w:rPr>
        <w:fldChar w:fldCharType="separate"/>
      </w:r>
      <w:r>
        <w:rPr>
          <w:rFonts w:hint="eastAsia" w:ascii="宋体" w:hAnsi="宋体" w:cs="宋体"/>
          <w:color w:val="auto"/>
        </w:rPr>
        <w:t>- 22 -</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ind w:left="560"/>
        <w:rPr>
          <w:rFonts w:ascii="宋体" w:hAnsi="宋体" w:cs="宋体"/>
          <w:color w:val="auto"/>
          <w:sz w:val="21"/>
          <w:szCs w:val="22"/>
        </w:rPr>
      </w:pPr>
      <w:r>
        <w:rPr>
          <w:color w:val="auto"/>
        </w:rPr>
        <w:fldChar w:fldCharType="begin"/>
      </w:r>
      <w:r>
        <w:rPr>
          <w:color w:val="auto"/>
        </w:rPr>
        <w:instrText xml:space="preserve"> HYPERLINK \l "_Toc54279011" </w:instrText>
      </w:r>
      <w:r>
        <w:rPr>
          <w:color w:val="auto"/>
        </w:rPr>
        <w:fldChar w:fldCharType="separate"/>
      </w:r>
      <w:r>
        <w:rPr>
          <w:rStyle w:val="16"/>
          <w:rFonts w:hint="eastAsia" w:ascii="宋体" w:hAnsi="宋体" w:cs="宋体"/>
          <w:color w:val="auto"/>
        </w:rPr>
        <w:t>第七篇  响应文件编制要求</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_Toc54279011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"_Toc54279012" </w:instrText>
      </w:r>
      <w:r>
        <w:rPr>
          <w:color w:val="auto"/>
        </w:rPr>
        <w:fldChar w:fldCharType="separate"/>
      </w:r>
      <w:r>
        <w:rPr>
          <w:rStyle w:val="16"/>
          <w:rFonts w:hint="eastAsia" w:ascii="宋体" w:hAnsi="宋体" w:cs="宋体"/>
          <w:color w:val="auto"/>
        </w:rPr>
        <w:t>一、经济部分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_Toc54279012 \h </w:instrText>
      </w:r>
      <w:r>
        <w:rPr>
          <w:rFonts w:hint="eastAsia" w:ascii="宋体" w:hAnsi="宋体" w:cs="宋体"/>
          <w:color w:val="auto"/>
        </w:rPr>
        <w:fldChar w:fldCharType="separate"/>
      </w:r>
      <w:r>
        <w:rPr>
          <w:rFonts w:hint="eastAsia" w:ascii="宋体" w:hAnsi="宋体" w:cs="宋体"/>
          <w:color w:val="auto"/>
        </w:rPr>
        <w:t>- 23 -</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"_Toc54279013" </w:instrText>
      </w:r>
      <w:r>
        <w:rPr>
          <w:color w:val="auto"/>
        </w:rPr>
        <w:fldChar w:fldCharType="separate"/>
      </w:r>
      <w:r>
        <w:rPr>
          <w:rStyle w:val="16"/>
          <w:rFonts w:hint="eastAsia" w:ascii="宋体" w:hAnsi="宋体" w:cs="宋体"/>
          <w:color w:val="auto"/>
        </w:rPr>
        <w:t>二、服务部分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_Toc54279013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"_Toc54279014" </w:instrText>
      </w:r>
      <w:r>
        <w:rPr>
          <w:color w:val="auto"/>
        </w:rPr>
        <w:fldChar w:fldCharType="separate"/>
      </w:r>
      <w:r>
        <w:rPr>
          <w:rStyle w:val="16"/>
          <w:rFonts w:hint="eastAsia" w:ascii="宋体" w:hAnsi="宋体" w:cs="宋体"/>
          <w:color w:val="auto"/>
        </w:rPr>
        <w:t>三、商务部分</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_Toc54279014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"_Toc54279015" </w:instrText>
      </w:r>
      <w:r>
        <w:rPr>
          <w:color w:val="auto"/>
        </w:rPr>
        <w:fldChar w:fldCharType="separate"/>
      </w:r>
      <w:r>
        <w:rPr>
          <w:rStyle w:val="16"/>
          <w:rFonts w:hint="eastAsia" w:ascii="宋体" w:hAnsi="宋体" w:cs="宋体"/>
          <w:color w:val="auto"/>
        </w:rPr>
        <w:t>四、资格条件及其他</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_Toc54279015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5"/>
        <w:tabs>
          <w:tab w:val="right" w:leader="dot" w:pos="9402"/>
        </w:tabs>
        <w:ind w:left="1120"/>
        <w:rPr>
          <w:rFonts w:ascii="宋体" w:hAnsi="宋体" w:cs="宋体"/>
          <w:color w:val="auto"/>
          <w:sz w:val="21"/>
          <w:szCs w:val="22"/>
        </w:rPr>
      </w:pPr>
      <w:r>
        <w:rPr>
          <w:color w:val="auto"/>
        </w:rPr>
        <w:fldChar w:fldCharType="begin"/>
      </w:r>
      <w:r>
        <w:rPr>
          <w:color w:val="auto"/>
        </w:rPr>
        <w:instrText xml:space="preserve"> HYPERLINK \l "_Toc54279016" </w:instrText>
      </w:r>
      <w:r>
        <w:rPr>
          <w:color w:val="auto"/>
        </w:rPr>
        <w:fldChar w:fldCharType="separate"/>
      </w:r>
      <w:r>
        <w:rPr>
          <w:rStyle w:val="16"/>
          <w:rFonts w:hint="eastAsia" w:ascii="宋体" w:hAnsi="宋体" w:cs="宋体"/>
          <w:color w:val="auto"/>
        </w:rPr>
        <w:t>五、其他资料</w:t>
      </w:r>
      <w:r>
        <w:rPr>
          <w:rFonts w:hint="eastAsia" w:ascii="宋体" w:hAnsi="宋体" w:cs="宋体"/>
          <w:color w:val="auto"/>
        </w:rPr>
        <w:tab/>
      </w:r>
      <w:r>
        <w:rPr>
          <w:rFonts w:hint="eastAsia" w:ascii="宋体" w:hAnsi="宋体" w:cs="宋体"/>
          <w:color w:val="auto"/>
        </w:rPr>
        <w:fldChar w:fldCharType="begin"/>
      </w:r>
      <w:r>
        <w:rPr>
          <w:rFonts w:hint="eastAsia" w:ascii="宋体" w:hAnsi="宋体" w:cs="宋体"/>
          <w:color w:val="auto"/>
        </w:rPr>
        <w:instrText xml:space="preserve"> PAGEREF _Toc54279016 \h </w:instrText>
      </w:r>
      <w:r>
        <w:rPr>
          <w:rFonts w:hint="eastAsia" w:ascii="宋体" w:hAnsi="宋体" w:cs="宋体"/>
          <w:color w:val="auto"/>
        </w:rPr>
        <w:fldChar w:fldCharType="separate"/>
      </w:r>
      <w:r>
        <w:rPr>
          <w:b/>
          <w:color w:val="auto"/>
        </w:rPr>
        <w:t>错误！未定义书签。</w:t>
      </w:r>
      <w:r>
        <w:rPr>
          <w:rFonts w:hint="eastAsia" w:ascii="宋体" w:hAnsi="宋体" w:cs="宋体"/>
          <w:color w:val="auto"/>
        </w:rPr>
        <w:fldChar w:fldCharType="end"/>
      </w:r>
      <w:r>
        <w:rPr>
          <w:rFonts w:hint="eastAsia" w:ascii="宋体" w:hAnsi="宋体" w:cs="宋体"/>
          <w:color w:val="auto"/>
        </w:rPr>
        <w:fldChar w:fldCharType="end"/>
      </w:r>
    </w:p>
    <w:p>
      <w:pPr>
        <w:pStyle w:val="11"/>
        <w:tabs>
          <w:tab w:val="right" w:leader="dot" w:pos="9402"/>
        </w:tabs>
        <w:spacing w:line="480" w:lineRule="exact"/>
        <w:ind w:left="560"/>
        <w:jc w:val="center"/>
        <w:rPr>
          <w:rFonts w:ascii="宋体" w:hAnsi="宋体" w:cs="宋体"/>
          <w:color w:val="auto"/>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rPr>
        <w:fldChar w:fldCharType="end"/>
      </w:r>
    </w:p>
    <w:p>
      <w:pPr>
        <w:pStyle w:val="2"/>
        <w:spacing w:line="360" w:lineRule="auto"/>
        <w:jc w:val="center"/>
        <w:rPr>
          <w:rFonts w:ascii="宋体" w:hAnsi="宋体" w:eastAsia="宋体" w:cs="宋体"/>
          <w:b w:val="0"/>
          <w:color w:val="auto"/>
          <w:szCs w:val="30"/>
        </w:rPr>
      </w:pPr>
      <w:bookmarkStart w:id="0" w:name="_Toc12789052"/>
      <w:bookmarkStart w:id="1" w:name="_Toc54278968"/>
      <w:bookmarkStart w:id="2" w:name="_Toc11641050"/>
      <w:r>
        <w:rPr>
          <w:rFonts w:hint="eastAsia" w:ascii="宋体" w:hAnsi="宋体" w:eastAsia="宋体" w:cs="宋体"/>
          <w:b w:val="0"/>
          <w:color w:val="auto"/>
          <w:sz w:val="36"/>
          <w:szCs w:val="30"/>
        </w:rPr>
        <w:t>第一篇  采购邀请书</w:t>
      </w:r>
      <w:bookmarkEnd w:id="0"/>
      <w:bookmarkEnd w:id="1"/>
      <w:bookmarkEnd w:id="2"/>
    </w:p>
    <w:p>
      <w:pPr>
        <w:pStyle w:val="3"/>
        <w:spacing w:line="360" w:lineRule="auto"/>
        <w:rPr>
          <w:rFonts w:ascii="宋体" w:hAnsi="宋体" w:cs="宋体"/>
          <w:color w:val="auto"/>
          <w:sz w:val="24"/>
          <w:szCs w:val="24"/>
        </w:rPr>
      </w:pPr>
      <w:bookmarkStart w:id="3" w:name="_Toc317775175"/>
      <w:bookmarkStart w:id="4" w:name="_Toc54278969"/>
      <w:bookmarkStart w:id="5" w:name="_Toc313893526"/>
      <w:r>
        <w:rPr>
          <w:rFonts w:hint="eastAsia" w:ascii="宋体" w:hAnsi="宋体" w:cs="宋体"/>
          <w:color w:val="auto"/>
          <w:sz w:val="24"/>
          <w:szCs w:val="24"/>
        </w:rPr>
        <w:t>一、竞争性磋商内容</w:t>
      </w:r>
      <w:bookmarkEnd w:id="3"/>
      <w:bookmarkEnd w:id="4"/>
      <w:bookmarkEnd w:id="5"/>
    </w:p>
    <w:tbl>
      <w:tblPr>
        <w:tblStyle w:val="12"/>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lang w:eastAsia="zh-CN"/>
              </w:rPr>
              <w:t>最高</w:t>
            </w:r>
            <w:r>
              <w:rPr>
                <w:rFonts w:hint="eastAsia" w:ascii="宋体" w:hAnsi="宋体" w:cs="宋体"/>
                <w:b/>
                <w:bCs/>
                <w:color w:val="auto"/>
                <w:kern w:val="0"/>
                <w:sz w:val="21"/>
                <w:szCs w:val="24"/>
              </w:rPr>
              <w:t>限价</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宋体" w:hAnsi="宋体" w:eastAsia="宋体" w:cs="宋体"/>
                <w:color w:val="auto"/>
                <w:kern w:val="0"/>
                <w:sz w:val="21"/>
                <w:szCs w:val="24"/>
                <w:lang w:eastAsia="zh-CN"/>
              </w:rPr>
            </w:pPr>
            <w:bookmarkStart w:id="6" w:name="_Hlk344477914"/>
            <w:r>
              <w:rPr>
                <w:rFonts w:hint="eastAsia" w:ascii="宋体" w:hAnsi="宋体" w:cs="宋体"/>
                <w:color w:val="auto"/>
                <w:sz w:val="24"/>
                <w:szCs w:val="24"/>
              </w:rPr>
              <w:t>大渡口区环保科技产业园平场工程二期西侧边坡滑坡抢险工程检测服务</w:t>
            </w:r>
          </w:p>
        </w:tc>
        <w:tc>
          <w:tcPr>
            <w:tcW w:w="198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383070元</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1</w:t>
            </w:r>
          </w:p>
        </w:tc>
        <w:tc>
          <w:tcPr>
            <w:tcW w:w="179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rPr>
            </w:pPr>
            <w:r>
              <w:rPr>
                <w:rFonts w:hint="eastAsia" w:ascii="宋体" w:hAnsi="宋体" w:cs="宋体"/>
                <w:b/>
                <w:bCs/>
                <w:color w:val="auto"/>
                <w:kern w:val="0"/>
                <w:sz w:val="21"/>
                <w:szCs w:val="24"/>
              </w:rPr>
              <w:t>建筑业</w:t>
            </w:r>
          </w:p>
        </w:tc>
      </w:tr>
      <w:bookmarkEnd w:id="6"/>
    </w:tbl>
    <w:p>
      <w:pPr>
        <w:pStyle w:val="3"/>
        <w:spacing w:line="360" w:lineRule="auto"/>
        <w:rPr>
          <w:rFonts w:ascii="宋体" w:hAnsi="宋体" w:cs="宋体"/>
          <w:color w:val="auto"/>
          <w:sz w:val="24"/>
          <w:szCs w:val="24"/>
        </w:rPr>
      </w:pPr>
      <w:bookmarkStart w:id="7" w:name="_Toc54278970"/>
      <w:bookmarkStart w:id="8" w:name="_Toc373860293"/>
      <w:bookmarkStart w:id="9" w:name="_Toc317775178"/>
      <w:r>
        <w:rPr>
          <w:rFonts w:hint="eastAsia" w:ascii="宋体" w:hAnsi="宋体" w:cs="宋体"/>
          <w:color w:val="auto"/>
          <w:sz w:val="24"/>
          <w:szCs w:val="24"/>
        </w:rPr>
        <w:t>二、资金来源</w:t>
      </w:r>
      <w:bookmarkEnd w:id="7"/>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自筹资金，采购预算</w:t>
      </w:r>
      <w:r>
        <w:rPr>
          <w:rFonts w:hint="eastAsia" w:ascii="宋体" w:hAnsi="宋体" w:cs="宋体"/>
          <w:color w:val="auto"/>
          <w:sz w:val="24"/>
          <w:szCs w:val="24"/>
          <w:lang w:val="en-US" w:eastAsia="zh-CN"/>
        </w:rPr>
        <w:t>38307</w:t>
      </w:r>
      <w:r>
        <w:rPr>
          <w:rFonts w:hint="eastAsia" w:ascii="宋体" w:hAnsi="宋体" w:cs="宋体"/>
          <w:color w:val="auto"/>
          <w:sz w:val="24"/>
          <w:szCs w:val="24"/>
        </w:rPr>
        <w:t>0元。</w:t>
      </w:r>
    </w:p>
    <w:p>
      <w:pPr>
        <w:pStyle w:val="3"/>
        <w:spacing w:line="360" w:lineRule="auto"/>
        <w:rPr>
          <w:rFonts w:ascii="宋体" w:hAnsi="宋体" w:cs="宋体"/>
          <w:color w:val="auto"/>
          <w:sz w:val="24"/>
          <w:szCs w:val="24"/>
        </w:rPr>
      </w:pPr>
      <w:bookmarkStart w:id="10" w:name="_Toc54278971"/>
      <w:r>
        <w:rPr>
          <w:rFonts w:hint="eastAsia" w:ascii="宋体" w:hAnsi="宋体" w:cs="宋体"/>
          <w:color w:val="auto"/>
          <w:sz w:val="24"/>
          <w:szCs w:val="24"/>
        </w:rPr>
        <w:t>三、供应商资格条件</w:t>
      </w:r>
      <w:bookmarkEnd w:id="1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（一）基本资格条件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1.具有独立承担民事责任的能力；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2.具有良好的商业信誉和健全的财务会计制度；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3.具有履行合同所必需的设备和专业技术能力；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4.有依法缴纳税收和社会保障资金的良好记录；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5.参加政府采购活动前三年内，在经营活动中没有重大违法记录；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6.法律、行政法规规定的其他条件。</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（二）特定资格条件</w:t>
      </w:r>
      <w:bookmarkStart w:id="11" w:name="_Toc54278972"/>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color w:val="auto"/>
          <w:sz w:val="24"/>
          <w:szCs w:val="24"/>
          <w:lang w:val="en-US" w:eastAsia="zh-CN"/>
        </w:rPr>
        <w:t>1、资格要求</w:t>
      </w:r>
      <w:r>
        <w:rPr>
          <w:rFonts w:hint="eastAsia" w:ascii="宋体" w:hAnsi="宋体" w:eastAsia="宋体" w:cs="宋体"/>
          <w:b w:val="0"/>
          <w:color w:val="auto"/>
          <w:kern w:val="2"/>
          <w:sz w:val="24"/>
          <w:szCs w:val="24"/>
          <w:lang w:val="en-US" w:eastAsia="zh-CN" w:bidi="ar-SA"/>
        </w:rPr>
        <w:t>：</w:t>
      </w:r>
    </w:p>
    <w:p>
      <w:pPr>
        <w:spacing w:line="360" w:lineRule="auto"/>
        <w:ind w:firstLine="480" w:firstLineChars="200"/>
        <w:rPr>
          <w:rFonts w:hint="eastAsia" w:ascii="宋体" w:hAnsi="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1）、投标人须具有省级(直辖市、自治区)及以上建设行政主管部门颁发的建设工程质量检测机构资质证书，检测资质类别须同时包含下列内容：见证取样检测、地基基础工程检测、主体结构工程检测、市政道路工程检测(提供有效资质证书复印件并加盖投标人公章(鲜 章) ) ;</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（2）、投标人</w:t>
      </w:r>
      <w:r>
        <w:rPr>
          <w:rFonts w:hint="eastAsia" w:ascii="宋体" w:hAnsi="宋体" w:eastAsia="宋体" w:cs="宋体"/>
          <w:b w:val="0"/>
          <w:color w:val="auto"/>
          <w:kern w:val="2"/>
          <w:sz w:val="24"/>
          <w:szCs w:val="24"/>
          <w:lang w:val="en-US" w:eastAsia="zh-CN" w:bidi="ar-SA"/>
        </w:rPr>
        <w:t>须具有省级(含直辖市或自治区)及以上质 量技术监督部门颁发的CMA 认证合格证书(提供有效的证书复印件并加盖投标人公章(鲜章));</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2、</w:t>
      </w:r>
      <w:r>
        <w:rPr>
          <w:rFonts w:hint="eastAsia" w:ascii="宋体" w:hAnsi="宋体" w:eastAsia="宋体" w:cs="宋体"/>
          <w:b w:val="0"/>
          <w:color w:val="auto"/>
          <w:kern w:val="2"/>
          <w:sz w:val="24"/>
          <w:szCs w:val="24"/>
          <w:lang w:val="en-US" w:eastAsia="zh-CN" w:bidi="ar-SA"/>
        </w:rPr>
        <w:t>人员要求：</w:t>
      </w:r>
    </w:p>
    <w:p>
      <w:pPr>
        <w:spacing w:line="360" w:lineRule="auto"/>
        <w:ind w:firstLine="480" w:firstLineChars="200"/>
        <w:rPr>
          <w:rFonts w:hint="eastAsia" w:ascii="宋体" w:hAnsi="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（1）、项目负责人1人，为投标人本单位在职人员，须具备工程类高级职称。【须提供拟派项目负责人的身份证、职称证和投标人本单位为其缴纳的2023年1月-2023年8月养老保险证明材料复印件。】</w:t>
      </w:r>
    </w:p>
    <w:p>
      <w:pPr>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（2）、技术负责人1人，为</w:t>
      </w:r>
      <w:r>
        <w:rPr>
          <w:rFonts w:hint="eastAsia" w:ascii="宋体" w:hAnsi="宋体" w:eastAsia="宋体" w:cs="宋体"/>
          <w:b w:val="0"/>
          <w:color w:val="auto"/>
          <w:kern w:val="2"/>
          <w:sz w:val="24"/>
          <w:szCs w:val="24"/>
          <w:lang w:val="en-US" w:eastAsia="zh-CN" w:bidi="ar-SA"/>
        </w:rPr>
        <w:t>投标人本单位在职人员，须具备工程类高级职称。【须提供拟派技术负责人的身份证、职称证和投标人本单位为其缴纳的2023年1月-2023年8月养老保险证明材料复印件。】</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其他拟派检测人员不少于5人，为投标人本单位在职人员，均须具备工程类中级及以上职称和建设行政主管部门颁发的检测人员职业培训合格证书（具备见证取样检测、地基基础检测、主体工程检测、市政道路工程检测中的一项或多项）。【须提供拟派技术负责人的身份证、职称证和投标人本单位为其缴纳的2023年1月-2023年8月养老保险证明材料复印件。】</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cs="宋体"/>
          <w:b w:val="0"/>
          <w:color w:val="auto"/>
          <w:kern w:val="2"/>
          <w:sz w:val="24"/>
          <w:szCs w:val="24"/>
          <w:lang w:val="en-US" w:eastAsia="zh-CN" w:bidi="ar-SA"/>
        </w:rPr>
        <w:t>3、</w:t>
      </w:r>
      <w:r>
        <w:rPr>
          <w:rFonts w:hint="eastAsia" w:ascii="宋体" w:hAnsi="宋体" w:eastAsia="宋体" w:cs="宋体"/>
          <w:b w:val="0"/>
          <w:color w:val="auto"/>
          <w:kern w:val="2"/>
          <w:sz w:val="24"/>
          <w:szCs w:val="24"/>
          <w:lang w:val="en-US" w:eastAsia="zh-CN" w:bidi="ar-SA"/>
        </w:rPr>
        <w:t>业绩要求：</w:t>
      </w:r>
    </w:p>
    <w:p>
      <w:pPr>
        <w:pStyle w:val="3"/>
        <w:spacing w:line="360" w:lineRule="auto"/>
        <w:ind w:firstLine="480" w:firstLineChars="200"/>
        <w:rPr>
          <w:rFonts w:hint="eastAsia" w:ascii="宋体" w:hAnsi="宋体" w:eastAsia="宋体" w:cs="宋体"/>
          <w:b w:val="0"/>
          <w:color w:val="auto"/>
          <w:kern w:val="2"/>
          <w:sz w:val="24"/>
          <w:szCs w:val="24"/>
          <w:lang w:val="en-US" w:eastAsia="zh-CN" w:bidi="ar-SA"/>
        </w:rPr>
      </w:pPr>
      <w:r>
        <w:rPr>
          <w:rFonts w:hint="eastAsia" w:ascii="宋体" w:hAnsi="宋体" w:eastAsia="宋体" w:cs="宋体"/>
          <w:b w:val="0"/>
          <w:color w:val="auto"/>
          <w:kern w:val="2"/>
          <w:sz w:val="24"/>
          <w:szCs w:val="24"/>
          <w:lang w:val="en-US" w:eastAsia="zh-CN" w:bidi="ar-SA"/>
        </w:rPr>
        <w:t>投标人近三年(2020年1月1日至今，以检测合同签订时间为准)承担过检测合同额不低于30万元的市政工程质量检测业绩不少于1个。</w:t>
      </w:r>
    </w:p>
    <w:p>
      <w:pPr>
        <w:pStyle w:val="3"/>
        <w:spacing w:line="360" w:lineRule="auto"/>
        <w:rPr>
          <w:rFonts w:ascii="宋体" w:hAnsi="宋体" w:cs="宋体"/>
          <w:color w:val="auto"/>
          <w:sz w:val="24"/>
          <w:szCs w:val="24"/>
        </w:rPr>
      </w:pPr>
      <w:r>
        <w:rPr>
          <w:rFonts w:hint="eastAsia" w:ascii="宋体" w:hAnsi="宋体" w:cs="宋体"/>
          <w:color w:val="auto"/>
          <w:sz w:val="24"/>
          <w:szCs w:val="24"/>
        </w:rPr>
        <w:t>四、磋商有关说明</w:t>
      </w:r>
      <w:bookmarkEnd w:id="8"/>
      <w:bookmarkEnd w:id="1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w:t>
      </w:r>
      <w:r>
        <w:rPr>
          <w:rFonts w:hint="eastAsia" w:ascii="宋体" w:hAnsi="宋体" w:cs="宋体"/>
          <w:b/>
          <w:color w:val="auto"/>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（二）凡有意参加磋商的供应商，请于公告发布之日（202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11</w:t>
      </w:r>
      <w:r>
        <w:rPr>
          <w:rFonts w:hint="eastAsia" w:ascii="宋体" w:hAnsi="宋体" w:cs="宋体"/>
          <w:color w:val="auto"/>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（三）竞争性磋商公告期限：自采购公告发布之日（202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11</w:t>
      </w:r>
      <w:r>
        <w:rPr>
          <w:rFonts w:hint="eastAsia" w:ascii="宋体" w:hAnsi="宋体" w:cs="宋体"/>
          <w:color w:val="auto"/>
          <w:sz w:val="24"/>
          <w:szCs w:val="24"/>
        </w:rPr>
        <w:t>日）起三个工作日。</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（四）竞标人须满足以下三种要件，其响应文件才被接受：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1、按磋商文件要求缴纳了竞标保证金；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2、按时递交了响应文件；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3、按时报名签到。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（六）响应文件递交时间：202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cs="宋体"/>
          <w:color w:val="auto"/>
          <w:sz w:val="24"/>
          <w:szCs w:val="24"/>
        </w:rPr>
        <w:t>日北京时间14：00-14:30</w:t>
      </w:r>
    </w:p>
    <w:p>
      <w:pPr>
        <w:spacing w:line="360" w:lineRule="auto"/>
        <w:ind w:firstLine="1200" w:firstLineChars="500"/>
        <w:rPr>
          <w:rFonts w:ascii="宋体" w:hAnsi="宋体" w:cs="宋体"/>
          <w:color w:val="auto"/>
          <w:sz w:val="24"/>
          <w:szCs w:val="24"/>
        </w:rPr>
      </w:pPr>
      <w:r>
        <w:rPr>
          <w:rFonts w:hint="eastAsia" w:ascii="宋体" w:hAnsi="宋体" w:cs="宋体"/>
          <w:color w:val="auto"/>
          <w:sz w:val="24"/>
          <w:szCs w:val="24"/>
        </w:rPr>
        <w:t>截止时间：202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cs="宋体"/>
          <w:color w:val="auto"/>
          <w:sz w:val="24"/>
          <w:szCs w:val="24"/>
        </w:rPr>
        <w:t>日北京时间14:30</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（七）磋商开始时间：202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9</w:t>
      </w:r>
      <w:r>
        <w:rPr>
          <w:rFonts w:hint="eastAsia" w:ascii="宋体" w:hAnsi="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cs="宋体"/>
          <w:color w:val="auto"/>
          <w:sz w:val="24"/>
          <w:szCs w:val="24"/>
        </w:rPr>
        <w:t>日北京时间14:30</w:t>
      </w:r>
    </w:p>
    <w:p>
      <w:pPr>
        <w:pStyle w:val="3"/>
        <w:spacing w:line="360" w:lineRule="auto"/>
        <w:rPr>
          <w:rFonts w:ascii="宋体" w:hAnsi="宋体" w:cs="宋体"/>
          <w:color w:val="auto"/>
          <w:sz w:val="24"/>
          <w:szCs w:val="24"/>
        </w:rPr>
      </w:pPr>
      <w:bookmarkStart w:id="12" w:name="_Toc373860294"/>
      <w:bookmarkStart w:id="13" w:name="_Toc54278973"/>
      <w:r>
        <w:rPr>
          <w:rFonts w:hint="eastAsia" w:ascii="宋体" w:hAnsi="宋体" w:cs="宋体"/>
          <w:color w:val="auto"/>
          <w:sz w:val="24"/>
          <w:szCs w:val="24"/>
        </w:rPr>
        <w:t>五、磋商保证金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（一）保证金递交</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1、竞标保证金交款形式及要求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竞标人从单位</w:t>
      </w:r>
      <w:r>
        <w:rPr>
          <w:rFonts w:hint="eastAsia" w:ascii="宋体" w:hAnsi="宋体" w:cs="宋体"/>
          <w:b/>
          <w:color w:val="auto"/>
          <w:sz w:val="24"/>
          <w:szCs w:val="24"/>
          <w:u w:val="single"/>
        </w:rPr>
        <w:t>基本银行账户</w:t>
      </w:r>
      <w:r>
        <w:rPr>
          <w:rFonts w:hint="eastAsia" w:ascii="宋体" w:hAnsi="宋体" w:cs="宋体"/>
          <w:color w:val="auto"/>
          <w:sz w:val="24"/>
          <w:szCs w:val="24"/>
        </w:rPr>
        <w:t>在</w:t>
      </w:r>
      <w:r>
        <w:rPr>
          <w:rFonts w:hint="eastAsia" w:ascii="宋体" w:hAnsi="宋体" w:cs="宋体"/>
          <w:b/>
          <w:color w:val="auto"/>
          <w:sz w:val="24"/>
          <w:szCs w:val="24"/>
          <w:u w:val="single"/>
        </w:rPr>
        <w:t>202</w:t>
      </w:r>
      <w:r>
        <w:rPr>
          <w:rFonts w:hint="eastAsia" w:ascii="宋体" w:hAnsi="宋体" w:cs="宋体"/>
          <w:b/>
          <w:color w:val="auto"/>
          <w:sz w:val="24"/>
          <w:szCs w:val="24"/>
          <w:u w:val="single"/>
          <w:lang w:val="en-US" w:eastAsia="zh-CN"/>
        </w:rPr>
        <w:t>3</w:t>
      </w:r>
      <w:r>
        <w:rPr>
          <w:rFonts w:hint="eastAsia" w:ascii="宋体" w:hAnsi="宋体" w:cs="宋体"/>
          <w:b/>
          <w:color w:val="auto"/>
          <w:sz w:val="24"/>
          <w:szCs w:val="24"/>
          <w:u w:val="single"/>
        </w:rPr>
        <w:t>年</w:t>
      </w:r>
      <w:r>
        <w:rPr>
          <w:rFonts w:hint="eastAsia" w:ascii="宋体" w:hAnsi="宋体" w:cs="宋体"/>
          <w:b/>
          <w:color w:val="auto"/>
          <w:sz w:val="24"/>
          <w:szCs w:val="24"/>
          <w:u w:val="single"/>
          <w:lang w:val="en-US" w:eastAsia="zh-CN"/>
        </w:rPr>
        <w:t>9</w:t>
      </w:r>
      <w:r>
        <w:rPr>
          <w:rFonts w:hint="eastAsia" w:ascii="宋体" w:hAnsi="宋体" w:cs="宋体"/>
          <w:b/>
          <w:color w:val="auto"/>
          <w:sz w:val="24"/>
          <w:szCs w:val="24"/>
          <w:u w:val="single"/>
        </w:rPr>
        <w:t>月</w:t>
      </w:r>
      <w:r>
        <w:rPr>
          <w:rFonts w:hint="eastAsia" w:ascii="宋体" w:hAnsi="宋体" w:cs="宋体"/>
          <w:b/>
          <w:color w:val="auto"/>
          <w:sz w:val="24"/>
          <w:szCs w:val="24"/>
          <w:u w:val="single"/>
          <w:lang w:val="en-US" w:eastAsia="zh-CN"/>
        </w:rPr>
        <w:t>14</w:t>
      </w:r>
      <w:r>
        <w:rPr>
          <w:rFonts w:hint="eastAsia" w:ascii="宋体" w:hAnsi="宋体" w:cs="宋体"/>
          <w:b/>
          <w:color w:val="auto"/>
          <w:sz w:val="24"/>
          <w:szCs w:val="24"/>
          <w:u w:val="single"/>
        </w:rPr>
        <w:t>日</w:t>
      </w:r>
      <w:r>
        <w:rPr>
          <w:rFonts w:hint="eastAsia" w:ascii="宋体" w:hAnsi="宋体" w:cs="宋体"/>
          <w:b/>
          <w:color w:val="auto"/>
          <w:sz w:val="24"/>
          <w:szCs w:val="24"/>
          <w:u w:val="single"/>
          <w:lang w:val="en-US" w:eastAsia="zh-CN"/>
        </w:rPr>
        <w:t>17</w:t>
      </w:r>
      <w:r>
        <w:rPr>
          <w:rFonts w:hint="eastAsia" w:ascii="宋体" w:hAnsi="宋体" w:cs="宋体"/>
          <w:b/>
          <w:color w:val="auto"/>
          <w:sz w:val="24"/>
          <w:szCs w:val="24"/>
          <w:u w:val="single"/>
        </w:rPr>
        <w:t>时00分（北京时间）前</w:t>
      </w:r>
      <w:r>
        <w:rPr>
          <w:rFonts w:hint="eastAsia" w:ascii="宋体" w:hAnsi="宋体" w:cs="宋体"/>
          <w:color w:val="auto"/>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u w:val="single"/>
        </w:rPr>
      </w:pPr>
      <w:r>
        <w:rPr>
          <w:rFonts w:hint="eastAsia" w:ascii="宋体" w:hAnsi="宋体" w:cs="宋体"/>
          <w:color w:val="auto"/>
          <w:sz w:val="24"/>
          <w:szCs w:val="24"/>
        </w:rPr>
        <w:t>2、</w:t>
      </w:r>
      <w:r>
        <w:rPr>
          <w:rFonts w:hint="eastAsia" w:ascii="宋体" w:hAnsi="宋体" w:cs="宋体"/>
          <w:b/>
          <w:color w:val="auto"/>
          <w:sz w:val="24"/>
          <w:szCs w:val="24"/>
          <w:u w:val="single"/>
        </w:rPr>
        <w:t>竞标保证金的金额：人民币</w:t>
      </w:r>
      <w:r>
        <w:rPr>
          <w:rFonts w:hint="eastAsia" w:ascii="宋体" w:hAnsi="宋体" w:cs="宋体"/>
          <w:b/>
          <w:color w:val="auto"/>
          <w:sz w:val="24"/>
          <w:szCs w:val="24"/>
          <w:u w:val="single"/>
          <w:lang w:val="en-US" w:eastAsia="zh-CN"/>
        </w:rPr>
        <w:t>75</w:t>
      </w:r>
      <w:r>
        <w:rPr>
          <w:rFonts w:hint="eastAsia" w:ascii="宋体" w:hAnsi="宋体" w:cs="宋体"/>
          <w:b/>
          <w:color w:val="auto"/>
          <w:sz w:val="24"/>
          <w:szCs w:val="24"/>
          <w:u w:val="single"/>
        </w:rPr>
        <w:t>00元（大写：</w:t>
      </w:r>
      <w:r>
        <w:rPr>
          <w:rFonts w:hint="eastAsia" w:ascii="宋体" w:hAnsi="宋体" w:cs="宋体"/>
          <w:b/>
          <w:color w:val="auto"/>
          <w:sz w:val="24"/>
          <w:szCs w:val="24"/>
          <w:u w:val="single"/>
          <w:lang w:eastAsia="zh-CN"/>
        </w:rPr>
        <w:t>柒</w:t>
      </w:r>
      <w:r>
        <w:rPr>
          <w:rFonts w:hint="eastAsia" w:ascii="宋体" w:hAnsi="宋体" w:cs="宋体"/>
          <w:b/>
          <w:color w:val="auto"/>
          <w:sz w:val="24"/>
          <w:szCs w:val="24"/>
          <w:u w:val="single"/>
        </w:rPr>
        <w:t>仟</w:t>
      </w:r>
      <w:r>
        <w:rPr>
          <w:rFonts w:hint="eastAsia" w:ascii="宋体" w:hAnsi="宋体" w:cs="宋体"/>
          <w:b/>
          <w:color w:val="auto"/>
          <w:sz w:val="24"/>
          <w:szCs w:val="24"/>
          <w:u w:val="single"/>
          <w:lang w:eastAsia="zh-CN"/>
        </w:rPr>
        <w:t>伍佰</w:t>
      </w:r>
      <w:r>
        <w:rPr>
          <w:rFonts w:hint="eastAsia" w:ascii="宋体" w:hAnsi="宋体" w:cs="宋体"/>
          <w:b/>
          <w:color w:val="auto"/>
          <w:sz w:val="24"/>
          <w:szCs w:val="24"/>
          <w:u w:val="single"/>
        </w:rPr>
        <w:t>元整）。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3、竞标保证金有效期等同竞标有效期。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4、未在指定时间内到账的竞标保证金为无效竞标保证金，当场退还其响应文件。</w:t>
      </w:r>
    </w:p>
    <w:p>
      <w:pPr>
        <w:spacing w:line="360" w:lineRule="auto"/>
        <w:ind w:firstLine="480" w:firstLineChars="200"/>
        <w:rPr>
          <w:color w:val="auto"/>
        </w:rPr>
      </w:pPr>
      <w:r>
        <w:rPr>
          <w:rFonts w:hint="eastAsia" w:ascii="宋体" w:hAnsi="宋体" w:cs="宋体"/>
          <w:color w:val="auto"/>
          <w:sz w:val="24"/>
          <w:szCs w:val="24"/>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（二）保证金退还方式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保证金联系人：李老师；      咨询电话：023-68955002</w:t>
      </w:r>
    </w:p>
    <w:p>
      <w:pPr>
        <w:pStyle w:val="3"/>
        <w:spacing w:line="360" w:lineRule="auto"/>
        <w:rPr>
          <w:rFonts w:ascii="宋体" w:hAnsi="宋体" w:cs="宋体"/>
          <w:color w:val="auto"/>
          <w:sz w:val="24"/>
          <w:szCs w:val="24"/>
        </w:rPr>
      </w:pPr>
      <w:r>
        <w:rPr>
          <w:rFonts w:hint="eastAsia" w:ascii="宋体" w:hAnsi="宋体" w:cs="宋体"/>
          <w:color w:val="auto"/>
          <w:sz w:val="24"/>
          <w:szCs w:val="24"/>
        </w:rPr>
        <w:t>六、履约保证金</w:t>
      </w:r>
    </w:p>
    <w:p>
      <w:pPr>
        <w:spacing w:line="360" w:lineRule="auto"/>
        <w:ind w:firstLine="354" w:firstLineChars="147"/>
        <w:rPr>
          <w:rFonts w:hint="eastAsia" w:ascii="宋体" w:hAnsi="宋体" w:cs="宋体"/>
          <w:b/>
          <w:color w:val="auto"/>
          <w:sz w:val="24"/>
          <w:szCs w:val="24"/>
        </w:rPr>
      </w:pPr>
      <w:r>
        <w:rPr>
          <w:rFonts w:hint="eastAsia" w:ascii="宋体" w:hAnsi="宋体" w:cs="宋体"/>
          <w:b/>
          <w:color w:val="auto"/>
          <w:sz w:val="24"/>
          <w:szCs w:val="24"/>
        </w:rPr>
        <w:t>履约保证金金额为：项目成交金额的</w:t>
      </w:r>
      <w:r>
        <w:rPr>
          <w:rFonts w:hint="eastAsia" w:ascii="宋体" w:hAnsi="宋体" w:cs="宋体"/>
          <w:b/>
          <w:color w:val="auto"/>
          <w:sz w:val="24"/>
          <w:szCs w:val="24"/>
          <w:lang w:val="en-US" w:eastAsia="zh-CN"/>
        </w:rPr>
        <w:t>5</w:t>
      </w:r>
      <w:r>
        <w:rPr>
          <w:rFonts w:hint="eastAsia" w:ascii="宋体" w:hAnsi="宋体" w:cs="宋体"/>
          <w:b/>
          <w:color w:val="auto"/>
          <w:sz w:val="24"/>
          <w:szCs w:val="24"/>
        </w:rPr>
        <w:t>%。</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账户信息：成交人应当在</w:t>
      </w:r>
      <w:r>
        <w:rPr>
          <w:rFonts w:hint="eastAsia" w:ascii="宋体" w:hAnsi="宋体" w:cs="宋体"/>
          <w:b w:val="0"/>
          <w:color w:val="auto"/>
          <w:sz w:val="24"/>
          <w:szCs w:val="24"/>
          <w:lang w:eastAsia="zh-CN"/>
        </w:rPr>
        <w:t>领取成交通知书后</w:t>
      </w:r>
      <w:r>
        <w:rPr>
          <w:rFonts w:hint="eastAsia" w:ascii="宋体" w:hAnsi="宋体" w:cs="宋体"/>
          <w:b w:val="0"/>
          <w:color w:val="auto"/>
          <w:sz w:val="24"/>
          <w:szCs w:val="24"/>
          <w:lang w:val="en-US" w:eastAsia="zh-CN"/>
        </w:rPr>
        <w:t>15个工作日内且合同签订之前</w:t>
      </w:r>
      <w:r>
        <w:rPr>
          <w:rFonts w:hint="eastAsia" w:ascii="宋体" w:hAnsi="宋体" w:cs="宋体"/>
          <w:b w:val="0"/>
          <w:color w:val="auto"/>
          <w:sz w:val="24"/>
          <w:szCs w:val="24"/>
        </w:rPr>
        <w:t>（到账时间以重庆建桥实业发展有限公司开具收据为准）将履约担保汇入下列帐户：</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开户行：交通银行大渡口支行</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帐  号：500103011018001201702。</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帐户名称：重庆建桥实业发展有限公司</w:t>
      </w:r>
    </w:p>
    <w:p>
      <w:pPr>
        <w:spacing w:line="360" w:lineRule="auto"/>
        <w:ind w:firstLine="352" w:firstLineChars="147"/>
        <w:rPr>
          <w:rFonts w:hint="eastAsia" w:ascii="宋体" w:hAnsi="宋体" w:cs="宋体"/>
          <w:b w:val="0"/>
          <w:color w:val="auto"/>
          <w:sz w:val="24"/>
          <w:szCs w:val="24"/>
        </w:rPr>
      </w:pPr>
      <w:r>
        <w:rPr>
          <w:rFonts w:hint="eastAsia" w:ascii="宋体" w:hAnsi="宋体" w:cs="宋体"/>
          <w:b w:val="0"/>
          <w:color w:val="auto"/>
          <w:sz w:val="24"/>
          <w:szCs w:val="24"/>
        </w:rPr>
        <w:t>退还时间：</w:t>
      </w:r>
      <w:r>
        <w:rPr>
          <w:rFonts w:hint="eastAsia" w:ascii="宋体" w:hAnsi="宋体" w:cs="宋体"/>
          <w:b w:val="0"/>
          <w:color w:val="auto"/>
          <w:sz w:val="24"/>
          <w:szCs w:val="24"/>
          <w:lang w:eastAsia="zh-CN"/>
        </w:rPr>
        <w:t>项目服务期满后</w:t>
      </w:r>
      <w:r>
        <w:rPr>
          <w:rFonts w:hint="eastAsia" w:ascii="宋体" w:hAnsi="宋体" w:cs="宋体"/>
          <w:b w:val="0"/>
          <w:color w:val="auto"/>
          <w:sz w:val="24"/>
          <w:szCs w:val="24"/>
        </w:rPr>
        <w:t>30日内返还履约保证金的100%（不计息）。</w:t>
      </w:r>
    </w:p>
    <w:p>
      <w:pPr>
        <w:spacing w:line="360" w:lineRule="auto"/>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七、</w:t>
      </w:r>
      <w:bookmarkEnd w:id="9"/>
      <w:bookmarkEnd w:id="12"/>
      <w:bookmarkStart w:id="14" w:name="_Toc480466698"/>
      <w:bookmarkStart w:id="15" w:name="_Toc479668114"/>
      <w:r>
        <w:rPr>
          <w:rFonts w:hint="eastAsia" w:ascii="宋体" w:hAnsi="宋体" w:eastAsia="宋体" w:cs="宋体"/>
          <w:b/>
          <w:color w:val="auto"/>
          <w:kern w:val="2"/>
          <w:sz w:val="24"/>
          <w:szCs w:val="24"/>
          <w:lang w:val="en-US" w:eastAsia="zh-CN" w:bidi="ar-SA"/>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（四）按照《三部门联合发布关于促进残疾人就业政府采购政策的通知》（财库〔2017〕 141号）的规定，落实支持残疾人福利性单位发展政策。</w:t>
      </w:r>
    </w:p>
    <w:p>
      <w:pPr>
        <w:pStyle w:val="3"/>
        <w:spacing w:line="360" w:lineRule="auto"/>
        <w:rPr>
          <w:rFonts w:ascii="宋体" w:hAnsi="宋体" w:cs="宋体"/>
          <w:color w:val="auto"/>
          <w:sz w:val="24"/>
          <w:szCs w:val="24"/>
        </w:rPr>
      </w:pPr>
      <w:bookmarkStart w:id="16" w:name="_Toc54278974"/>
      <w:bookmarkStart w:id="17" w:name="_Toc480466699"/>
      <w:r>
        <w:rPr>
          <w:rFonts w:hint="eastAsia" w:ascii="宋体" w:hAnsi="宋体" w:cs="宋体"/>
          <w:color w:val="auto"/>
          <w:sz w:val="24"/>
          <w:szCs w:val="24"/>
        </w:rPr>
        <w:t>八、其它有关规定</w:t>
      </w:r>
      <w:bookmarkEnd w:id="16"/>
      <w:bookmarkEnd w:id="17"/>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（四）超过响应文件截止时间递交的响应文件，恕不接收。</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（六）</w:t>
      </w:r>
      <w:r>
        <w:rPr>
          <w:rFonts w:hint="eastAsia" w:ascii="宋体" w:hAnsi="宋体" w:cs="宋体"/>
          <w:b/>
          <w:color w:val="auto"/>
          <w:sz w:val="24"/>
          <w:szCs w:val="24"/>
        </w:rPr>
        <w:t>本项目不接受联合体参与磋商。</w:t>
      </w:r>
    </w:p>
    <w:p>
      <w:pPr>
        <w:snapToGrid w:val="0"/>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（七）</w:t>
      </w:r>
      <w:bookmarkStart w:id="18" w:name="_Toc480466700"/>
      <w:r>
        <w:rPr>
          <w:rFonts w:hint="eastAsia" w:ascii="宋体" w:hAnsi="宋体" w:cs="宋体"/>
          <w:color w:val="auto"/>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spacing w:line="360" w:lineRule="auto"/>
        <w:rPr>
          <w:rFonts w:ascii="宋体" w:hAnsi="宋体" w:cs="宋体"/>
          <w:color w:val="auto"/>
          <w:sz w:val="24"/>
          <w:szCs w:val="24"/>
        </w:rPr>
      </w:pPr>
      <w:bookmarkStart w:id="19" w:name="_Toc54278975"/>
      <w:r>
        <w:rPr>
          <w:rFonts w:hint="eastAsia" w:ascii="宋体" w:hAnsi="宋体" w:cs="宋体"/>
          <w:color w:val="auto"/>
          <w:sz w:val="24"/>
          <w:szCs w:val="24"/>
        </w:rPr>
        <w:t>九、联系方式</w:t>
      </w:r>
      <w:bookmarkEnd w:id="18"/>
      <w:bookmarkEnd w:id="19"/>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采购人：</w:t>
      </w:r>
      <w:bookmarkStart w:id="106" w:name="_GoBack"/>
      <w:bookmarkEnd w:id="106"/>
      <w:r>
        <w:rPr>
          <w:rFonts w:hint="eastAsia" w:ascii="宋体" w:hAnsi="宋体" w:cs="宋体"/>
          <w:color w:val="auto"/>
          <w:sz w:val="24"/>
          <w:szCs w:val="24"/>
          <w:highlight w:val="none"/>
        </w:rPr>
        <w:t xml:space="preserve">重庆建桥实业发展有限公司 </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联系人：李老师</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电  话：023-68955002</w:t>
      </w:r>
      <w:bookmarkStart w:id="20" w:name="_Toc54278977"/>
    </w:p>
    <w:p>
      <w:pPr>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s="宋体"/>
          <w:color w:val="auto"/>
          <w:sz w:val="36"/>
          <w:szCs w:val="30"/>
        </w:rPr>
      </w:pPr>
      <w:r>
        <w:rPr>
          <w:rFonts w:hint="eastAsia" w:ascii="宋体" w:hAnsi="宋体" w:cs="宋体"/>
          <w:color w:val="auto"/>
          <w:sz w:val="24"/>
          <w:szCs w:val="24"/>
          <w:highlight w:val="none"/>
        </w:rPr>
        <w:t>地  址：重庆市大渡口区田西路中冶熙城商街1号楼1楼</w:t>
      </w:r>
    </w:p>
    <w:p>
      <w:pPr>
        <w:rPr>
          <w:color w:val="auto"/>
        </w:rPr>
      </w:pPr>
    </w:p>
    <w:p>
      <w:pPr>
        <w:pStyle w:val="2"/>
        <w:spacing w:line="360" w:lineRule="auto"/>
        <w:jc w:val="center"/>
        <w:rPr>
          <w:rFonts w:ascii="宋体" w:hAnsi="宋体" w:eastAsia="宋体" w:cs="宋体"/>
          <w:b w:val="0"/>
          <w:color w:val="auto"/>
          <w:sz w:val="30"/>
          <w:szCs w:val="30"/>
        </w:rPr>
      </w:pPr>
      <w:r>
        <w:rPr>
          <w:rFonts w:hint="eastAsia" w:ascii="宋体" w:hAnsi="宋体" w:eastAsia="宋体" w:cs="宋体"/>
          <w:b w:val="0"/>
          <w:color w:val="auto"/>
          <w:sz w:val="36"/>
          <w:szCs w:val="30"/>
        </w:rPr>
        <w:t>第二篇  项目服务需求</w:t>
      </w:r>
      <w:bookmarkEnd w:id="2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color w:val="auto"/>
          <w:sz w:val="24"/>
          <w:szCs w:val="24"/>
        </w:rPr>
      </w:pPr>
      <w:bookmarkStart w:id="21" w:name="_Toc12789058"/>
      <w:r>
        <w:rPr>
          <w:rFonts w:hint="eastAsia" w:ascii="宋体" w:hAnsi="宋体" w:cs="宋体"/>
          <w:b/>
          <w:bCs/>
          <w:color w:val="auto"/>
          <w:sz w:val="24"/>
          <w:szCs w:val="24"/>
        </w:rPr>
        <w:t>1.建设地点：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rPr>
      </w:pPr>
      <w:r>
        <w:rPr>
          <w:rFonts w:hint="eastAsia" w:ascii="宋体" w:hAnsi="宋体" w:cs="宋体"/>
          <w:color w:val="auto"/>
          <w:sz w:val="24"/>
          <w:szCs w:val="24"/>
        </w:rPr>
        <w:t>重庆市大渡口区。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val="0"/>
          <w:color w:val="auto"/>
          <w:kern w:val="2"/>
          <w:sz w:val="24"/>
          <w:szCs w:val="24"/>
          <w:lang w:val="en-US" w:eastAsia="zh-CN" w:bidi="ar-SA"/>
        </w:rPr>
      </w:pPr>
      <w:r>
        <w:rPr>
          <w:rFonts w:hint="eastAsia" w:ascii="宋体" w:hAnsi="宋体" w:cs="宋体"/>
          <w:b/>
          <w:bCs/>
          <w:color w:val="auto"/>
          <w:sz w:val="24"/>
          <w:szCs w:val="24"/>
        </w:rPr>
        <w:t>建设规模：</w:t>
      </w:r>
      <w:bookmarkStart w:id="22" w:name="_Toc54278984"/>
    </w:p>
    <w:p>
      <w:pPr>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本项目抢险治理范围包含西侧边坡和北段。西侧边坡分为AB段和BC段，其中：AB段长66m，边坡高度17.5～19m ，采用锚索挡墙支护；BC段长112m，边坡高度22～38m ，下部采用锚索挡墙支护，上部采用锚索格梁放坡。北段长度约llOm,采用锚杆格构，面积约760 m²。项目配套实施绿化3300m²、截洪沟400m。</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项目清单：</w:t>
      </w:r>
    </w:p>
    <w:tbl>
      <w:tblPr>
        <w:tblStyle w:val="12"/>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21"/>
        <w:gridCol w:w="2553"/>
        <w:gridCol w:w="803"/>
        <w:gridCol w:w="1678"/>
        <w:gridCol w:w="178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检测项目</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检测数量</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全费用综合单价最高限价（元）</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原材料</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回填料击实试验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钢塑复合缠绕排水管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软式透水管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塑料排水板</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土工布</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塑料土工格室</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镀锌钢管、矩管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钢绞线力学性能</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钢绞线静载锚固性能试验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锚夹具外观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锚夹具硬度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机械连接工艺试验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机械连接拉伸</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钢筋焊接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烧结页岩砖</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M30锚杆砂浆配合比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陶粒</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砂浆试块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植筋胶</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基础</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桩身完整性（声波透射法）</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岩芯单轴抗压强度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地基承载力（动力触探）</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桩水平承载力</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锚索、锚杆</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锚索验收试验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锚杆验收试验（φ32）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锚杆注浆密实度（φ32）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锚杆拉拔（φ14和φ16）</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结构实体</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混凝土强度（回弹）</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钢筋保护层厚度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钢筋数量</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钢筋间距</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植筋拉拔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沟槽管网回填</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78"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50"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压实度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管道闭水试验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段</w:t>
            </w:r>
          </w:p>
        </w:tc>
        <w:tc>
          <w:tcPr>
            <w:tcW w:w="167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二维码购买</w:t>
            </w:r>
          </w:p>
        </w:tc>
        <w:tc>
          <w:tcPr>
            <w:tcW w:w="80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1678"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1785"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1950"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项目包干，不另行计费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7440" w:type="dxa"/>
            <w:gridSpan w:val="5"/>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合计（元）</w:t>
            </w:r>
          </w:p>
        </w:tc>
        <w:tc>
          <w:tcPr>
            <w:tcW w:w="195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383070</w:t>
            </w:r>
          </w:p>
        </w:tc>
      </w:tr>
    </w:tbl>
    <w:p>
      <w:pPr>
        <w:pStyle w:val="10"/>
        <w:rPr>
          <w:rFonts w:hint="default"/>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rPr>
          <w:rFonts w:hint="eastAsia"/>
          <w:color w:val="auto"/>
          <w:lang w:val="en-US" w:eastAsia="zh-CN"/>
        </w:rPr>
      </w:pPr>
    </w:p>
    <w:p>
      <w:pPr>
        <w:pStyle w:val="10"/>
        <w:rPr>
          <w:rFonts w:hint="eastAsia"/>
          <w:color w:val="auto"/>
          <w:lang w:val="en-US" w:eastAsia="zh-CN"/>
        </w:rPr>
      </w:pPr>
    </w:p>
    <w:p>
      <w:pPr>
        <w:pStyle w:val="2"/>
        <w:spacing w:line="360" w:lineRule="auto"/>
        <w:jc w:val="center"/>
        <w:rPr>
          <w:rFonts w:hint="eastAsia" w:ascii="宋体" w:hAnsi="宋体" w:eastAsia="宋体" w:cs="宋体"/>
          <w:b w:val="0"/>
          <w:color w:val="auto"/>
          <w:kern w:val="2"/>
          <w:sz w:val="24"/>
          <w:szCs w:val="24"/>
          <w:lang w:val="en-US" w:eastAsia="zh-CN" w:bidi="ar-SA"/>
        </w:rPr>
      </w:pPr>
    </w:p>
    <w:p>
      <w:pPr>
        <w:pStyle w:val="2"/>
        <w:spacing w:line="360" w:lineRule="auto"/>
        <w:jc w:val="center"/>
        <w:rPr>
          <w:rFonts w:ascii="宋体" w:hAnsi="宋体" w:eastAsia="宋体" w:cs="宋体"/>
          <w:b w:val="0"/>
          <w:color w:val="auto"/>
          <w:sz w:val="36"/>
          <w:szCs w:val="30"/>
        </w:rPr>
      </w:pPr>
      <w:r>
        <w:rPr>
          <w:rFonts w:hint="eastAsia" w:ascii="宋体" w:hAnsi="宋体" w:eastAsia="宋体" w:cs="宋体"/>
          <w:b w:val="0"/>
          <w:color w:val="auto"/>
          <w:sz w:val="36"/>
          <w:szCs w:val="30"/>
        </w:rPr>
        <w:t xml:space="preserve">第三篇  </w:t>
      </w:r>
      <w:bookmarkEnd w:id="21"/>
      <w:r>
        <w:rPr>
          <w:rFonts w:hint="eastAsia" w:ascii="宋体" w:hAnsi="宋体" w:eastAsia="宋体" w:cs="宋体"/>
          <w:b w:val="0"/>
          <w:color w:val="auto"/>
          <w:sz w:val="36"/>
          <w:szCs w:val="30"/>
        </w:rPr>
        <w:t>项目商务需求</w:t>
      </w:r>
      <w:bookmarkEnd w:id="22"/>
    </w:p>
    <w:p>
      <w:pPr>
        <w:pStyle w:val="3"/>
        <w:spacing w:line="440" w:lineRule="exact"/>
        <w:rPr>
          <w:rFonts w:ascii="宋体" w:hAnsi="宋体" w:cs="宋体"/>
          <w:color w:val="auto"/>
          <w:sz w:val="24"/>
          <w:szCs w:val="24"/>
        </w:rPr>
      </w:pPr>
      <w:bookmarkStart w:id="23" w:name="_Toc54278985"/>
      <w:bookmarkStart w:id="24" w:name="_Toc344475120"/>
      <w:r>
        <w:rPr>
          <w:rFonts w:hint="eastAsia" w:ascii="宋体" w:hAnsi="宋体" w:cs="宋体"/>
          <w:color w:val="auto"/>
          <w:sz w:val="24"/>
          <w:szCs w:val="24"/>
        </w:rPr>
        <w:t>一、服务期、</w:t>
      </w:r>
      <w:r>
        <w:rPr>
          <w:rFonts w:hint="eastAsia" w:ascii="宋体" w:hAnsi="宋体" w:cs="宋体"/>
          <w:color w:val="auto"/>
          <w:sz w:val="24"/>
          <w:szCs w:val="24"/>
          <w:lang w:eastAsia="zh-CN"/>
        </w:rPr>
        <w:t>服务内容、</w:t>
      </w:r>
      <w:r>
        <w:rPr>
          <w:rFonts w:hint="eastAsia" w:ascii="宋体" w:hAnsi="宋体" w:cs="宋体"/>
          <w:color w:val="auto"/>
          <w:sz w:val="24"/>
          <w:szCs w:val="24"/>
        </w:rPr>
        <w:t>地点及验收方式</w:t>
      </w:r>
      <w:bookmarkEnd w:id="23"/>
      <w:bookmarkEnd w:id="24"/>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（一）服务期：暂定</w:t>
      </w:r>
      <w:r>
        <w:rPr>
          <w:rFonts w:hint="eastAsia" w:ascii="宋体" w:hAnsi="宋体" w:cs="宋体"/>
          <w:color w:val="auto"/>
          <w:sz w:val="24"/>
          <w:szCs w:val="24"/>
          <w:lang w:val="en-US" w:eastAsia="zh-CN"/>
        </w:rPr>
        <w:t>18</w:t>
      </w:r>
      <w:r>
        <w:rPr>
          <w:rFonts w:hint="eastAsia" w:ascii="宋体" w:hAnsi="宋体" w:cs="宋体"/>
          <w:color w:val="auto"/>
          <w:sz w:val="24"/>
          <w:szCs w:val="24"/>
        </w:rPr>
        <w:t>0日历天。本项目工作服务期限以甲方下达的开工通知书为准，依据施工进度按相关要求完成质量检测工作。</w:t>
      </w:r>
    </w:p>
    <w:p>
      <w:pPr>
        <w:spacing w:line="540" w:lineRule="exact"/>
        <w:ind w:firstLine="480" w:firstLineChars="200"/>
        <w:jc w:val="left"/>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（二）服务内容：本工程主要涉及检测项有：钢筋、混凝土、钢绞线、锚具夹具、桩身完整性、桩端地基承载力、桩水平承载力、锚索及锚杆相关试验等。</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eastAsia="zh-CN"/>
        </w:rPr>
        <w:t>三</w:t>
      </w:r>
      <w:r>
        <w:rPr>
          <w:rFonts w:hint="eastAsia" w:ascii="宋体" w:hAnsi="宋体" w:cs="宋体"/>
          <w:color w:val="auto"/>
          <w:sz w:val="24"/>
          <w:szCs w:val="24"/>
        </w:rPr>
        <w:t>）服务地点：采购人指定地点。</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eastAsia="zh-CN"/>
        </w:rPr>
        <w:t>四</w:t>
      </w:r>
      <w:r>
        <w:rPr>
          <w:rFonts w:hint="eastAsia" w:ascii="宋体" w:hAnsi="宋体" w:cs="宋体"/>
          <w:color w:val="auto"/>
          <w:sz w:val="24"/>
          <w:szCs w:val="24"/>
        </w:rPr>
        <w:t>）验收方式及标准</w:t>
      </w:r>
      <w:bookmarkStart w:id="25" w:name="_Toc344475121"/>
      <w:bookmarkStart w:id="26" w:name="_Toc54278986"/>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1、由采购人自行验收；</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2、竞标人提供的服务未达到竞争性磋商文件规定要求，且对采购人造成损失的，由竞标人承担一切责任，并赔偿所造成的损失。</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3、达到国家现行有关施工质量验收规范要求，并达到合格标准，设计文件应满足国家、行业、地区有关规定及设计标准、规范、规程、定额和办法等的要求及行业设计深度规定要求，满足招标人要求。</w:t>
      </w:r>
    </w:p>
    <w:p>
      <w:pPr>
        <w:pStyle w:val="3"/>
        <w:spacing w:line="400" w:lineRule="exact"/>
        <w:rPr>
          <w:rFonts w:ascii="宋体" w:hAnsi="宋体" w:cs="宋体"/>
          <w:color w:val="auto"/>
          <w:sz w:val="24"/>
          <w:szCs w:val="24"/>
        </w:rPr>
      </w:pPr>
      <w:r>
        <w:rPr>
          <w:rFonts w:hint="eastAsia" w:ascii="宋体" w:hAnsi="宋体" w:cs="宋体"/>
          <w:color w:val="auto"/>
          <w:sz w:val="24"/>
          <w:szCs w:val="24"/>
        </w:rPr>
        <w:t>二、</w:t>
      </w:r>
      <w:bookmarkEnd w:id="25"/>
      <w:r>
        <w:rPr>
          <w:rFonts w:hint="eastAsia" w:ascii="宋体" w:hAnsi="宋体" w:cs="宋体"/>
          <w:color w:val="auto"/>
          <w:sz w:val="24"/>
          <w:szCs w:val="24"/>
        </w:rPr>
        <w:t>报价要求</w:t>
      </w:r>
      <w:bookmarkEnd w:id="26"/>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（一）最高限价</w:t>
      </w:r>
    </w:p>
    <w:p>
      <w:pPr>
        <w:spacing w:line="540" w:lineRule="exact"/>
        <w:ind w:firstLine="480" w:firstLineChars="200"/>
        <w:jc w:val="left"/>
        <w:rPr>
          <w:rFonts w:hint="eastAsia" w:ascii="宋体" w:hAnsi="宋体" w:cs="宋体"/>
          <w:color w:val="auto"/>
          <w:sz w:val="24"/>
          <w:szCs w:val="24"/>
          <w:lang w:eastAsia="zh-CN"/>
        </w:rPr>
      </w:pPr>
      <w:bookmarkStart w:id="27" w:name="_Toc54278994"/>
      <w:r>
        <w:rPr>
          <w:rFonts w:hint="eastAsia" w:ascii="宋体" w:hAnsi="宋体" w:cs="宋体"/>
          <w:color w:val="auto"/>
          <w:sz w:val="24"/>
          <w:szCs w:val="24"/>
        </w:rPr>
        <w:t>本项目</w:t>
      </w:r>
      <w:r>
        <w:rPr>
          <w:rFonts w:hint="eastAsia" w:ascii="宋体" w:hAnsi="宋体" w:cs="宋体"/>
          <w:color w:val="auto"/>
          <w:sz w:val="24"/>
          <w:szCs w:val="24"/>
          <w:lang w:eastAsia="zh-CN"/>
        </w:rPr>
        <w:t>采用全费用综合单价包干报价，各项清单最高单价限价详见“第二篇”，该费用包含但不限于完成本项目所需的人工、材料、机械、风险、利润、税金等一切费用。投标人的投标报价均不得超过单价最高限价及总价最高限价。</w:t>
      </w:r>
    </w:p>
    <w:p>
      <w:pPr>
        <w:spacing w:line="400" w:lineRule="exact"/>
        <w:rPr>
          <w:rFonts w:ascii="宋体" w:hAnsi="宋体" w:cs="宋体"/>
          <w:b/>
          <w:color w:val="auto"/>
          <w:sz w:val="24"/>
          <w:szCs w:val="24"/>
        </w:rPr>
      </w:pPr>
      <w:r>
        <w:rPr>
          <w:rFonts w:hint="eastAsia" w:ascii="宋体" w:hAnsi="宋体" w:cs="宋体"/>
          <w:b/>
          <w:color w:val="auto"/>
          <w:sz w:val="24"/>
          <w:szCs w:val="24"/>
        </w:rPr>
        <w:t>三、结算原则</w:t>
      </w:r>
    </w:p>
    <w:p>
      <w:pPr>
        <w:spacing w:line="540" w:lineRule="exact"/>
        <w:ind w:firstLine="480" w:firstLineChars="200"/>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合同结算金额=完成数量</w:t>
      </w:r>
      <w:r>
        <w:rPr>
          <w:rFonts w:hint="eastAsia" w:ascii="宋体" w:hAnsi="宋体" w:cs="宋体"/>
          <w:color w:val="auto"/>
          <w:sz w:val="24"/>
          <w:szCs w:val="24"/>
          <w:lang w:val="en-US" w:eastAsia="zh-CN"/>
        </w:rPr>
        <w:t>×成交单价</w:t>
      </w:r>
      <w:r>
        <w:rPr>
          <w:rFonts w:hint="eastAsia" w:ascii="宋体" w:hAnsi="宋体" w:cs="宋体"/>
          <w:color w:val="auto"/>
          <w:sz w:val="24"/>
          <w:szCs w:val="24"/>
          <w:lang w:eastAsia="zh-CN"/>
        </w:rPr>
        <w:t>-违约金</w:t>
      </w:r>
    </w:p>
    <w:p>
      <w:pPr>
        <w:spacing w:line="540" w:lineRule="exact"/>
        <w:ind w:firstLine="480" w:firstLineChars="200"/>
        <w:jc w:val="left"/>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）成交单价将由报价文件（第一轮报价）中的清单价格按照实际报价下浮比例【下浮比例=1-（现场总报价）/（报价文件总报价）*100%】同比例下浮进行计算。</w:t>
      </w:r>
    </w:p>
    <w:p>
      <w:pPr>
        <w:spacing w:line="540" w:lineRule="exact"/>
        <w:ind w:firstLine="480" w:firstLineChars="200"/>
        <w:jc w:val="left"/>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（2）结算时高于项目清单的检测数量，以项目清单的检测数量进行结算；低于项目清单的检测数量，以实际检测数量进行结算。清单中未包含的检测项目，由各投标人自行考虑，采购人不再另行计费。</w:t>
      </w:r>
    </w:p>
    <w:p>
      <w:pPr>
        <w:spacing w:line="400" w:lineRule="exact"/>
        <w:rPr>
          <w:rFonts w:ascii="宋体" w:hAnsi="宋体" w:cs="宋体"/>
          <w:b/>
          <w:color w:val="auto"/>
          <w:sz w:val="24"/>
          <w:szCs w:val="24"/>
        </w:rPr>
      </w:pPr>
      <w:r>
        <w:rPr>
          <w:rFonts w:hint="eastAsia" w:ascii="宋体" w:hAnsi="宋体" w:cs="宋体"/>
          <w:b/>
          <w:color w:val="auto"/>
          <w:sz w:val="24"/>
          <w:szCs w:val="24"/>
        </w:rPr>
        <w:t>四、付款方式</w:t>
      </w:r>
    </w:p>
    <w:p>
      <w:pPr>
        <w:spacing w:line="540" w:lineRule="exact"/>
        <w:ind w:firstLine="480" w:firstLineChars="200"/>
        <w:jc w:val="left"/>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合同签订后30日内，支付合同暂定金额30%的预付款；剩余费用在项目完成所有检测内容并完成结算后30日内一次性支付。</w:t>
      </w:r>
    </w:p>
    <w:p>
      <w:pPr>
        <w:spacing w:line="540" w:lineRule="exact"/>
        <w:ind w:firstLine="720" w:firstLineChars="300"/>
        <w:jc w:val="left"/>
        <w:rPr>
          <w:rFonts w:hint="default" w:ascii="宋体" w:hAnsi="宋体" w:eastAsia="宋体" w:cs="宋体"/>
          <w:color w:val="auto"/>
          <w:sz w:val="24"/>
          <w:szCs w:val="24"/>
          <w:lang w:val="en-US" w:eastAsia="zh-CN"/>
        </w:rPr>
      </w:pPr>
      <w:r>
        <w:rPr>
          <w:rFonts w:hint="eastAsia" w:ascii="宋体" w:hAnsi="宋体" w:cs="宋体"/>
          <w:color w:val="auto"/>
          <w:sz w:val="24"/>
          <w:szCs w:val="24"/>
        </w:rPr>
        <w:t>备注：违约金在每次支付进度款时扣除。</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lang w:eastAsia="zh-CN"/>
        </w:rPr>
        <w:t>委托人</w:t>
      </w:r>
      <w:r>
        <w:rPr>
          <w:rFonts w:hint="eastAsia" w:ascii="宋体" w:hAnsi="宋体" w:cs="宋体"/>
          <w:color w:val="auto"/>
          <w:sz w:val="24"/>
          <w:szCs w:val="24"/>
        </w:rPr>
        <w:t>向</w:t>
      </w:r>
      <w:r>
        <w:rPr>
          <w:rFonts w:hint="eastAsia" w:ascii="宋体" w:hAnsi="宋体" w:cs="宋体"/>
          <w:color w:val="auto"/>
          <w:sz w:val="24"/>
          <w:szCs w:val="24"/>
          <w:lang w:eastAsia="zh-CN"/>
        </w:rPr>
        <w:t>受托人</w:t>
      </w:r>
      <w:r>
        <w:rPr>
          <w:rFonts w:hint="eastAsia" w:ascii="宋体" w:hAnsi="宋体" w:cs="宋体"/>
          <w:color w:val="auto"/>
          <w:sz w:val="24"/>
          <w:szCs w:val="24"/>
        </w:rPr>
        <w:t>支付费用前，</w:t>
      </w:r>
      <w:r>
        <w:rPr>
          <w:rFonts w:hint="eastAsia" w:ascii="宋体" w:hAnsi="宋体" w:cs="宋体"/>
          <w:color w:val="auto"/>
          <w:sz w:val="24"/>
          <w:szCs w:val="24"/>
          <w:lang w:eastAsia="zh-CN"/>
        </w:rPr>
        <w:t>受托人</w:t>
      </w:r>
      <w:r>
        <w:rPr>
          <w:rFonts w:hint="eastAsia" w:ascii="宋体" w:hAnsi="宋体" w:cs="宋体"/>
          <w:color w:val="auto"/>
          <w:sz w:val="24"/>
          <w:szCs w:val="24"/>
        </w:rPr>
        <w:t>应向</w:t>
      </w:r>
      <w:r>
        <w:rPr>
          <w:rFonts w:hint="eastAsia" w:ascii="宋体" w:hAnsi="宋体" w:cs="宋体"/>
          <w:color w:val="auto"/>
          <w:sz w:val="24"/>
          <w:szCs w:val="24"/>
          <w:lang w:eastAsia="zh-CN"/>
        </w:rPr>
        <w:t>委托人</w:t>
      </w:r>
      <w:r>
        <w:rPr>
          <w:rFonts w:hint="eastAsia" w:ascii="宋体" w:hAnsi="宋体" w:cs="宋体"/>
          <w:color w:val="auto"/>
          <w:sz w:val="24"/>
          <w:szCs w:val="24"/>
        </w:rPr>
        <w:t>提供合法的符合合同约定金额的增值税</w:t>
      </w:r>
      <w:r>
        <w:rPr>
          <w:rFonts w:hint="eastAsia" w:ascii="宋体" w:hAnsi="宋体" w:cs="宋体"/>
          <w:color w:val="auto"/>
          <w:sz w:val="24"/>
          <w:szCs w:val="24"/>
          <w:lang w:eastAsia="zh-CN"/>
        </w:rPr>
        <w:t>专用</w:t>
      </w:r>
      <w:r>
        <w:rPr>
          <w:rFonts w:hint="eastAsia" w:ascii="宋体" w:hAnsi="宋体" w:cs="宋体"/>
          <w:color w:val="auto"/>
          <w:sz w:val="24"/>
          <w:szCs w:val="24"/>
        </w:rPr>
        <w:t>发票，否则</w:t>
      </w:r>
      <w:r>
        <w:rPr>
          <w:rFonts w:hint="eastAsia" w:ascii="宋体" w:hAnsi="宋体" w:cs="宋体"/>
          <w:color w:val="auto"/>
          <w:sz w:val="24"/>
          <w:szCs w:val="24"/>
          <w:lang w:eastAsia="zh-CN"/>
        </w:rPr>
        <w:t>委托人</w:t>
      </w:r>
      <w:r>
        <w:rPr>
          <w:rFonts w:hint="eastAsia" w:ascii="宋体" w:hAnsi="宋体" w:cs="宋体"/>
          <w:color w:val="auto"/>
          <w:sz w:val="24"/>
          <w:szCs w:val="24"/>
        </w:rPr>
        <w:t>有权拒绝支付，由此造成的损失</w:t>
      </w:r>
      <w:r>
        <w:rPr>
          <w:rFonts w:hint="eastAsia" w:ascii="宋体" w:hAnsi="宋体" w:cs="宋体"/>
          <w:color w:val="auto"/>
          <w:sz w:val="24"/>
          <w:szCs w:val="24"/>
          <w:lang w:eastAsia="zh-CN"/>
        </w:rPr>
        <w:t>受托人</w:t>
      </w:r>
      <w:r>
        <w:rPr>
          <w:rFonts w:hint="eastAsia" w:ascii="宋体" w:hAnsi="宋体" w:cs="宋体"/>
          <w:color w:val="auto"/>
          <w:sz w:val="24"/>
          <w:szCs w:val="24"/>
        </w:rPr>
        <w:t>自行承担。</w:t>
      </w:r>
    </w:p>
    <w:p>
      <w:pPr>
        <w:spacing w:line="540" w:lineRule="exact"/>
        <w:jc w:val="left"/>
        <w:rPr>
          <w:rFonts w:ascii="宋体" w:hAnsi="宋体" w:cs="宋体"/>
          <w:b/>
          <w:color w:val="auto"/>
          <w:sz w:val="24"/>
          <w:szCs w:val="24"/>
        </w:rPr>
      </w:pPr>
      <w:r>
        <w:rPr>
          <w:rFonts w:hint="eastAsia" w:ascii="宋体" w:hAnsi="宋体" w:cs="宋体"/>
          <w:b/>
          <w:color w:val="auto"/>
          <w:sz w:val="24"/>
          <w:szCs w:val="24"/>
        </w:rPr>
        <w:t>五、知识产权</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（二）涉及软件开发等服务类项目知识产权的，知识产权归采购人所有。</w:t>
      </w:r>
    </w:p>
    <w:p>
      <w:pPr>
        <w:spacing w:line="540" w:lineRule="exact"/>
        <w:jc w:val="left"/>
        <w:rPr>
          <w:rFonts w:ascii="宋体" w:hAnsi="宋体" w:cs="宋体"/>
          <w:b/>
          <w:color w:val="auto"/>
          <w:sz w:val="24"/>
          <w:szCs w:val="24"/>
        </w:rPr>
      </w:pPr>
      <w:r>
        <w:rPr>
          <w:rFonts w:hint="eastAsia" w:ascii="宋体" w:hAnsi="宋体" w:cs="宋体"/>
          <w:b/>
          <w:color w:val="auto"/>
          <w:sz w:val="24"/>
          <w:szCs w:val="24"/>
        </w:rPr>
        <w:t>六、其他</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（一）竞标人必须在响应文件中对以上条款和服务承诺明确列出，承诺内容必须达到本篇及竞争性磋商文件其他条款的要求。</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rPr>
        <w:t>（二）</w:t>
      </w:r>
      <w:r>
        <w:rPr>
          <w:rFonts w:hint="eastAsia" w:ascii="宋体" w:hAnsi="宋体" w:cs="宋体"/>
          <w:color w:val="auto"/>
          <w:sz w:val="24"/>
          <w:szCs w:val="24"/>
          <w:lang w:eastAsia="zh-CN"/>
        </w:rPr>
        <w:t>中标人</w:t>
      </w:r>
      <w:r>
        <w:rPr>
          <w:rFonts w:hint="eastAsia" w:ascii="宋体" w:hAnsi="宋体" w:cs="宋体"/>
          <w:color w:val="auto"/>
          <w:sz w:val="24"/>
          <w:szCs w:val="24"/>
        </w:rPr>
        <w:t>应在收到</w:t>
      </w:r>
      <w:r>
        <w:rPr>
          <w:rFonts w:hint="eastAsia" w:ascii="宋体" w:hAnsi="宋体" w:cs="宋体"/>
          <w:color w:val="auto"/>
          <w:sz w:val="24"/>
          <w:szCs w:val="24"/>
          <w:lang w:eastAsia="zh-CN"/>
        </w:rPr>
        <w:t>采购人</w:t>
      </w:r>
      <w:r>
        <w:rPr>
          <w:rFonts w:hint="eastAsia" w:ascii="宋体" w:hAnsi="宋体" w:cs="宋体"/>
          <w:color w:val="auto"/>
          <w:sz w:val="24"/>
          <w:szCs w:val="24"/>
        </w:rPr>
        <w:t>通知后（包括但不限于电话、短信、微信或函件）3天内进场检测，检测完毕后的第二天告知</w:t>
      </w:r>
      <w:r>
        <w:rPr>
          <w:rFonts w:hint="eastAsia" w:ascii="宋体" w:hAnsi="宋体" w:cs="宋体"/>
          <w:color w:val="auto"/>
          <w:sz w:val="24"/>
          <w:szCs w:val="24"/>
          <w:lang w:eastAsia="zh-CN"/>
        </w:rPr>
        <w:t>采购人</w:t>
      </w:r>
      <w:r>
        <w:rPr>
          <w:rFonts w:hint="eastAsia" w:ascii="宋体" w:hAnsi="宋体" w:cs="宋体"/>
          <w:color w:val="auto"/>
          <w:sz w:val="24"/>
          <w:szCs w:val="24"/>
        </w:rPr>
        <w:t>检测结果，并在检测后</w:t>
      </w:r>
      <w:r>
        <w:rPr>
          <w:rFonts w:hint="eastAsia" w:ascii="宋体" w:hAnsi="宋体" w:cs="宋体"/>
          <w:color w:val="auto"/>
          <w:sz w:val="24"/>
          <w:szCs w:val="24"/>
          <w:lang w:val="en-US" w:eastAsia="zh-CN"/>
        </w:rPr>
        <w:t>14</w:t>
      </w:r>
      <w:r>
        <w:rPr>
          <w:rFonts w:hint="eastAsia" w:ascii="宋体" w:hAnsi="宋体" w:cs="宋体"/>
          <w:color w:val="auto"/>
          <w:sz w:val="24"/>
          <w:szCs w:val="24"/>
        </w:rPr>
        <w:t>天内提交正式检测报告，急件在符合检测规范的前提下</w:t>
      </w:r>
      <w:r>
        <w:rPr>
          <w:rFonts w:hint="eastAsia" w:ascii="宋体" w:hAnsi="宋体" w:cs="宋体"/>
          <w:color w:val="auto"/>
          <w:sz w:val="24"/>
          <w:szCs w:val="24"/>
          <w:lang w:val="en-US" w:eastAsia="zh-CN"/>
        </w:rPr>
        <w:t>3-4</w:t>
      </w:r>
      <w:r>
        <w:rPr>
          <w:rFonts w:hint="eastAsia" w:ascii="宋体" w:hAnsi="宋体" w:cs="宋体"/>
          <w:color w:val="auto"/>
          <w:sz w:val="24"/>
          <w:szCs w:val="24"/>
        </w:rPr>
        <w:t>日内提交正式检测报告，一式两份。</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（三）采购人</w:t>
      </w:r>
      <w:r>
        <w:rPr>
          <w:rFonts w:hint="eastAsia" w:ascii="宋体" w:hAnsi="宋体" w:cs="宋体"/>
          <w:color w:val="auto"/>
          <w:sz w:val="24"/>
          <w:szCs w:val="24"/>
        </w:rPr>
        <w:t>未按时支付检测费用，</w:t>
      </w:r>
      <w:r>
        <w:rPr>
          <w:rFonts w:hint="eastAsia" w:ascii="宋体" w:hAnsi="宋体" w:cs="宋体"/>
          <w:color w:val="auto"/>
          <w:sz w:val="24"/>
          <w:szCs w:val="24"/>
          <w:lang w:eastAsia="zh-CN"/>
        </w:rPr>
        <w:t>中标人</w:t>
      </w:r>
      <w:r>
        <w:rPr>
          <w:rFonts w:hint="eastAsia" w:ascii="宋体" w:hAnsi="宋体" w:cs="宋体"/>
          <w:color w:val="auto"/>
          <w:sz w:val="24"/>
          <w:szCs w:val="24"/>
        </w:rPr>
        <w:t>有权暂扣检测报告。</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（四）</w:t>
      </w:r>
      <w:r>
        <w:rPr>
          <w:rFonts w:hint="eastAsia" w:ascii="宋体" w:hAnsi="宋体" w:cs="宋体"/>
          <w:color w:val="auto"/>
          <w:sz w:val="24"/>
          <w:szCs w:val="24"/>
        </w:rPr>
        <w:t>因</w:t>
      </w:r>
      <w:r>
        <w:rPr>
          <w:rFonts w:hint="eastAsia" w:ascii="宋体" w:hAnsi="宋体" w:cs="宋体"/>
          <w:color w:val="auto"/>
          <w:sz w:val="24"/>
          <w:szCs w:val="24"/>
          <w:lang w:eastAsia="zh-CN"/>
        </w:rPr>
        <w:t>中标人</w:t>
      </w:r>
      <w:r>
        <w:rPr>
          <w:rFonts w:hint="eastAsia" w:ascii="宋体" w:hAnsi="宋体" w:cs="宋体"/>
          <w:color w:val="auto"/>
          <w:sz w:val="24"/>
          <w:szCs w:val="24"/>
        </w:rPr>
        <w:t>原因，未在约定时间内进场检测，或检测完毕后未在约定时间内提交正式检测报告的，按1000元/次的标准处违约金，在项目</w:t>
      </w:r>
      <w:r>
        <w:rPr>
          <w:rFonts w:hint="eastAsia" w:ascii="宋体" w:hAnsi="宋体" w:cs="宋体"/>
          <w:color w:val="auto"/>
          <w:sz w:val="24"/>
          <w:szCs w:val="24"/>
          <w:lang w:eastAsia="zh-CN"/>
        </w:rPr>
        <w:t>每次支付进度款时</w:t>
      </w:r>
      <w:r>
        <w:rPr>
          <w:rFonts w:hint="eastAsia" w:ascii="宋体" w:hAnsi="宋体" w:cs="宋体"/>
          <w:color w:val="auto"/>
          <w:sz w:val="24"/>
          <w:szCs w:val="24"/>
        </w:rPr>
        <w:t>扣除。</w:t>
      </w:r>
    </w:p>
    <w:p>
      <w:pPr>
        <w:spacing w:line="540" w:lineRule="exact"/>
        <w:ind w:firstLine="480" w:firstLineChars="200"/>
        <w:jc w:val="left"/>
        <w:rPr>
          <w:rFonts w:hint="eastAsia" w:ascii="宋体" w:hAnsi="宋体" w:cs="宋体"/>
          <w:color w:val="auto"/>
          <w:sz w:val="24"/>
          <w:szCs w:val="24"/>
        </w:rPr>
      </w:pPr>
      <w:r>
        <w:rPr>
          <w:rFonts w:hint="eastAsia" w:ascii="宋体" w:hAnsi="宋体" w:cs="宋体"/>
          <w:color w:val="auto"/>
          <w:sz w:val="24"/>
          <w:szCs w:val="24"/>
          <w:lang w:eastAsia="zh-CN"/>
        </w:rPr>
        <w:t>（五）</w:t>
      </w:r>
      <w:r>
        <w:rPr>
          <w:rFonts w:hint="eastAsia" w:ascii="宋体" w:hAnsi="宋体" w:cs="宋体"/>
          <w:color w:val="auto"/>
          <w:sz w:val="24"/>
          <w:szCs w:val="24"/>
        </w:rPr>
        <w:t>因</w:t>
      </w:r>
      <w:r>
        <w:rPr>
          <w:rFonts w:hint="eastAsia" w:ascii="宋体" w:hAnsi="宋体" w:cs="宋体"/>
          <w:color w:val="auto"/>
          <w:sz w:val="24"/>
          <w:szCs w:val="24"/>
          <w:lang w:eastAsia="zh-CN"/>
        </w:rPr>
        <w:t>中标人</w:t>
      </w:r>
      <w:r>
        <w:rPr>
          <w:rFonts w:hint="eastAsia" w:ascii="宋体" w:hAnsi="宋体" w:cs="宋体"/>
          <w:color w:val="auto"/>
          <w:sz w:val="24"/>
          <w:szCs w:val="24"/>
        </w:rPr>
        <w:t>原因，所提供的报告不符合规范要求和有关规定，</w:t>
      </w:r>
      <w:r>
        <w:rPr>
          <w:rFonts w:hint="eastAsia" w:ascii="宋体" w:hAnsi="宋体" w:cs="宋体"/>
          <w:color w:val="auto"/>
          <w:sz w:val="24"/>
          <w:szCs w:val="24"/>
          <w:lang w:eastAsia="zh-CN"/>
        </w:rPr>
        <w:t>中标人</w:t>
      </w:r>
      <w:r>
        <w:rPr>
          <w:rFonts w:hint="eastAsia" w:ascii="宋体" w:hAnsi="宋体" w:cs="宋体"/>
          <w:color w:val="auto"/>
          <w:sz w:val="24"/>
          <w:szCs w:val="24"/>
        </w:rPr>
        <w:t>承担相应损失。</w:t>
      </w:r>
    </w:p>
    <w:p>
      <w:pPr>
        <w:spacing w:line="540" w:lineRule="exact"/>
        <w:ind w:firstLine="480" w:firstLineChars="200"/>
        <w:jc w:val="left"/>
        <w:rPr>
          <w:rFonts w:ascii="宋体" w:hAnsi="宋体" w:cs="宋体"/>
          <w:color w:val="auto"/>
          <w:sz w:val="24"/>
          <w:szCs w:val="24"/>
        </w:rPr>
      </w:pPr>
      <w:r>
        <w:rPr>
          <w:rFonts w:hint="eastAsia" w:ascii="宋体" w:hAnsi="宋体" w:cs="宋体"/>
          <w:color w:val="auto"/>
          <w:sz w:val="24"/>
          <w:szCs w:val="24"/>
          <w:lang w:eastAsia="zh-CN"/>
        </w:rPr>
        <w:t>（六）</w:t>
      </w:r>
      <w:r>
        <w:rPr>
          <w:rFonts w:hint="eastAsia" w:ascii="宋体" w:hAnsi="宋体" w:cs="宋体"/>
          <w:color w:val="auto"/>
          <w:sz w:val="24"/>
          <w:szCs w:val="24"/>
        </w:rPr>
        <w:t>其他未尽事宜由供需双方在采购合同中详细约定。</w:t>
      </w:r>
    </w:p>
    <w:p>
      <w:pPr>
        <w:pStyle w:val="2"/>
        <w:pageBreakBefore/>
        <w:spacing w:line="360" w:lineRule="auto"/>
        <w:jc w:val="center"/>
        <w:rPr>
          <w:rFonts w:ascii="宋体" w:hAnsi="宋体" w:eastAsia="宋体" w:cs="宋体"/>
          <w:b w:val="0"/>
          <w:color w:val="auto"/>
          <w:sz w:val="36"/>
          <w:szCs w:val="30"/>
        </w:rPr>
      </w:pPr>
      <w:r>
        <w:rPr>
          <w:rFonts w:hint="eastAsia" w:ascii="宋体" w:hAnsi="宋体" w:eastAsia="宋体" w:cs="宋体"/>
          <w:b w:val="0"/>
          <w:color w:val="auto"/>
          <w:sz w:val="36"/>
          <w:szCs w:val="30"/>
        </w:rPr>
        <w:t>第四篇  磋商程序及方法、评审标准、无效响应和</w:t>
      </w:r>
      <w:r>
        <w:rPr>
          <w:rFonts w:hint="eastAsia" w:ascii="宋体" w:hAnsi="宋体" w:eastAsia="宋体" w:cs="宋体"/>
          <w:b w:val="0"/>
          <w:color w:val="auto"/>
          <w:sz w:val="36"/>
          <w:szCs w:val="36"/>
        </w:rPr>
        <w:t>采购终止</w:t>
      </w:r>
      <w:bookmarkEnd w:id="27"/>
    </w:p>
    <w:p>
      <w:pPr>
        <w:pStyle w:val="3"/>
        <w:spacing w:line="440" w:lineRule="exact"/>
        <w:rPr>
          <w:rFonts w:ascii="宋体" w:hAnsi="宋体" w:cs="宋体"/>
          <w:color w:val="auto"/>
          <w:sz w:val="24"/>
          <w:szCs w:val="24"/>
        </w:rPr>
      </w:pPr>
      <w:bookmarkStart w:id="28" w:name="_Toc54278995"/>
      <w:r>
        <w:rPr>
          <w:rFonts w:hint="eastAsia" w:ascii="宋体" w:hAnsi="宋体" w:cs="宋体"/>
          <w:color w:val="auto"/>
          <w:sz w:val="24"/>
          <w:szCs w:val="24"/>
        </w:rPr>
        <w:t>一、磋商程序及方法</w:t>
      </w:r>
      <w:bookmarkEnd w:id="28"/>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cs="宋体"/>
          <w:color w:val="auto"/>
          <w:kern w:val="0"/>
          <w:sz w:val="24"/>
          <w:szCs w:val="24"/>
        </w:rPr>
      </w:pPr>
      <w:r>
        <w:rPr>
          <w:rFonts w:hint="eastAsia" w:ascii="宋体" w:hAnsi="宋体" w:cs="宋体"/>
          <w:color w:val="auto"/>
          <w:sz w:val="24"/>
          <w:szCs w:val="24"/>
        </w:rPr>
        <w:t>1.</w:t>
      </w:r>
      <w:r>
        <w:rPr>
          <w:rFonts w:hint="eastAsia" w:ascii="宋体" w:hAnsi="宋体" w:cs="宋体"/>
          <w:color w:val="auto"/>
          <w:kern w:val="0"/>
          <w:sz w:val="24"/>
          <w:szCs w:val="24"/>
        </w:rPr>
        <w:t>资格性检查。依据法律法规和竞争性磋商文件的规定，对响应文件中的资格证明、等进行审查，以确定供应商是否具备磋商资格。资格性检查资料表如下：</w:t>
      </w: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676" w:type="dxa"/>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5388" w:type="dxa"/>
            <w:gridSpan w:val="2"/>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检查因素</w:t>
            </w:r>
          </w:p>
        </w:tc>
        <w:tc>
          <w:tcPr>
            <w:tcW w:w="3542" w:type="dxa"/>
            <w:vAlign w:val="center"/>
          </w:tcPr>
          <w:p>
            <w:pPr>
              <w:jc w:val="center"/>
              <w:rPr>
                <w:rFonts w:ascii="宋体" w:hAnsi="宋体" w:cs="宋体"/>
                <w:b/>
                <w:color w:val="auto"/>
                <w:kern w:val="0"/>
                <w:sz w:val="21"/>
                <w:szCs w:val="21"/>
              </w:rPr>
            </w:pPr>
            <w:r>
              <w:rPr>
                <w:rFonts w:hint="eastAsia" w:ascii="宋体" w:hAnsi="宋体" w:cs="宋体"/>
                <w:b/>
                <w:color w:val="auto"/>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2" w:hRule="atLeast"/>
        </w:trPr>
        <w:tc>
          <w:tcPr>
            <w:tcW w:w="676" w:type="dxa"/>
            <w:vMerge w:val="restart"/>
            <w:vAlign w:val="center"/>
          </w:tcPr>
          <w:p>
            <w:pPr>
              <w:jc w:val="center"/>
              <w:rPr>
                <w:rFonts w:ascii="宋体" w:hAnsi="宋体" w:cs="宋体"/>
                <w:color w:val="auto"/>
                <w:sz w:val="21"/>
                <w:szCs w:val="21"/>
              </w:rPr>
            </w:pPr>
            <w:r>
              <w:rPr>
                <w:rFonts w:hint="eastAsia" w:ascii="宋体" w:hAnsi="宋体" w:cs="宋体"/>
                <w:color w:val="auto"/>
                <w:sz w:val="21"/>
                <w:szCs w:val="21"/>
              </w:rPr>
              <w:t>1</w:t>
            </w:r>
          </w:p>
          <w:p>
            <w:pPr>
              <w:jc w:val="center"/>
              <w:rPr>
                <w:rFonts w:ascii="宋体" w:hAnsi="宋体" w:cs="宋体"/>
                <w:color w:val="auto"/>
                <w:sz w:val="21"/>
                <w:szCs w:val="21"/>
              </w:rPr>
            </w:pPr>
          </w:p>
        </w:tc>
        <w:tc>
          <w:tcPr>
            <w:tcW w:w="709" w:type="dxa"/>
            <w:vMerge w:val="restart"/>
            <w:vAlign w:val="center"/>
          </w:tcPr>
          <w:p>
            <w:pPr>
              <w:rPr>
                <w:rFonts w:ascii="宋体" w:hAnsi="宋体" w:cs="宋体"/>
                <w:color w:val="auto"/>
                <w:sz w:val="21"/>
                <w:szCs w:val="21"/>
                <w:lang w:val="zh-CN"/>
              </w:rPr>
            </w:pPr>
            <w:r>
              <w:rPr>
                <w:rFonts w:hint="eastAsia" w:ascii="宋体" w:hAnsi="宋体" w:cs="宋体"/>
                <w:color w:val="auto"/>
                <w:sz w:val="21"/>
                <w:szCs w:val="21"/>
              </w:rPr>
              <w:t>供应商</w:t>
            </w:r>
            <w:r>
              <w:rPr>
                <w:rFonts w:hint="eastAsia" w:ascii="宋体" w:hAnsi="宋体" w:cs="宋体"/>
                <w:color w:val="auto"/>
                <w:sz w:val="21"/>
                <w:szCs w:val="21"/>
                <w:lang w:val="zh-CN"/>
              </w:rPr>
              <w:t>应符合的基本资格条件</w:t>
            </w:r>
          </w:p>
        </w:tc>
        <w:tc>
          <w:tcPr>
            <w:tcW w:w="4679" w:type="dxa"/>
            <w:vAlign w:val="center"/>
          </w:tcPr>
          <w:p>
            <w:pPr>
              <w:rPr>
                <w:rFonts w:ascii="宋体" w:hAnsi="宋体" w:cs="宋体"/>
                <w:color w:val="auto"/>
                <w:sz w:val="21"/>
                <w:szCs w:val="21"/>
              </w:rPr>
            </w:pPr>
            <w:r>
              <w:rPr>
                <w:rFonts w:hint="eastAsia" w:ascii="宋体" w:hAnsi="宋体" w:cs="宋体"/>
                <w:color w:val="auto"/>
                <w:sz w:val="21"/>
                <w:szCs w:val="21"/>
              </w:rPr>
              <w:t>（1）具有独立承担民事责任的能力</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供应商法人营业执照（副本）或事业单位法人证书（副本）或个体工商户营业执照、组织机构代码证复印件（注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1</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sz w:val="21"/>
                <w:szCs w:val="21"/>
              </w:rPr>
              <w:t xml:space="preserve">）； </w:t>
            </w:r>
          </w:p>
          <w:p>
            <w:pPr>
              <w:rPr>
                <w:rFonts w:ascii="宋体" w:hAnsi="宋体" w:cs="宋体"/>
                <w:color w:val="auto"/>
                <w:sz w:val="21"/>
                <w:szCs w:val="21"/>
              </w:rPr>
            </w:pPr>
            <w:r>
              <w:rPr>
                <w:rFonts w:hint="eastAsia" w:ascii="宋体" w:hAnsi="宋体" w:cs="宋体"/>
                <w:color w:val="auto"/>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rPr>
            </w:pPr>
            <w:r>
              <w:rPr>
                <w:rFonts w:hint="eastAsia" w:ascii="宋体" w:hAnsi="宋体" w:cs="宋体"/>
                <w:color w:val="auto"/>
                <w:sz w:val="21"/>
                <w:szCs w:val="21"/>
                <w:lang w:val="zh-CN"/>
              </w:rPr>
              <w:t>（2）</w:t>
            </w:r>
            <w:r>
              <w:rPr>
                <w:rFonts w:hint="eastAsia" w:ascii="宋体" w:hAnsi="宋体" w:cs="宋体"/>
                <w:color w:val="auto"/>
                <w:sz w:val="21"/>
                <w:szCs w:val="21"/>
              </w:rPr>
              <w:t>具有良好的商业信誉和健全的财务会计制度</w:t>
            </w:r>
          </w:p>
        </w:tc>
        <w:tc>
          <w:tcPr>
            <w:tcW w:w="3542" w:type="dxa"/>
            <w:vMerge w:val="restart"/>
            <w:vAlign w:val="center"/>
          </w:tcPr>
          <w:p>
            <w:pPr>
              <w:rPr>
                <w:rFonts w:ascii="宋体" w:hAnsi="宋体" w:cs="宋体"/>
                <w:color w:val="auto"/>
                <w:sz w:val="21"/>
                <w:szCs w:val="21"/>
              </w:rPr>
            </w:pPr>
            <w:r>
              <w:rPr>
                <w:rFonts w:hint="eastAsia" w:ascii="宋体" w:hAnsi="宋体" w:cs="宋体"/>
                <w:color w:val="auto"/>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lang w:val="zh-CN"/>
              </w:rPr>
              <w:t>（3）具有履行合同所必需的设备和专业技术能力</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lang w:val="zh-CN"/>
              </w:rPr>
              <w:t>（4）有依法缴纳税收和社会保障金的良好记录</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5"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lang w:val="zh-CN"/>
              </w:rPr>
            </w:pPr>
            <w:r>
              <w:rPr>
                <w:rFonts w:hint="eastAsia" w:ascii="宋体" w:hAnsi="宋体" w:cs="宋体"/>
                <w:color w:val="auto"/>
                <w:sz w:val="21"/>
                <w:szCs w:val="21"/>
              </w:rPr>
              <w:t>（5）参加政府采购活动前三年内，在经营活动中没有重大违法记录（注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eq \o\ac(○,2)</w:instrText>
            </w:r>
            <w:r>
              <w:rPr>
                <w:rFonts w:hint="eastAsia" w:ascii="宋体" w:hAnsi="宋体" w:cs="宋体"/>
                <w:color w:val="auto"/>
                <w:sz w:val="21"/>
                <w:szCs w:val="21"/>
              </w:rPr>
              <w:fldChar w:fldCharType="end"/>
            </w:r>
            <w:r>
              <w:rPr>
                <w:rFonts w:hint="eastAsia" w:ascii="宋体" w:hAnsi="宋体" w:cs="宋体"/>
                <w:color w:val="auto"/>
                <w:sz w:val="21"/>
                <w:szCs w:val="21"/>
              </w:rPr>
              <w:t>）</w:t>
            </w:r>
          </w:p>
        </w:tc>
        <w:tc>
          <w:tcPr>
            <w:tcW w:w="3542" w:type="dxa"/>
            <w:vMerge w:val="continue"/>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rPr>
            </w:pPr>
          </w:p>
        </w:tc>
        <w:tc>
          <w:tcPr>
            <w:tcW w:w="709" w:type="dxa"/>
            <w:vMerge w:val="continue"/>
            <w:vAlign w:val="center"/>
          </w:tcPr>
          <w:p>
            <w:pPr>
              <w:rPr>
                <w:rFonts w:ascii="宋体" w:hAnsi="宋体" w:cs="宋体"/>
                <w:color w:val="auto"/>
                <w:sz w:val="21"/>
                <w:szCs w:val="21"/>
                <w:lang w:val="zh-CN"/>
              </w:rPr>
            </w:pPr>
          </w:p>
        </w:tc>
        <w:tc>
          <w:tcPr>
            <w:tcW w:w="4679" w:type="dxa"/>
            <w:vAlign w:val="center"/>
          </w:tcPr>
          <w:p>
            <w:pPr>
              <w:rPr>
                <w:rFonts w:ascii="宋体" w:hAnsi="宋体" w:cs="宋体"/>
                <w:color w:val="auto"/>
                <w:sz w:val="21"/>
                <w:szCs w:val="21"/>
              </w:rPr>
            </w:pPr>
            <w:r>
              <w:rPr>
                <w:rFonts w:hint="eastAsia" w:ascii="宋体" w:hAnsi="宋体" w:cs="宋体"/>
                <w:color w:val="auto"/>
                <w:sz w:val="21"/>
                <w:szCs w:val="21"/>
              </w:rPr>
              <w:t>（6）法律、行政法规规定的其他条件</w:t>
            </w:r>
          </w:p>
        </w:tc>
        <w:tc>
          <w:tcPr>
            <w:tcW w:w="3542" w:type="dxa"/>
            <w:vAlign w:val="center"/>
          </w:tcPr>
          <w:p>
            <w:pPr>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Merge w:val="continue"/>
            <w:vAlign w:val="center"/>
          </w:tcPr>
          <w:p>
            <w:pPr>
              <w:jc w:val="center"/>
              <w:rPr>
                <w:rFonts w:ascii="宋体" w:hAnsi="宋体" w:cs="宋体"/>
                <w:color w:val="auto"/>
                <w:sz w:val="21"/>
                <w:szCs w:val="21"/>
              </w:rPr>
            </w:pPr>
          </w:p>
        </w:tc>
        <w:tc>
          <w:tcPr>
            <w:tcW w:w="709" w:type="dxa"/>
            <w:vAlign w:val="center"/>
          </w:tcPr>
          <w:p>
            <w:pPr>
              <w:tabs>
                <w:tab w:val="left" w:pos="1494"/>
              </w:tabs>
              <w:rPr>
                <w:rFonts w:ascii="宋体" w:hAnsi="宋体" w:cs="宋体"/>
                <w:color w:val="auto"/>
                <w:sz w:val="21"/>
                <w:szCs w:val="21"/>
              </w:rPr>
            </w:pPr>
          </w:p>
        </w:tc>
        <w:tc>
          <w:tcPr>
            <w:tcW w:w="4679" w:type="dxa"/>
            <w:vAlign w:val="center"/>
          </w:tcPr>
          <w:p>
            <w:pPr>
              <w:tabs>
                <w:tab w:val="left" w:pos="1494"/>
              </w:tabs>
              <w:rPr>
                <w:rFonts w:ascii="宋体" w:hAnsi="宋体" w:cs="宋体"/>
                <w:color w:val="auto"/>
                <w:sz w:val="21"/>
                <w:szCs w:val="21"/>
              </w:rPr>
            </w:pPr>
            <w:r>
              <w:rPr>
                <w:rFonts w:hint="eastAsia" w:ascii="宋体" w:hAnsi="宋体" w:cs="宋体"/>
                <w:color w:val="auto"/>
                <w:sz w:val="21"/>
                <w:szCs w:val="21"/>
              </w:rPr>
              <w:t>（7）特定资格条件</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676" w:type="dxa"/>
            <w:vAlign w:val="center"/>
          </w:tcPr>
          <w:p>
            <w:pPr>
              <w:jc w:val="center"/>
              <w:rPr>
                <w:rFonts w:ascii="宋体" w:hAnsi="宋体" w:cs="宋体"/>
                <w:color w:val="auto"/>
                <w:sz w:val="21"/>
                <w:szCs w:val="21"/>
              </w:rPr>
            </w:pPr>
            <w:r>
              <w:rPr>
                <w:rFonts w:hint="eastAsia" w:ascii="宋体" w:hAnsi="宋体" w:cs="宋体"/>
                <w:color w:val="auto"/>
                <w:sz w:val="21"/>
                <w:szCs w:val="21"/>
              </w:rPr>
              <w:t>2</w:t>
            </w:r>
          </w:p>
        </w:tc>
        <w:tc>
          <w:tcPr>
            <w:tcW w:w="5388" w:type="dxa"/>
            <w:gridSpan w:val="2"/>
            <w:vAlign w:val="center"/>
          </w:tcPr>
          <w:p>
            <w:pPr>
              <w:tabs>
                <w:tab w:val="left" w:pos="1494"/>
              </w:tabs>
              <w:rPr>
                <w:rFonts w:ascii="宋体" w:hAnsi="宋体" w:cs="宋体"/>
                <w:color w:val="auto"/>
                <w:sz w:val="21"/>
                <w:szCs w:val="21"/>
              </w:rPr>
            </w:pPr>
            <w:r>
              <w:rPr>
                <w:rFonts w:hint="eastAsia" w:ascii="宋体" w:hAnsi="宋体" w:cs="宋体"/>
                <w:color w:val="auto"/>
                <w:sz w:val="21"/>
                <w:szCs w:val="21"/>
              </w:rPr>
              <w:t>落实政府采购政策需满足的资格要求</w:t>
            </w:r>
          </w:p>
        </w:tc>
        <w:tc>
          <w:tcPr>
            <w:tcW w:w="3542" w:type="dxa"/>
            <w:vAlign w:val="center"/>
          </w:tcPr>
          <w:p>
            <w:pPr>
              <w:rPr>
                <w:rFonts w:ascii="宋体" w:hAnsi="宋体" w:cs="宋体"/>
                <w:color w:val="auto"/>
                <w:sz w:val="21"/>
                <w:szCs w:val="21"/>
              </w:rPr>
            </w:pPr>
            <w:r>
              <w:rPr>
                <w:rFonts w:hint="eastAsia" w:ascii="宋体" w:hAnsi="宋体" w:cs="宋体"/>
                <w:color w:val="auto"/>
                <w:sz w:val="21"/>
                <w:szCs w:val="21"/>
              </w:rPr>
              <w:t>按“第一篇三、供应商资格要求（二）落实政府采购政策需满足的资格要求”的要求提交（如果有）。</w:t>
            </w:r>
          </w:p>
        </w:tc>
      </w:tr>
    </w:tbl>
    <w:p>
      <w:pPr>
        <w:snapToGrid w:val="0"/>
        <w:spacing w:line="312" w:lineRule="auto"/>
        <w:ind w:firstLine="420" w:firstLineChars="200"/>
        <w:rPr>
          <w:rFonts w:ascii="宋体" w:hAnsi="宋体" w:cs="宋体"/>
          <w:color w:val="auto"/>
          <w:kern w:val="0"/>
          <w:sz w:val="24"/>
          <w:szCs w:val="24"/>
        </w:rPr>
      </w:pPr>
      <w:r>
        <w:rPr>
          <w:rFonts w:hint="eastAsia" w:ascii="宋体" w:hAnsi="宋体" w:cs="宋体"/>
          <w:color w:val="auto"/>
          <w:sz w:val="21"/>
          <w:szCs w:val="21"/>
        </w:rPr>
        <w:t>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eq \o\ac(○,1)</w:instrText>
      </w:r>
      <w:r>
        <w:rPr>
          <w:rFonts w:hint="eastAsia" w:ascii="宋体" w:hAnsi="宋体" w:cs="宋体"/>
          <w:color w:val="auto"/>
          <w:sz w:val="21"/>
          <w:szCs w:val="21"/>
        </w:rPr>
        <w:fldChar w:fldCharType="end"/>
      </w:r>
      <w:r>
        <w:rPr>
          <w:rFonts w:hint="eastAsia" w:ascii="宋体" w:hAnsi="宋体" w:cs="宋体"/>
          <w:color w:val="auto"/>
          <w:sz w:val="21"/>
          <w:szCs w:val="21"/>
        </w:rPr>
        <w:t>：供</w:t>
      </w:r>
      <w:r>
        <w:rPr>
          <w:rFonts w:hint="eastAsia" w:ascii="宋体" w:hAnsi="宋体" w:cs="宋体"/>
          <w:color w:val="auto"/>
          <w:kern w:val="0"/>
          <w:sz w:val="24"/>
          <w:szCs w:val="24"/>
        </w:rPr>
        <w:t>应商按“三证合一”登记制度办理营业执照的，组织机构代码证和税务登记证（副本）以供应商所提供的营业执照（副本）复印件为准。</w:t>
      </w:r>
    </w:p>
    <w:p>
      <w:pPr>
        <w:snapToGrid w:val="0"/>
        <w:spacing w:line="312" w:lineRule="auto"/>
        <w:ind w:firstLine="420" w:firstLineChars="200"/>
        <w:rPr>
          <w:rFonts w:ascii="宋体" w:hAnsi="宋体" w:cs="宋体"/>
          <w:color w:val="auto"/>
          <w:kern w:val="0"/>
          <w:sz w:val="24"/>
          <w:szCs w:val="24"/>
        </w:rPr>
      </w:pPr>
      <w:r>
        <w:rPr>
          <w:rFonts w:hint="eastAsia" w:ascii="宋体" w:hAnsi="宋体" w:cs="宋体"/>
          <w:color w:val="auto"/>
          <w:sz w:val="21"/>
          <w:szCs w:val="21"/>
        </w:rPr>
        <w:t>注</w:t>
      </w: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eq \o\ac(○,2)</w:instrText>
      </w:r>
      <w:r>
        <w:rPr>
          <w:rFonts w:hint="eastAsia" w:ascii="宋体" w:hAnsi="宋体" w:cs="宋体"/>
          <w:color w:val="auto"/>
          <w:sz w:val="21"/>
          <w:szCs w:val="21"/>
        </w:rPr>
        <w:fldChar w:fldCharType="end"/>
      </w:r>
      <w:r>
        <w:rPr>
          <w:rFonts w:hint="eastAsia" w:ascii="宋体" w:hAnsi="宋体" w:cs="宋体"/>
          <w:color w:val="auto"/>
          <w:sz w:val="21"/>
          <w:szCs w:val="21"/>
        </w:rPr>
        <w:t>：</w:t>
      </w:r>
      <w:r>
        <w:rPr>
          <w:rFonts w:hint="eastAsia" w:ascii="宋体" w:hAnsi="宋体" w:cs="宋体"/>
          <w:color w:val="auto"/>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312" w:lineRule="auto"/>
        <w:ind w:firstLine="480" w:firstLineChars="200"/>
        <w:rPr>
          <w:color w:val="auto"/>
        </w:rPr>
      </w:pPr>
      <w:r>
        <w:rPr>
          <w:rFonts w:hint="eastAsia" w:ascii="宋体" w:hAnsi="宋体" w:cs="宋体"/>
          <w:color w:val="auto"/>
          <w:kern w:val="0"/>
          <w:sz w:val="24"/>
          <w:szCs w:val="24"/>
        </w:rPr>
        <w:t>2、符合性检查。依据磋商</w:t>
      </w:r>
      <w:r>
        <w:rPr>
          <w:rFonts w:ascii="宋体" w:hAnsi="宋体" w:cs="宋体"/>
          <w:color w:val="auto"/>
          <w:kern w:val="0"/>
          <w:sz w:val="24"/>
          <w:szCs w:val="24"/>
        </w:rPr>
        <w:t>采购</w:t>
      </w:r>
      <w:r>
        <w:rPr>
          <w:rFonts w:hint="eastAsia" w:ascii="宋体" w:hAnsi="宋体" w:cs="宋体"/>
          <w:color w:val="auto"/>
          <w:kern w:val="0"/>
          <w:sz w:val="24"/>
          <w:szCs w:val="24"/>
        </w:rPr>
        <w:t>文件的规定，从响应文件的有效性、完整性和对磋商</w:t>
      </w:r>
      <w:r>
        <w:rPr>
          <w:rFonts w:ascii="宋体" w:hAnsi="宋体" w:cs="宋体"/>
          <w:color w:val="auto"/>
          <w:kern w:val="0"/>
          <w:sz w:val="24"/>
          <w:szCs w:val="24"/>
        </w:rPr>
        <w:t>采购</w:t>
      </w:r>
      <w:r>
        <w:rPr>
          <w:rFonts w:hint="eastAsia" w:ascii="宋体" w:hAnsi="宋体" w:cs="宋体"/>
          <w:color w:val="auto"/>
          <w:kern w:val="0"/>
          <w:sz w:val="24"/>
          <w:szCs w:val="24"/>
        </w:rPr>
        <w:t>文件的响应程度进行审查，以确定是否对磋商</w:t>
      </w:r>
      <w:r>
        <w:rPr>
          <w:rFonts w:ascii="宋体" w:hAnsi="宋体" w:cs="宋体"/>
          <w:color w:val="auto"/>
          <w:kern w:val="0"/>
          <w:sz w:val="24"/>
          <w:szCs w:val="24"/>
        </w:rPr>
        <w:t>采购</w:t>
      </w:r>
      <w:r>
        <w:rPr>
          <w:rFonts w:hint="eastAsia" w:ascii="宋体" w:hAnsi="宋体" w:cs="宋体"/>
          <w:color w:val="auto"/>
          <w:kern w:val="0"/>
          <w:sz w:val="24"/>
          <w:szCs w:val="24"/>
        </w:rPr>
        <w:t>文件的实质性要求作出响应。符合性检查资料表如下：</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3544" w:type="dxa"/>
            <w:gridSpan w:val="2"/>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评审因素</w:t>
            </w:r>
          </w:p>
        </w:tc>
        <w:tc>
          <w:tcPr>
            <w:tcW w:w="5409" w:type="dxa"/>
            <w:noWrap/>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1</w:t>
            </w:r>
          </w:p>
        </w:tc>
        <w:tc>
          <w:tcPr>
            <w:tcW w:w="1560" w:type="dxa"/>
            <w:vMerge w:val="restart"/>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有效性审查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响应文件签署</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w:t>
            </w:r>
          </w:p>
        </w:tc>
        <w:tc>
          <w:tcPr>
            <w:tcW w:w="5409" w:type="dxa"/>
            <w:noWrap/>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响应</w:t>
            </w:r>
            <w:r>
              <w:rPr>
                <w:rFonts w:hint="eastAsia" w:ascii="宋体" w:hAnsi="宋体" w:cs="宋体"/>
                <w:color w:val="auto"/>
                <w:sz w:val="21"/>
                <w:szCs w:val="21"/>
                <w:lang w:val="zh-CN"/>
              </w:rPr>
              <w:t>方案</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lang w:val="zh-CN"/>
              </w:rPr>
              <w:t>每个分包只能有一个</w:t>
            </w:r>
            <w:r>
              <w:rPr>
                <w:rFonts w:hint="eastAsia" w:ascii="宋体" w:hAnsi="宋体" w:cs="宋体"/>
                <w:color w:val="auto"/>
                <w:sz w:val="21"/>
                <w:szCs w:val="21"/>
              </w:rPr>
              <w:t>响应</w:t>
            </w:r>
            <w:r>
              <w:rPr>
                <w:rFonts w:hint="eastAsia" w:ascii="宋体" w:hAnsi="宋体" w:cs="宋体"/>
                <w:color w:val="auto"/>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kern w:val="0"/>
                <w:sz w:val="21"/>
                <w:szCs w:val="21"/>
              </w:rPr>
            </w:pPr>
          </w:p>
        </w:tc>
        <w:tc>
          <w:tcPr>
            <w:tcW w:w="1984" w:type="dxa"/>
            <w:noWrap/>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报价唯一</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2</w:t>
            </w:r>
          </w:p>
        </w:tc>
        <w:tc>
          <w:tcPr>
            <w:tcW w:w="1560"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完整性审查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文件份数</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文件正、副本数量（含电子文档）符合</w:t>
            </w:r>
            <w:r>
              <w:rPr>
                <w:rFonts w:hint="eastAsia" w:ascii="宋体" w:hAnsi="宋体" w:cs="宋体"/>
                <w:color w:val="auto"/>
                <w:sz w:val="21"/>
                <w:szCs w:val="21"/>
              </w:rPr>
              <w:t>竞争性磋商</w:t>
            </w:r>
            <w:r>
              <w:rPr>
                <w:rFonts w:hint="eastAsia" w:ascii="宋体" w:hAnsi="宋体" w:cs="宋体"/>
                <w:color w:val="auto"/>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3</w:t>
            </w:r>
          </w:p>
        </w:tc>
        <w:tc>
          <w:tcPr>
            <w:tcW w:w="1560" w:type="dxa"/>
            <w:vMerge w:val="restart"/>
            <w:noWrap/>
            <w:vAlign w:val="center"/>
          </w:tcPr>
          <w:p>
            <w:pPr>
              <w:spacing w:line="240" w:lineRule="exact"/>
              <w:rPr>
                <w:rFonts w:ascii="宋体" w:hAnsi="宋体" w:cs="宋体"/>
                <w:color w:val="auto"/>
                <w:sz w:val="21"/>
                <w:szCs w:val="21"/>
                <w:lang w:val="zh-CN"/>
              </w:rPr>
            </w:pPr>
            <w:r>
              <w:rPr>
                <w:rFonts w:hint="eastAsia" w:ascii="宋体" w:hAnsi="宋体" w:cs="宋体"/>
                <w:color w:val="auto"/>
                <w:kern w:val="0"/>
                <w:sz w:val="21"/>
                <w:szCs w:val="21"/>
              </w:rPr>
              <w:t>竞争性磋商文件的响应程度审查</w:t>
            </w: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响应文件内容</w:t>
            </w:r>
          </w:p>
        </w:tc>
        <w:tc>
          <w:tcPr>
            <w:tcW w:w="5409" w:type="dxa"/>
            <w:noWrap/>
            <w:vAlign w:val="center"/>
          </w:tcPr>
          <w:p>
            <w:pPr>
              <w:pStyle w:val="7"/>
              <w:spacing w:line="240" w:lineRule="exact"/>
              <w:rPr>
                <w:rFonts w:ascii="宋体" w:hAnsi="宋体" w:cs="宋体"/>
                <w:color w:val="auto"/>
                <w:kern w:val="0"/>
                <w:sz w:val="21"/>
                <w:szCs w:val="21"/>
              </w:rPr>
            </w:pPr>
            <w:r>
              <w:rPr>
                <w:rFonts w:hint="eastAsia" w:ascii="宋体" w:hAnsi="宋体" w:cs="宋体"/>
                <w:color w:val="auto"/>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rPr>
            </w:pPr>
          </w:p>
        </w:tc>
        <w:tc>
          <w:tcPr>
            <w:tcW w:w="1560" w:type="dxa"/>
            <w:vMerge w:val="continue"/>
            <w:noWrap/>
            <w:vAlign w:val="center"/>
          </w:tcPr>
          <w:p>
            <w:pPr>
              <w:spacing w:line="240" w:lineRule="exact"/>
              <w:rPr>
                <w:rFonts w:ascii="宋体" w:hAnsi="宋体" w:cs="宋体"/>
                <w:color w:val="auto"/>
                <w:sz w:val="21"/>
                <w:szCs w:val="21"/>
                <w:lang w:val="zh-CN"/>
              </w:rPr>
            </w:pPr>
          </w:p>
        </w:tc>
        <w:tc>
          <w:tcPr>
            <w:tcW w:w="1984"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磋商有效期</w:t>
            </w:r>
          </w:p>
        </w:tc>
        <w:tc>
          <w:tcPr>
            <w:tcW w:w="5409" w:type="dxa"/>
            <w:noWrap/>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满足磋商文件</w:t>
            </w:r>
            <w:r>
              <w:rPr>
                <w:rFonts w:hint="eastAsia" w:ascii="宋体" w:hAnsi="宋体" w:cs="宋体"/>
                <w:color w:val="auto"/>
                <w:sz w:val="21"/>
                <w:szCs w:val="21"/>
                <w:lang w:val="zh-CN"/>
              </w:rPr>
              <w:t>规定。</w:t>
            </w:r>
          </w:p>
        </w:tc>
      </w:tr>
    </w:tbl>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（九）磋商小组采用综合评分法对提交最后报价的供应商的响应文件和最后报价（含有效书面承诺）进行综合评分。</w:t>
      </w:r>
      <w:r>
        <w:rPr>
          <w:rFonts w:hint="eastAsia" w:ascii="宋体" w:hAnsi="宋体" w:cs="宋体"/>
          <w:color w:val="auto"/>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color w:val="auto"/>
          <w:kern w:val="0"/>
          <w:sz w:val="24"/>
          <w:szCs w:val="24"/>
          <w:lang w:val="en-US" w:eastAsia="zh-CN"/>
        </w:rPr>
        <w:t>0</w:t>
      </w:r>
      <w:r>
        <w:rPr>
          <w:rFonts w:hint="eastAsia" w:ascii="宋体" w:hAnsi="宋体" w:cs="宋体"/>
          <w:color w:val="auto"/>
          <w:kern w:val="0"/>
          <w:sz w:val="24"/>
          <w:szCs w:val="24"/>
        </w:rPr>
        <w:t>分</w:t>
      </w:r>
      <w:r>
        <w:rPr>
          <w:rFonts w:hint="eastAsia" w:ascii="宋体" w:hAnsi="宋体" w:cs="宋体"/>
          <w:color w:val="auto"/>
          <w:sz w:val="24"/>
          <w:szCs w:val="24"/>
        </w:rPr>
        <w:t>。（详见评审标准）。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（十）磋商小组各成员独立对每个有效响应（通过资格性检查、</w:t>
      </w:r>
      <w:r>
        <w:rPr>
          <w:rFonts w:hint="eastAsia" w:ascii="宋体" w:hAnsi="宋体" w:cs="宋体"/>
          <w:color w:val="auto"/>
          <w:kern w:val="0"/>
          <w:sz w:val="24"/>
          <w:szCs w:val="24"/>
        </w:rPr>
        <w:t>符合性检查的供应商</w:t>
      </w:r>
      <w:r>
        <w:rPr>
          <w:rFonts w:hint="eastAsia" w:ascii="宋体" w:hAnsi="宋体" w:cs="宋体"/>
          <w:color w:val="auto"/>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3"/>
        <w:spacing w:line="440" w:lineRule="exact"/>
        <w:rPr>
          <w:rFonts w:ascii="宋体" w:hAnsi="宋体" w:cs="宋体"/>
          <w:color w:val="auto"/>
          <w:sz w:val="24"/>
          <w:szCs w:val="24"/>
        </w:rPr>
      </w:pPr>
      <w:bookmarkStart w:id="29" w:name="_Toc54278996"/>
      <w:r>
        <w:rPr>
          <w:rFonts w:hint="eastAsia" w:ascii="宋体" w:hAnsi="宋体" w:cs="宋体"/>
          <w:color w:val="auto"/>
          <w:sz w:val="24"/>
          <w:szCs w:val="24"/>
        </w:rPr>
        <w:t>二、</w:t>
      </w:r>
      <w:bookmarkStart w:id="30" w:name="_Toc102227320"/>
      <w:bookmarkStart w:id="31" w:name="_Toc342913394"/>
      <w:r>
        <w:rPr>
          <w:rFonts w:hint="eastAsia" w:ascii="宋体" w:hAnsi="宋体" w:cs="宋体"/>
          <w:color w:val="auto"/>
          <w:sz w:val="24"/>
          <w:szCs w:val="24"/>
        </w:rPr>
        <w:t>评审标准</w:t>
      </w:r>
      <w:bookmarkEnd w:id="29"/>
      <w:r>
        <w:rPr>
          <w:rFonts w:hint="eastAsia" w:ascii="宋体" w:hAnsi="宋体" w:cs="宋体"/>
          <w:color w:val="auto"/>
          <w:sz w:val="24"/>
          <w:szCs w:val="24"/>
        </w:rPr>
        <w:t>注</w:t>
      </w:r>
    </w:p>
    <w:tbl>
      <w:tblPr>
        <w:tblStyle w:val="12"/>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84"/>
        <w:gridCol w:w="1761"/>
        <w:gridCol w:w="364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00"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序号</w:t>
            </w:r>
          </w:p>
        </w:tc>
        <w:tc>
          <w:tcPr>
            <w:tcW w:w="1284"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评分权重</w:t>
            </w:r>
          </w:p>
        </w:tc>
        <w:tc>
          <w:tcPr>
            <w:tcW w:w="1761"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分值</w:t>
            </w:r>
          </w:p>
        </w:tc>
        <w:tc>
          <w:tcPr>
            <w:tcW w:w="3640"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评分标准</w:t>
            </w:r>
          </w:p>
        </w:tc>
        <w:tc>
          <w:tcPr>
            <w:tcW w:w="2446" w:type="dxa"/>
            <w:noWrap/>
            <w:vAlign w:val="center"/>
          </w:tcPr>
          <w:p>
            <w:pPr>
              <w:spacing w:line="400" w:lineRule="exact"/>
              <w:jc w:val="center"/>
              <w:rPr>
                <w:rFonts w:ascii="宋体" w:hAnsi="宋体" w:cs="宋体"/>
                <w:b/>
                <w:color w:val="auto"/>
                <w:sz w:val="24"/>
              </w:rPr>
            </w:pPr>
            <w:r>
              <w:rPr>
                <w:rFonts w:hint="eastAsia" w:ascii="宋体" w:hAnsi="宋体" w:cs="宋体"/>
                <w:b/>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600" w:type="dxa"/>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w:t>
            </w:r>
          </w:p>
        </w:tc>
        <w:tc>
          <w:tcPr>
            <w:tcW w:w="1284"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lang w:eastAsia="zh-CN"/>
              </w:rPr>
              <w:t>经济部分</w:t>
            </w:r>
            <w:r>
              <w:rPr>
                <w:rFonts w:hint="eastAsia" w:ascii="宋体" w:hAnsi="宋体" w:cs="宋体"/>
                <w:color w:val="auto"/>
                <w:sz w:val="24"/>
                <w:szCs w:val="24"/>
              </w:rPr>
              <w:t>（</w:t>
            </w:r>
            <w:r>
              <w:rPr>
                <w:rFonts w:hint="eastAsia" w:ascii="宋体" w:hAnsi="宋体" w:cs="宋体"/>
                <w:color w:val="auto"/>
                <w:sz w:val="24"/>
                <w:szCs w:val="24"/>
                <w:lang w:val="en-US" w:eastAsia="zh-CN"/>
              </w:rPr>
              <w:t>1</w:t>
            </w:r>
            <w:r>
              <w:rPr>
                <w:rFonts w:hint="eastAsia" w:ascii="宋体" w:hAnsi="宋体" w:cs="宋体"/>
                <w:color w:val="auto"/>
                <w:sz w:val="24"/>
                <w:szCs w:val="24"/>
              </w:rPr>
              <w:t>0%）</w:t>
            </w:r>
          </w:p>
        </w:tc>
        <w:tc>
          <w:tcPr>
            <w:tcW w:w="1761" w:type="dxa"/>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0分</w:t>
            </w:r>
          </w:p>
        </w:tc>
        <w:tc>
          <w:tcPr>
            <w:tcW w:w="3640"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有效的投标报价中的最低价为评标基准价，按照下列公式计算每个投标人的投标价格得分。</w:t>
            </w:r>
          </w:p>
          <w:p>
            <w:pPr>
              <w:spacing w:line="400" w:lineRule="exact"/>
              <w:rPr>
                <w:rFonts w:ascii="宋体" w:hAnsi="宋体" w:cs="宋体"/>
                <w:color w:val="auto"/>
                <w:sz w:val="24"/>
                <w:szCs w:val="24"/>
              </w:rPr>
            </w:pPr>
            <w:r>
              <w:rPr>
                <w:rFonts w:hint="eastAsia" w:ascii="宋体" w:hAnsi="宋体" w:cs="宋体"/>
                <w:color w:val="auto"/>
                <w:sz w:val="24"/>
                <w:szCs w:val="24"/>
              </w:rPr>
              <w:t>投标报价得分＝（评标基准价/投标报价）×价格权重×100，得数保留至小数点后两位。</w:t>
            </w:r>
          </w:p>
        </w:tc>
        <w:tc>
          <w:tcPr>
            <w:tcW w:w="2446" w:type="dxa"/>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投标报价不得高于最高限价，否则作废标处理。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600" w:type="dxa"/>
            <w:vMerge w:val="restart"/>
            <w:noWrap/>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2</w:t>
            </w:r>
          </w:p>
        </w:tc>
        <w:tc>
          <w:tcPr>
            <w:tcW w:w="1284"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商务部分（</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c>
          <w:tcPr>
            <w:tcW w:w="1761" w:type="dxa"/>
            <w:noWrap/>
            <w:vAlign w:val="center"/>
          </w:tcPr>
          <w:p>
            <w:pPr>
              <w:spacing w:line="400" w:lineRule="exact"/>
              <w:jc w:val="center"/>
              <w:rPr>
                <w:rFonts w:hint="eastAsia"/>
                <w:color w:val="auto"/>
                <w:sz w:val="24"/>
                <w:szCs w:val="22"/>
              </w:rPr>
            </w:pPr>
            <w:r>
              <w:rPr>
                <w:rFonts w:hint="eastAsia"/>
                <w:color w:val="auto"/>
                <w:sz w:val="24"/>
                <w:szCs w:val="22"/>
              </w:rPr>
              <w:t>团队人员</w:t>
            </w:r>
          </w:p>
          <w:p>
            <w:pPr>
              <w:spacing w:line="400" w:lineRule="exact"/>
              <w:jc w:val="center"/>
              <w:rPr>
                <w:color w:val="auto"/>
                <w:sz w:val="24"/>
                <w:szCs w:val="24"/>
              </w:rPr>
            </w:pPr>
            <w:r>
              <w:rPr>
                <w:rFonts w:hint="eastAsia"/>
                <w:color w:val="auto"/>
                <w:sz w:val="24"/>
                <w:szCs w:val="22"/>
              </w:rPr>
              <w:t>（2</w:t>
            </w:r>
            <w:r>
              <w:rPr>
                <w:rFonts w:hint="eastAsia"/>
                <w:color w:val="auto"/>
                <w:sz w:val="24"/>
                <w:szCs w:val="22"/>
                <w:lang w:val="en-US" w:eastAsia="zh-CN"/>
              </w:rPr>
              <w:t>5</w:t>
            </w:r>
            <w:r>
              <w:rPr>
                <w:rFonts w:hint="eastAsia"/>
                <w:color w:val="auto"/>
                <w:sz w:val="24"/>
                <w:szCs w:val="22"/>
              </w:rPr>
              <w:t>分）</w:t>
            </w:r>
          </w:p>
        </w:tc>
        <w:tc>
          <w:tcPr>
            <w:tcW w:w="3640" w:type="dxa"/>
            <w:noWrap/>
            <w:vAlign w:val="center"/>
          </w:tcPr>
          <w:p>
            <w:pPr>
              <w:spacing w:line="400" w:lineRule="exact"/>
              <w:rPr>
                <w:rFonts w:hint="eastAsia"/>
                <w:color w:val="auto"/>
                <w:sz w:val="24"/>
                <w:szCs w:val="24"/>
                <w:lang w:val="zh-CN"/>
              </w:rPr>
            </w:pPr>
            <w:r>
              <w:rPr>
                <w:rFonts w:hint="eastAsia"/>
                <w:color w:val="auto"/>
                <w:sz w:val="24"/>
                <w:szCs w:val="24"/>
                <w:lang w:val="zh-CN"/>
              </w:rPr>
              <w:t>1、项目负责人（10分）</w:t>
            </w:r>
          </w:p>
          <w:p>
            <w:pPr>
              <w:spacing w:line="400" w:lineRule="exact"/>
              <w:rPr>
                <w:rFonts w:hint="eastAsia"/>
                <w:color w:val="auto"/>
                <w:sz w:val="24"/>
                <w:szCs w:val="24"/>
                <w:lang w:val="zh-CN"/>
              </w:rPr>
            </w:pPr>
            <w:r>
              <w:rPr>
                <w:rFonts w:hint="eastAsia"/>
                <w:color w:val="auto"/>
                <w:sz w:val="24"/>
                <w:szCs w:val="24"/>
                <w:lang w:val="zh-CN"/>
              </w:rPr>
              <w:t>（1）具有工程类正高级技术职称得3分，具备一级注册结构工程师或注册岩土工程师执业证书得3分。本项最高得6分。</w:t>
            </w:r>
          </w:p>
          <w:p>
            <w:pPr>
              <w:spacing w:line="400" w:lineRule="exact"/>
              <w:rPr>
                <w:rFonts w:hint="eastAsia"/>
                <w:color w:val="auto"/>
                <w:sz w:val="24"/>
                <w:szCs w:val="24"/>
                <w:lang w:val="zh-CN"/>
              </w:rPr>
            </w:pPr>
            <w:r>
              <w:rPr>
                <w:rFonts w:hint="eastAsia"/>
                <w:color w:val="auto"/>
                <w:sz w:val="24"/>
                <w:szCs w:val="24"/>
                <w:lang w:val="zh-CN"/>
              </w:rPr>
              <w:t>（2）具有重庆市建设工程质量检测人员职业培训合格证书，证书类型包含见证取样检测、地基基础工程检测、主体结构工程检测、市政道路工程检测中一项的，得2分。本项最高得4分。</w:t>
            </w:r>
          </w:p>
          <w:p>
            <w:pPr>
              <w:spacing w:line="400" w:lineRule="exact"/>
              <w:rPr>
                <w:rFonts w:hint="eastAsia"/>
                <w:color w:val="auto"/>
                <w:sz w:val="24"/>
                <w:szCs w:val="24"/>
                <w:lang w:val="zh-CN"/>
              </w:rPr>
            </w:pPr>
            <w:r>
              <w:rPr>
                <w:rFonts w:hint="eastAsia"/>
                <w:color w:val="auto"/>
                <w:sz w:val="24"/>
                <w:szCs w:val="24"/>
                <w:lang w:val="zh-CN"/>
              </w:rPr>
              <w:t>2、技术负责人（10分）</w:t>
            </w:r>
          </w:p>
          <w:p>
            <w:pPr>
              <w:spacing w:line="400" w:lineRule="exact"/>
              <w:rPr>
                <w:rFonts w:hint="eastAsia"/>
                <w:color w:val="auto"/>
                <w:sz w:val="24"/>
                <w:szCs w:val="24"/>
                <w:lang w:val="zh-CN"/>
              </w:rPr>
            </w:pPr>
            <w:r>
              <w:rPr>
                <w:rFonts w:hint="eastAsia"/>
                <w:color w:val="auto"/>
                <w:sz w:val="24"/>
                <w:szCs w:val="24"/>
                <w:lang w:val="zh-CN"/>
              </w:rPr>
              <w:t>（1）具有工程类正高级技术职称得3分，具备一级注册结构工程师或注册岩土工程师执业证书得3分。本项最高得6分。</w:t>
            </w:r>
          </w:p>
          <w:p>
            <w:pPr>
              <w:spacing w:line="400" w:lineRule="exact"/>
              <w:rPr>
                <w:rFonts w:hint="eastAsia"/>
                <w:color w:val="auto"/>
                <w:sz w:val="24"/>
                <w:szCs w:val="24"/>
                <w:lang w:val="zh-CN"/>
              </w:rPr>
            </w:pPr>
            <w:r>
              <w:rPr>
                <w:rFonts w:hint="eastAsia"/>
                <w:color w:val="auto"/>
                <w:sz w:val="24"/>
                <w:szCs w:val="24"/>
                <w:lang w:val="zh-CN"/>
              </w:rPr>
              <w:t>（2）具有重庆市建设工程质量检测人员职业培训合格证书，证书类型包含见证取样检测、地基基础工程检测、主体结构工程检测、市政道路工程检测中一项的，得2分。本项最高得4分。</w:t>
            </w:r>
          </w:p>
          <w:p>
            <w:pPr>
              <w:spacing w:line="400" w:lineRule="exact"/>
              <w:rPr>
                <w:rFonts w:hint="eastAsia"/>
                <w:color w:val="auto"/>
                <w:sz w:val="24"/>
                <w:szCs w:val="24"/>
                <w:lang w:val="zh-CN"/>
              </w:rPr>
            </w:pPr>
            <w:r>
              <w:rPr>
                <w:rFonts w:hint="eastAsia"/>
                <w:color w:val="auto"/>
                <w:sz w:val="24"/>
                <w:szCs w:val="24"/>
                <w:lang w:val="zh-CN"/>
              </w:rPr>
              <w:t>3、其他检测人员（5分）</w:t>
            </w:r>
          </w:p>
          <w:p>
            <w:pPr>
              <w:spacing w:line="400" w:lineRule="exact"/>
              <w:rPr>
                <w:color w:val="auto"/>
              </w:rPr>
            </w:pPr>
            <w:r>
              <w:rPr>
                <w:rFonts w:hint="eastAsia"/>
                <w:color w:val="auto"/>
                <w:sz w:val="24"/>
                <w:szCs w:val="24"/>
                <w:lang w:val="zh-CN"/>
              </w:rPr>
              <w:t>其他检测人员（不含项目负责人、技术负责人）每提供一个工程类高级及以上职称得1分，本项最高得5分。</w:t>
            </w:r>
          </w:p>
        </w:tc>
        <w:tc>
          <w:tcPr>
            <w:tcW w:w="2446" w:type="dxa"/>
            <w:noWrap/>
            <w:vAlign w:val="center"/>
          </w:tcPr>
          <w:p>
            <w:pPr>
              <w:rPr>
                <w:color w:val="auto"/>
                <w:sz w:val="24"/>
                <w:szCs w:val="24"/>
              </w:rPr>
            </w:pPr>
            <w:r>
              <w:rPr>
                <w:color w:val="auto"/>
                <w:sz w:val="24"/>
                <w:szCs w:val="24"/>
              </w:rPr>
              <w:t>提供人员</w:t>
            </w:r>
            <w:r>
              <w:rPr>
                <w:rFonts w:hint="eastAsia"/>
                <w:color w:val="auto"/>
                <w:sz w:val="24"/>
                <w:szCs w:val="24"/>
              </w:rPr>
              <w:t>证书</w:t>
            </w:r>
            <w:r>
              <w:rPr>
                <w:rFonts w:hint="eastAsia"/>
                <w:color w:val="auto"/>
                <w:sz w:val="24"/>
                <w:szCs w:val="24"/>
                <w:lang w:eastAsia="zh-CN"/>
              </w:rPr>
              <w:t>复印件</w:t>
            </w:r>
            <w:r>
              <w:rPr>
                <w:color w:val="auto"/>
                <w:sz w:val="24"/>
                <w:szCs w:val="24"/>
              </w:rPr>
              <w:t>及供应商为其缴纳的</w:t>
            </w:r>
            <w:r>
              <w:rPr>
                <w:rFonts w:hint="eastAsia"/>
                <w:color w:val="auto"/>
                <w:sz w:val="24"/>
                <w:szCs w:val="24"/>
                <w:lang w:val="en-US" w:eastAsia="zh-CN"/>
              </w:rPr>
              <w:t>2023年1月-2023年8月的</w:t>
            </w:r>
            <w:r>
              <w:rPr>
                <w:color w:val="auto"/>
                <w:sz w:val="24"/>
                <w:szCs w:val="24"/>
              </w:rPr>
              <w:t>养老保险证明材料</w:t>
            </w:r>
            <w:r>
              <w:rPr>
                <w:rFonts w:hint="eastAsia"/>
                <w:color w:val="auto"/>
                <w:sz w:val="24"/>
                <w:szCs w:val="24"/>
                <w:lang w:eastAsia="zh-CN"/>
              </w:rPr>
              <w:t>，并加盖投标人公章</w:t>
            </w:r>
            <w:r>
              <w:rPr>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spacing w:line="400" w:lineRule="exact"/>
              <w:jc w:val="center"/>
              <w:rPr>
                <w:rFonts w:hint="eastAsia"/>
                <w:color w:val="auto"/>
                <w:sz w:val="24"/>
                <w:szCs w:val="22"/>
              </w:rPr>
            </w:pPr>
            <w:r>
              <w:rPr>
                <w:rFonts w:hint="eastAsia"/>
                <w:color w:val="auto"/>
                <w:sz w:val="24"/>
                <w:szCs w:val="22"/>
              </w:rPr>
              <w:t>企业业绩</w:t>
            </w:r>
          </w:p>
          <w:p>
            <w:pPr>
              <w:spacing w:line="400" w:lineRule="exact"/>
              <w:jc w:val="center"/>
              <w:rPr>
                <w:color w:val="auto"/>
              </w:rPr>
            </w:pPr>
            <w:r>
              <w:rPr>
                <w:rFonts w:hint="eastAsia"/>
                <w:color w:val="auto"/>
                <w:sz w:val="24"/>
                <w:szCs w:val="22"/>
              </w:rPr>
              <w:t>（15分）</w:t>
            </w:r>
          </w:p>
        </w:tc>
        <w:tc>
          <w:tcPr>
            <w:tcW w:w="3640" w:type="dxa"/>
            <w:noWrap/>
            <w:vAlign w:val="center"/>
          </w:tcPr>
          <w:p>
            <w:pPr>
              <w:pStyle w:val="4"/>
              <w:ind w:firstLine="0"/>
              <w:rPr>
                <w:color w:val="auto"/>
              </w:rPr>
            </w:pPr>
            <w:r>
              <w:rPr>
                <w:rFonts w:hint="eastAsia"/>
                <w:color w:val="auto"/>
                <w:sz w:val="24"/>
                <w:szCs w:val="24"/>
              </w:rPr>
              <w:t>在2020年1月1日至投标截止日止（以合同签定时间为准）承担过检测合同额不低于</w:t>
            </w:r>
            <w:r>
              <w:rPr>
                <w:rFonts w:hint="eastAsia"/>
                <w:color w:val="auto"/>
                <w:sz w:val="24"/>
                <w:szCs w:val="24"/>
                <w:lang w:val="en-US" w:eastAsia="zh-CN"/>
              </w:rPr>
              <w:t>30</w:t>
            </w:r>
            <w:r>
              <w:rPr>
                <w:rFonts w:hint="eastAsia"/>
                <w:color w:val="auto"/>
                <w:sz w:val="24"/>
                <w:szCs w:val="24"/>
              </w:rPr>
              <w:t>万元的市政工程质量检测业绩的，每提供1个得5分；本项最多得15分。</w:t>
            </w:r>
          </w:p>
        </w:tc>
        <w:tc>
          <w:tcPr>
            <w:tcW w:w="2446" w:type="dxa"/>
            <w:noWrap/>
            <w:vAlign w:val="center"/>
          </w:tcPr>
          <w:p>
            <w:pPr>
              <w:spacing w:line="400" w:lineRule="exact"/>
              <w:rPr>
                <w:color w:val="auto"/>
                <w:sz w:val="24"/>
                <w:szCs w:val="24"/>
              </w:rPr>
            </w:pPr>
            <w:r>
              <w:rPr>
                <w:rFonts w:hint="eastAsia"/>
                <w:color w:val="auto"/>
                <w:sz w:val="24"/>
                <w:szCs w:val="24"/>
                <w:lang w:val="zh-CN" w:eastAsia="zh-CN"/>
              </w:rPr>
              <w:t>须提供合同证明材料，并加盖投标人公章。合同证明材料中需能体现建筑规模和建筑类别，不能体现的应提供业主证明（格式自拟），否则为无效业绩</w:t>
            </w:r>
            <w:r>
              <w:rPr>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6" w:hRule="atLeast"/>
          <w:jc w:val="center"/>
        </w:trPr>
        <w:tc>
          <w:tcPr>
            <w:tcW w:w="600"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3</w:t>
            </w:r>
          </w:p>
        </w:tc>
        <w:tc>
          <w:tcPr>
            <w:tcW w:w="1284" w:type="dxa"/>
            <w:vMerge w:val="restart"/>
            <w:noWrap/>
            <w:vAlign w:val="center"/>
          </w:tcPr>
          <w:p>
            <w:pPr>
              <w:spacing w:line="400" w:lineRule="exact"/>
              <w:rPr>
                <w:rFonts w:ascii="宋体" w:hAnsi="宋体" w:cs="宋体"/>
                <w:color w:val="auto"/>
                <w:sz w:val="24"/>
                <w:szCs w:val="24"/>
              </w:rPr>
            </w:pPr>
            <w:r>
              <w:rPr>
                <w:rFonts w:hint="eastAsia" w:ascii="宋体" w:hAnsi="宋体" w:cs="宋体"/>
                <w:color w:val="auto"/>
                <w:sz w:val="24"/>
                <w:szCs w:val="24"/>
              </w:rPr>
              <w:t>技术部分</w:t>
            </w:r>
          </w:p>
          <w:p>
            <w:pPr>
              <w:spacing w:line="400" w:lineRule="exact"/>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50</w:t>
            </w:r>
            <w:r>
              <w:rPr>
                <w:rFonts w:hint="eastAsia" w:ascii="宋体" w:hAnsi="宋体" w:cs="宋体"/>
                <w:color w:val="auto"/>
                <w:sz w:val="24"/>
                <w:szCs w:val="24"/>
              </w:rPr>
              <w:t>%）</w:t>
            </w:r>
          </w:p>
        </w:tc>
        <w:tc>
          <w:tcPr>
            <w:tcW w:w="1761" w:type="dxa"/>
            <w:noWrap/>
            <w:vAlign w:val="center"/>
          </w:tcPr>
          <w:p>
            <w:pPr>
              <w:pStyle w:val="4"/>
              <w:ind w:firstLine="0"/>
              <w:jc w:val="center"/>
              <w:rPr>
                <w:color w:val="auto"/>
              </w:rPr>
            </w:pPr>
            <w:r>
              <w:rPr>
                <w:rFonts w:hint="eastAsia" w:hAnsi="宋体"/>
                <w:color w:val="auto"/>
                <w:sz w:val="24"/>
                <w:szCs w:val="24"/>
              </w:rPr>
              <w:t>检测方案及措施（</w:t>
            </w:r>
            <w:r>
              <w:rPr>
                <w:rFonts w:hint="eastAsia" w:hAnsi="宋体"/>
                <w:color w:val="auto"/>
                <w:sz w:val="24"/>
                <w:szCs w:val="24"/>
                <w:lang w:val="en-US" w:eastAsia="zh-CN"/>
              </w:rPr>
              <w:t>10</w:t>
            </w:r>
            <w:r>
              <w:rPr>
                <w:rFonts w:hint="eastAsia" w:hAnsi="宋体"/>
                <w:color w:val="auto"/>
                <w:sz w:val="24"/>
                <w:szCs w:val="24"/>
              </w:rPr>
              <w:t>分）</w:t>
            </w:r>
          </w:p>
        </w:tc>
        <w:tc>
          <w:tcPr>
            <w:tcW w:w="6086"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优7-10（不含7分)：对需检测项目认识深刻、表述全面准确，检测方案科学、系统、安全、经济，可操作性强，保障措施得力，对关键技术、工艺把握准确，应用到位，阐释清晰。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良3-7(不含3分)：对需检测项目认识比较深刻、表述比较全面准确，检测方案比较科学、系统、安全、经济，可操作性比较强，保障措施比较得力，对关键技术、工艺把握比较准确，应用到位，阐释比较清晰。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差0-3分：对需检测项目认识不深刻、表述不全面不准确，或检测方案不科学、不系统、不安全、不经济，或可操作性不强，或保障措施不具体，或对关键技术、工艺把握不准确、阐释不清。</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sz w:val="24"/>
                <w:szCs w:val="24"/>
              </w:rPr>
            </w:pPr>
            <w:r>
              <w:rPr>
                <w:rFonts w:hint="eastAsia" w:ascii="宋体" w:hAnsi="宋体" w:eastAsia="宋体" w:cs="宋体"/>
                <w:color w:val="auto"/>
                <w:sz w:val="24"/>
                <w:szCs w:val="24"/>
                <w:lang w:val="en-US" w:eastAsia="zh-CN"/>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color w:val="auto"/>
              </w:rPr>
            </w:pPr>
            <w:r>
              <w:rPr>
                <w:rFonts w:hint="eastAsia" w:hAnsi="宋体"/>
                <w:color w:val="auto"/>
                <w:sz w:val="24"/>
                <w:szCs w:val="24"/>
              </w:rPr>
              <w:t>项目重点、难点分析和解决措施（10分）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7-10（不含7分)：对需检测项目重点、难点认识全面，论述完整清晰，解决措施符合实际、规范，计划合理，综合措施科学。</w:t>
            </w:r>
          </w:p>
          <w:p>
            <w:pPr>
              <w:spacing w:line="240" w:lineRule="atLeast"/>
              <w:rPr>
                <w:rFonts w:hint="eastAsia" w:hAnsi="宋体"/>
                <w:color w:val="auto"/>
                <w:sz w:val="24"/>
                <w:szCs w:val="22"/>
              </w:rPr>
            </w:pPr>
            <w:r>
              <w:rPr>
                <w:rFonts w:hint="eastAsia" w:hAnsi="宋体"/>
                <w:color w:val="auto"/>
                <w:sz w:val="24"/>
                <w:szCs w:val="22"/>
              </w:rPr>
              <w:t>良3-7(不含3分)：对需检测项目重点、难点认识比较全面，论述比较完整清晰，解决措施比较符合实际、规范，计划比较合理，综合措施比较科学。</w:t>
            </w:r>
          </w:p>
          <w:p>
            <w:pPr>
              <w:spacing w:line="240" w:lineRule="atLeast"/>
              <w:rPr>
                <w:rFonts w:hint="eastAsia" w:hAnsi="宋体"/>
                <w:color w:val="auto"/>
                <w:sz w:val="24"/>
                <w:szCs w:val="22"/>
              </w:rPr>
            </w:pPr>
            <w:r>
              <w:rPr>
                <w:rFonts w:hint="eastAsia" w:hAnsi="宋体"/>
                <w:color w:val="auto"/>
                <w:sz w:val="24"/>
                <w:szCs w:val="22"/>
              </w:rPr>
              <w:t>差0-3分：对需检测项目重点、难点认识不全面，论述不完整不清晰，或解决措施不够符合实际、规范，或计划不够合理，或综合措施不够科学。</w:t>
            </w:r>
          </w:p>
          <w:p>
            <w:pPr>
              <w:spacing w:line="240" w:lineRule="atLeast"/>
              <w:rPr>
                <w:color w:val="auto"/>
                <w:sz w:val="24"/>
                <w:szCs w:val="24"/>
              </w:rPr>
            </w:pPr>
            <w:r>
              <w:rPr>
                <w:rFonts w:hint="eastAsia" w:hAnsi="宋体"/>
                <w:color w:val="auto"/>
                <w:sz w:val="24"/>
                <w:szCs w:val="22"/>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color w:val="auto"/>
              </w:rPr>
            </w:pPr>
            <w:r>
              <w:rPr>
                <w:rFonts w:hint="eastAsia" w:hAnsi="宋体"/>
                <w:color w:val="auto"/>
                <w:sz w:val="24"/>
                <w:szCs w:val="24"/>
                <w:lang w:eastAsia="zh-CN"/>
              </w:rPr>
              <w:t>检测工作质量、安全保障措施（10分）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7-10（不含7分)：检测工作质量、安全保障措施完整、详细，与本项目相适应。</w:t>
            </w:r>
          </w:p>
          <w:p>
            <w:pPr>
              <w:spacing w:line="240" w:lineRule="atLeast"/>
              <w:rPr>
                <w:rFonts w:hint="eastAsia" w:hAnsi="宋体"/>
                <w:color w:val="auto"/>
                <w:sz w:val="24"/>
                <w:szCs w:val="22"/>
              </w:rPr>
            </w:pPr>
            <w:r>
              <w:rPr>
                <w:rFonts w:hint="eastAsia" w:hAnsi="宋体"/>
                <w:color w:val="auto"/>
                <w:sz w:val="24"/>
                <w:szCs w:val="22"/>
              </w:rPr>
              <w:t>良3-7(不含3分)：检测工作质量、安全保障措施比较完整、详细，与本项目较适应。</w:t>
            </w:r>
          </w:p>
          <w:p>
            <w:pPr>
              <w:spacing w:line="240" w:lineRule="atLeast"/>
              <w:rPr>
                <w:rFonts w:hint="eastAsia" w:hAnsi="宋体"/>
                <w:color w:val="auto"/>
                <w:sz w:val="24"/>
                <w:szCs w:val="22"/>
              </w:rPr>
            </w:pPr>
            <w:r>
              <w:rPr>
                <w:rFonts w:hint="eastAsia" w:hAnsi="宋体"/>
                <w:color w:val="auto"/>
                <w:sz w:val="24"/>
                <w:szCs w:val="22"/>
              </w:rPr>
              <w:t>差0-3分：检测工作质量、安全保障措施不完整、不详细，与本项目不适应。</w:t>
            </w:r>
          </w:p>
          <w:p>
            <w:pPr>
              <w:spacing w:line="240" w:lineRule="atLeast"/>
              <w:rPr>
                <w:rFonts w:hAnsi="宋体"/>
                <w:color w:val="auto"/>
                <w:sz w:val="24"/>
                <w:szCs w:val="22"/>
              </w:rPr>
            </w:pPr>
            <w:r>
              <w:rPr>
                <w:rFonts w:hint="eastAsia" w:hAnsi="宋体"/>
                <w:color w:val="auto"/>
                <w:sz w:val="24"/>
                <w:szCs w:val="22"/>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color w:val="auto"/>
              </w:rPr>
            </w:pPr>
            <w:r>
              <w:rPr>
                <w:rFonts w:hint="eastAsia" w:hAnsi="宋体"/>
                <w:color w:val="auto"/>
                <w:sz w:val="24"/>
                <w:szCs w:val="24"/>
                <w:lang w:eastAsia="zh-CN"/>
              </w:rPr>
              <w:t>进度保障措施（10分）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 7-10（不含7分)：检测工作进度保障措施完整、详细，与本项目相适应。</w:t>
            </w:r>
          </w:p>
          <w:p>
            <w:pPr>
              <w:spacing w:line="240" w:lineRule="atLeast"/>
              <w:rPr>
                <w:rFonts w:hint="eastAsia" w:hAnsi="宋体"/>
                <w:color w:val="auto"/>
                <w:sz w:val="24"/>
                <w:szCs w:val="22"/>
              </w:rPr>
            </w:pPr>
            <w:r>
              <w:rPr>
                <w:rFonts w:hint="eastAsia" w:hAnsi="宋体"/>
                <w:color w:val="auto"/>
                <w:sz w:val="24"/>
                <w:szCs w:val="22"/>
              </w:rPr>
              <w:t>良3-7(不含3分)：检测工作进度保障措施比较完整、详细，与本项目较适应。</w:t>
            </w:r>
          </w:p>
          <w:p>
            <w:pPr>
              <w:spacing w:line="240" w:lineRule="atLeast"/>
              <w:rPr>
                <w:rFonts w:hint="eastAsia" w:hAnsi="宋体"/>
                <w:color w:val="auto"/>
                <w:sz w:val="24"/>
                <w:szCs w:val="22"/>
              </w:rPr>
            </w:pPr>
            <w:r>
              <w:rPr>
                <w:rFonts w:hint="eastAsia" w:hAnsi="宋体"/>
                <w:color w:val="auto"/>
                <w:sz w:val="24"/>
                <w:szCs w:val="22"/>
              </w:rPr>
              <w:t>差0-3分：检测工作进度保障措施不完整、不详细，与本项目不适应。</w:t>
            </w:r>
          </w:p>
          <w:p>
            <w:pPr>
              <w:spacing w:line="240" w:lineRule="atLeast"/>
              <w:rPr>
                <w:rFonts w:hAnsi="宋体"/>
                <w:color w:val="auto"/>
                <w:sz w:val="24"/>
                <w:szCs w:val="22"/>
              </w:rPr>
            </w:pPr>
            <w:r>
              <w:rPr>
                <w:rFonts w:hint="eastAsia" w:hAnsi="宋体"/>
                <w:color w:val="auto"/>
                <w:sz w:val="24"/>
                <w:szCs w:val="22"/>
              </w:rPr>
              <w:t>无此项内容得0分。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600" w:type="dxa"/>
            <w:vMerge w:val="continue"/>
            <w:noWrap/>
            <w:vAlign w:val="center"/>
          </w:tcPr>
          <w:p>
            <w:pPr>
              <w:spacing w:line="400" w:lineRule="exact"/>
              <w:rPr>
                <w:rFonts w:ascii="宋体" w:hAnsi="宋体" w:cs="宋体"/>
                <w:color w:val="auto"/>
                <w:sz w:val="24"/>
                <w:szCs w:val="24"/>
              </w:rPr>
            </w:pPr>
          </w:p>
        </w:tc>
        <w:tc>
          <w:tcPr>
            <w:tcW w:w="1284" w:type="dxa"/>
            <w:vMerge w:val="continue"/>
            <w:noWrap/>
            <w:vAlign w:val="center"/>
          </w:tcPr>
          <w:p>
            <w:pPr>
              <w:spacing w:line="400" w:lineRule="exact"/>
              <w:rPr>
                <w:rFonts w:ascii="宋体" w:hAnsi="宋体" w:cs="宋体"/>
                <w:color w:val="auto"/>
                <w:sz w:val="24"/>
                <w:szCs w:val="24"/>
              </w:rPr>
            </w:pPr>
          </w:p>
        </w:tc>
        <w:tc>
          <w:tcPr>
            <w:tcW w:w="1761" w:type="dxa"/>
            <w:noWrap/>
            <w:vAlign w:val="center"/>
          </w:tcPr>
          <w:p>
            <w:pPr>
              <w:pStyle w:val="4"/>
              <w:ind w:firstLine="0"/>
              <w:jc w:val="center"/>
              <w:rPr>
                <w:rFonts w:hint="eastAsia" w:hAnsi="宋体"/>
                <w:color w:val="auto"/>
                <w:sz w:val="24"/>
                <w:szCs w:val="24"/>
                <w:lang w:eastAsia="zh-CN"/>
              </w:rPr>
            </w:pPr>
            <w:r>
              <w:rPr>
                <w:rFonts w:hint="eastAsia"/>
                <w:vertAlign w:val="baseline"/>
                <w:lang w:val="en-US" w:eastAsia="zh-CN"/>
              </w:rPr>
              <w:t>组织协调措施（10分）</w:t>
            </w:r>
          </w:p>
        </w:tc>
        <w:tc>
          <w:tcPr>
            <w:tcW w:w="6086" w:type="dxa"/>
            <w:gridSpan w:val="2"/>
            <w:noWrap/>
            <w:vAlign w:val="center"/>
          </w:tcPr>
          <w:p>
            <w:pPr>
              <w:spacing w:line="240" w:lineRule="atLeast"/>
              <w:rPr>
                <w:rFonts w:hint="eastAsia" w:hAnsi="宋体"/>
                <w:color w:val="auto"/>
                <w:sz w:val="24"/>
                <w:szCs w:val="22"/>
              </w:rPr>
            </w:pPr>
            <w:r>
              <w:rPr>
                <w:rFonts w:hint="eastAsia" w:hAnsi="宋体"/>
                <w:color w:val="auto"/>
                <w:sz w:val="24"/>
                <w:szCs w:val="22"/>
              </w:rPr>
              <w:t>优</w:t>
            </w:r>
            <w:r>
              <w:rPr>
                <w:rFonts w:hint="default" w:hAnsi="宋体"/>
                <w:color w:val="auto"/>
                <w:sz w:val="24"/>
                <w:szCs w:val="22"/>
                <w:lang w:val="en-US" w:eastAsia="zh-CN"/>
              </w:rPr>
              <w:t>7-10（不含7分)</w:t>
            </w:r>
            <w:r>
              <w:rPr>
                <w:rFonts w:hint="eastAsia" w:hAnsi="宋体"/>
                <w:color w:val="auto"/>
                <w:sz w:val="24"/>
                <w:szCs w:val="22"/>
              </w:rPr>
              <w:t>：检测工作</w:t>
            </w:r>
            <w:r>
              <w:rPr>
                <w:rFonts w:hint="eastAsia" w:hAnsi="宋体"/>
                <w:color w:val="auto"/>
                <w:sz w:val="24"/>
                <w:szCs w:val="22"/>
                <w:lang w:val="en-US" w:eastAsia="zh-CN"/>
              </w:rPr>
              <w:t>组织协调措施</w:t>
            </w:r>
            <w:r>
              <w:rPr>
                <w:rFonts w:hint="eastAsia" w:hAnsi="宋体"/>
                <w:color w:val="auto"/>
                <w:sz w:val="24"/>
                <w:szCs w:val="22"/>
              </w:rPr>
              <w:t>完整、详细，与本项目相适应。</w:t>
            </w:r>
          </w:p>
          <w:p>
            <w:pPr>
              <w:spacing w:line="240" w:lineRule="atLeast"/>
              <w:rPr>
                <w:rFonts w:hint="eastAsia" w:hAnsi="宋体"/>
                <w:color w:val="auto"/>
                <w:sz w:val="24"/>
                <w:szCs w:val="22"/>
              </w:rPr>
            </w:pPr>
            <w:r>
              <w:rPr>
                <w:rFonts w:hint="eastAsia" w:hAnsi="宋体"/>
                <w:color w:val="auto"/>
                <w:sz w:val="24"/>
                <w:szCs w:val="22"/>
              </w:rPr>
              <w:t>良</w:t>
            </w:r>
            <w:r>
              <w:rPr>
                <w:rFonts w:hint="default" w:hAnsi="宋体"/>
                <w:color w:val="auto"/>
                <w:sz w:val="24"/>
                <w:szCs w:val="22"/>
                <w:lang w:val="en-US" w:eastAsia="zh-CN"/>
              </w:rPr>
              <w:t>3-7(不含3分)</w:t>
            </w:r>
            <w:r>
              <w:rPr>
                <w:rFonts w:hint="eastAsia" w:hAnsi="宋体"/>
                <w:color w:val="auto"/>
                <w:sz w:val="24"/>
                <w:szCs w:val="22"/>
              </w:rPr>
              <w:t>：检测工作</w:t>
            </w:r>
            <w:r>
              <w:rPr>
                <w:rFonts w:hint="eastAsia" w:hAnsi="宋体"/>
                <w:color w:val="auto"/>
                <w:sz w:val="24"/>
                <w:szCs w:val="22"/>
                <w:lang w:val="en-US" w:eastAsia="zh-CN"/>
              </w:rPr>
              <w:t>组织协调措施</w:t>
            </w:r>
            <w:r>
              <w:rPr>
                <w:rFonts w:hint="eastAsia" w:hAnsi="宋体"/>
                <w:color w:val="auto"/>
                <w:sz w:val="24"/>
                <w:szCs w:val="22"/>
              </w:rPr>
              <w:t>比较完整、详细，与本项目较适应。</w:t>
            </w:r>
          </w:p>
          <w:p>
            <w:pPr>
              <w:spacing w:line="240" w:lineRule="atLeast"/>
              <w:rPr>
                <w:rFonts w:hint="eastAsia" w:hAnsi="宋体"/>
                <w:color w:val="auto"/>
                <w:sz w:val="24"/>
                <w:szCs w:val="22"/>
              </w:rPr>
            </w:pPr>
            <w:r>
              <w:rPr>
                <w:rFonts w:hint="eastAsia" w:hAnsi="宋体"/>
                <w:color w:val="auto"/>
                <w:sz w:val="24"/>
                <w:szCs w:val="22"/>
              </w:rPr>
              <w:t>差</w:t>
            </w:r>
            <w:r>
              <w:rPr>
                <w:rFonts w:hint="default" w:hAnsi="宋体"/>
                <w:color w:val="auto"/>
                <w:sz w:val="24"/>
                <w:szCs w:val="22"/>
                <w:lang w:val="en-US" w:eastAsia="zh-CN"/>
              </w:rPr>
              <w:t>0-3</w:t>
            </w:r>
            <w:r>
              <w:rPr>
                <w:rFonts w:hint="eastAsia" w:hAnsi="宋体"/>
                <w:color w:val="auto"/>
                <w:sz w:val="24"/>
                <w:szCs w:val="22"/>
              </w:rPr>
              <w:t>分：检测工作</w:t>
            </w:r>
            <w:r>
              <w:rPr>
                <w:rFonts w:hint="eastAsia" w:hAnsi="宋体"/>
                <w:color w:val="auto"/>
                <w:sz w:val="24"/>
                <w:szCs w:val="22"/>
                <w:lang w:val="en-US" w:eastAsia="zh-CN"/>
              </w:rPr>
              <w:t>组织协调措施</w:t>
            </w:r>
            <w:r>
              <w:rPr>
                <w:rFonts w:hint="eastAsia" w:hAnsi="宋体"/>
                <w:color w:val="auto"/>
                <w:sz w:val="24"/>
                <w:szCs w:val="22"/>
              </w:rPr>
              <w:t>不完整、不详细，与本项目不适应。</w:t>
            </w:r>
          </w:p>
          <w:p>
            <w:pPr>
              <w:spacing w:line="240" w:lineRule="atLeast"/>
              <w:rPr>
                <w:rFonts w:hint="eastAsia" w:hAnsi="宋体"/>
                <w:color w:val="auto"/>
                <w:sz w:val="24"/>
                <w:szCs w:val="22"/>
              </w:rPr>
            </w:pPr>
            <w:r>
              <w:rPr>
                <w:rFonts w:hint="eastAsia" w:hAnsi="宋体"/>
                <w:color w:val="auto"/>
                <w:sz w:val="24"/>
                <w:szCs w:val="22"/>
              </w:rPr>
              <w:t>无此项内容得0分。</w:t>
            </w:r>
          </w:p>
        </w:tc>
      </w:tr>
    </w:tbl>
    <w:p>
      <w:pPr>
        <w:snapToGrid w:val="0"/>
        <w:spacing w:line="360" w:lineRule="auto"/>
        <w:ind w:firstLine="465"/>
        <w:rPr>
          <w:rFonts w:hint="eastAsia" w:ascii="宋体" w:hAnsi="宋体" w:cs="宋体"/>
          <w:color w:val="auto"/>
          <w:sz w:val="24"/>
          <w:szCs w:val="24"/>
        </w:rPr>
      </w:pPr>
      <w:bookmarkStart w:id="32" w:name="_Toc54278997"/>
      <w:r>
        <w:rPr>
          <w:rFonts w:hint="eastAsia" w:ascii="宋体" w:hAnsi="宋体" w:cs="宋体"/>
          <w:color w:val="auto"/>
          <w:sz w:val="24"/>
          <w:szCs w:val="24"/>
        </w:rPr>
        <w:t>所有计算及得分保留至小数点后两位，小数点后第三位四舍五入。</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关于小微企业报价扣除比例说明</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1.对小微型企业给予6%的扣除，以扣除后的报价参与评审。</w:t>
      </w:r>
    </w:p>
    <w:p>
      <w:pPr>
        <w:snapToGrid w:val="0"/>
        <w:spacing w:line="360" w:lineRule="auto"/>
        <w:ind w:firstLine="465"/>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color w:val="auto"/>
          <w:sz w:val="24"/>
          <w:szCs w:val="24"/>
        </w:rPr>
      </w:pPr>
      <w:r>
        <w:rPr>
          <w:rFonts w:hint="eastAsia" w:ascii="宋体" w:hAnsi="宋体" w:cs="宋体"/>
          <w:b/>
          <w:bCs/>
          <w:color w:val="auto"/>
          <w:sz w:val="24"/>
          <w:szCs w:val="24"/>
        </w:rPr>
        <w:t>三、无效响应</w:t>
      </w:r>
      <w:bookmarkEnd w:id="32"/>
    </w:p>
    <w:p>
      <w:pPr>
        <w:snapToGrid w:val="0"/>
        <w:spacing w:line="360" w:lineRule="auto"/>
        <w:ind w:firstLine="465"/>
        <w:rPr>
          <w:rFonts w:ascii="宋体" w:hAnsi="宋体" w:cs="宋体"/>
          <w:color w:val="auto"/>
          <w:sz w:val="24"/>
          <w:szCs w:val="24"/>
        </w:rPr>
      </w:pPr>
      <w:bookmarkStart w:id="33" w:name="_Toc54278998"/>
      <w:r>
        <w:rPr>
          <w:rFonts w:hint="eastAsia" w:ascii="宋体" w:hAnsi="宋体" w:cs="宋体"/>
          <w:color w:val="auto"/>
          <w:sz w:val="24"/>
          <w:szCs w:val="24"/>
        </w:rPr>
        <w:t>竞标人发生以下条款情况之一者，视为无效响应，其响应文件将被拒绝：</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（一）竞标人不符合规定的基本资格条件或特定资格条件的；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（二）竞标人的法定代表人或其授权代表未参加磋商；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（三）竞标人未按照竞争性磋商文件的要求缴纳磋商保证金；</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（四）竞标人所提交的响应文件不按第七篇“响应文件编制要求”规定编制或签字、盖章；</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（五）竞标人的最后报价超过采购预算的；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（七）单位负责人为同一人或者存在直接控股、管理关系的不同竞标人，参加同一合同项下的政府采购活动的；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（九）竞标人响应文件内容有与国家现行法律法规相违背的内容，或附有采购人无法接受的条件。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（十）本磋商文件规定的其它情形。</w:t>
      </w:r>
    </w:p>
    <w:p>
      <w:pPr>
        <w:pStyle w:val="3"/>
        <w:spacing w:line="360" w:lineRule="auto"/>
        <w:rPr>
          <w:rFonts w:ascii="宋体" w:hAnsi="宋体" w:cs="宋体"/>
          <w:color w:val="auto"/>
          <w:sz w:val="24"/>
          <w:szCs w:val="24"/>
        </w:rPr>
      </w:pPr>
      <w:r>
        <w:rPr>
          <w:rFonts w:hint="eastAsia" w:ascii="宋体" w:hAnsi="宋体" w:cs="宋体"/>
          <w:color w:val="auto"/>
          <w:sz w:val="24"/>
          <w:szCs w:val="24"/>
        </w:rPr>
        <w:t>四、</w:t>
      </w:r>
      <w:bookmarkEnd w:id="30"/>
      <w:bookmarkEnd w:id="31"/>
      <w:r>
        <w:rPr>
          <w:rFonts w:hint="eastAsia" w:ascii="宋体" w:hAnsi="宋体" w:cs="宋体"/>
          <w:color w:val="auto"/>
          <w:sz w:val="24"/>
          <w:szCs w:val="24"/>
        </w:rPr>
        <w:t>采购终止</w:t>
      </w:r>
      <w:bookmarkEnd w:id="33"/>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（一）因情况变化，不再符合规定的竞争性磋商采购方式适用情形的；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（二）出现影响采购公正的违法、违规行为的；</w:t>
      </w:r>
    </w:p>
    <w:p>
      <w:pPr>
        <w:snapToGrid w:val="0"/>
        <w:spacing w:line="360" w:lineRule="auto"/>
        <w:ind w:firstLine="465"/>
        <w:rPr>
          <w:rFonts w:ascii="宋体" w:hAnsi="宋体" w:cs="宋体"/>
          <w:color w:val="auto"/>
          <w:sz w:val="24"/>
          <w:szCs w:val="24"/>
        </w:rPr>
      </w:pPr>
      <w:r>
        <w:rPr>
          <w:rFonts w:hint="eastAsia" w:ascii="宋体" w:hAnsi="宋体" w:cs="宋体"/>
          <w:color w:val="auto"/>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rPr>
        <w:sectPr>
          <w:footerReference r:id="rId7" w:type="default"/>
          <w:pgSz w:w="11907" w:h="16840"/>
          <w:pgMar w:top="1134" w:right="1191" w:bottom="1134" w:left="1304" w:header="964" w:footer="992" w:gutter="0"/>
          <w:pgNumType w:fmt="numberInDash"/>
          <w:cols w:space="720" w:num="1"/>
          <w:docGrid w:linePitch="312" w:charSpace="0"/>
        </w:sectPr>
      </w:pPr>
    </w:p>
    <w:p>
      <w:pPr>
        <w:pStyle w:val="2"/>
        <w:spacing w:line="312" w:lineRule="auto"/>
        <w:jc w:val="center"/>
        <w:rPr>
          <w:rFonts w:ascii="宋体" w:hAnsi="宋体" w:eastAsia="宋体" w:cs="宋体"/>
          <w:bCs/>
          <w:color w:val="auto"/>
          <w:szCs w:val="30"/>
        </w:rPr>
      </w:pPr>
      <w:bookmarkStart w:id="34" w:name="_Toc21400"/>
      <w:bookmarkStart w:id="35" w:name="_Toc25636"/>
      <w:bookmarkStart w:id="36" w:name="_Toc102227313"/>
      <w:bookmarkStart w:id="37" w:name="_Toc25652"/>
      <w:bookmarkStart w:id="38" w:name="_Toc12789059"/>
      <w:bookmarkStart w:id="39" w:name="_Toc11641055"/>
      <w:r>
        <w:rPr>
          <w:rFonts w:hint="eastAsia" w:ascii="宋体" w:hAnsi="宋体" w:eastAsia="宋体" w:cs="宋体"/>
          <w:bCs/>
          <w:color w:val="auto"/>
          <w:sz w:val="36"/>
          <w:szCs w:val="30"/>
        </w:rPr>
        <w:t>第五篇  供应商须知</w:t>
      </w:r>
      <w:bookmarkEnd w:id="34"/>
      <w:bookmarkEnd w:id="35"/>
      <w:bookmarkEnd w:id="36"/>
      <w:bookmarkEnd w:id="37"/>
    </w:p>
    <w:p>
      <w:pPr>
        <w:pStyle w:val="3"/>
        <w:spacing w:before="0" w:after="0" w:line="360" w:lineRule="auto"/>
        <w:rPr>
          <w:rFonts w:ascii="宋体" w:hAnsi="宋体" w:cs="宋体"/>
          <w:color w:val="auto"/>
          <w:sz w:val="24"/>
          <w:szCs w:val="24"/>
        </w:rPr>
      </w:pPr>
      <w:bookmarkStart w:id="40" w:name="_Toc18058"/>
      <w:bookmarkStart w:id="41" w:name="_Toc342913389"/>
      <w:bookmarkStart w:id="42" w:name="_Toc24338"/>
      <w:bookmarkStart w:id="43" w:name="_Toc465"/>
      <w:r>
        <w:rPr>
          <w:rFonts w:hint="eastAsia" w:ascii="宋体" w:hAnsi="宋体" w:cs="宋体"/>
          <w:color w:val="auto"/>
          <w:sz w:val="24"/>
          <w:szCs w:val="24"/>
        </w:rPr>
        <w:t>一、磋商费用</w:t>
      </w:r>
      <w:bookmarkEnd w:id="40"/>
      <w:bookmarkEnd w:id="41"/>
      <w:bookmarkEnd w:id="42"/>
      <w:bookmarkEnd w:id="43"/>
    </w:p>
    <w:p>
      <w:pPr>
        <w:pStyle w:val="17"/>
        <w:spacing w:line="360" w:lineRule="auto"/>
        <w:ind w:firstLine="480" w:firstLineChars="200"/>
        <w:rPr>
          <w:rFonts w:hAnsi="宋体" w:cs="宋体"/>
          <w:color w:val="auto"/>
          <w:sz w:val="24"/>
          <w:szCs w:val="24"/>
        </w:rPr>
      </w:pPr>
      <w:r>
        <w:rPr>
          <w:rFonts w:hint="eastAsia" w:hAnsi="宋体" w:cs="宋体"/>
          <w:color w:val="auto"/>
          <w:sz w:val="24"/>
          <w:szCs w:val="24"/>
        </w:rPr>
        <w:t>参与磋商的供应商应承担其编制响应文件与递交响应文件所涉及的一切费用，不论磋商结果如何，采购人在任何情况下无义务也无责任承担这些费用。</w:t>
      </w:r>
    </w:p>
    <w:p>
      <w:pPr>
        <w:pStyle w:val="3"/>
        <w:tabs>
          <w:tab w:val="left" w:pos="2640"/>
        </w:tabs>
        <w:spacing w:before="0" w:after="0" w:line="360" w:lineRule="auto"/>
        <w:rPr>
          <w:rFonts w:ascii="宋体" w:hAnsi="宋体" w:cs="宋体"/>
          <w:color w:val="auto"/>
          <w:sz w:val="24"/>
          <w:szCs w:val="24"/>
        </w:rPr>
      </w:pPr>
      <w:bookmarkStart w:id="44" w:name="_Toc9574"/>
      <w:bookmarkStart w:id="45" w:name="_Toc889"/>
      <w:bookmarkStart w:id="46" w:name="_Toc29852"/>
      <w:bookmarkStart w:id="47" w:name="_Toc342913391"/>
      <w:r>
        <w:rPr>
          <w:rFonts w:hint="eastAsia" w:ascii="宋体" w:hAnsi="宋体" w:cs="宋体"/>
          <w:color w:val="auto"/>
          <w:sz w:val="24"/>
          <w:szCs w:val="24"/>
        </w:rPr>
        <w:t>二、磋商</w:t>
      </w:r>
      <w:r>
        <w:rPr>
          <w:rFonts w:ascii="宋体" w:hAnsi="宋体" w:cs="宋体"/>
          <w:color w:val="auto"/>
          <w:sz w:val="24"/>
          <w:szCs w:val="24"/>
        </w:rPr>
        <w:t>采购</w:t>
      </w:r>
      <w:r>
        <w:rPr>
          <w:rFonts w:hint="eastAsia" w:ascii="宋体" w:hAnsi="宋体" w:cs="宋体"/>
          <w:color w:val="auto"/>
          <w:sz w:val="24"/>
          <w:szCs w:val="24"/>
        </w:rPr>
        <w:t>文件</w:t>
      </w:r>
      <w:bookmarkEnd w:id="44"/>
      <w:bookmarkEnd w:id="45"/>
      <w:bookmarkEnd w:id="46"/>
      <w:bookmarkEnd w:id="47"/>
    </w:p>
    <w:p>
      <w:pPr>
        <w:pStyle w:val="3"/>
        <w:spacing w:before="0" w:after="0" w:line="360" w:lineRule="auto"/>
        <w:ind w:firstLine="480" w:firstLineChars="200"/>
        <w:rPr>
          <w:rFonts w:ascii="宋体" w:hAnsi="宋体" w:cs="宋体"/>
          <w:b w:val="0"/>
          <w:color w:val="auto"/>
          <w:sz w:val="24"/>
          <w:szCs w:val="24"/>
        </w:rPr>
      </w:pPr>
      <w:bookmarkStart w:id="48" w:name="_Toc179714297"/>
      <w:bookmarkStart w:id="49" w:name="_Toc102227318"/>
      <w:bookmarkStart w:id="50" w:name="_Toc342913392"/>
      <w:bookmarkStart w:id="51" w:name="_Toc1269"/>
      <w:bookmarkStart w:id="52" w:name="_Toc16134"/>
      <w:bookmarkStart w:id="53" w:name="_Toc19161"/>
      <w:r>
        <w:rPr>
          <w:rFonts w:hint="eastAsia" w:ascii="宋体" w:hAnsi="宋体" w:cs="宋体"/>
          <w:b w:val="0"/>
          <w:color w:val="auto"/>
          <w:sz w:val="24"/>
          <w:szCs w:val="24"/>
        </w:rPr>
        <w:t>（一）竞争性磋商文件由采购邀请书、项目服务需求、供应商须知、项目商务需求、磋商程序及方法、评审标准、无效响应和采购终止、供应商须知、政府采购合同、响应文件编制要求七部分组成。</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（二）采购人所作的一切有效的书面通知、修改及补充，都是竞争性磋商文件不可分割的部分。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（三）竞争性磋商文件的解释</w:t>
      </w:r>
    </w:p>
    <w:p>
      <w:pPr>
        <w:pStyle w:val="3"/>
        <w:spacing w:before="0" w:after="0" w:line="360" w:lineRule="auto"/>
        <w:rPr>
          <w:rFonts w:ascii="宋体" w:hAnsi="宋体" w:cs="宋体"/>
          <w:b w:val="0"/>
          <w:color w:val="auto"/>
          <w:sz w:val="24"/>
          <w:szCs w:val="24"/>
        </w:rPr>
      </w:pPr>
      <w:r>
        <w:rPr>
          <w:rFonts w:hint="eastAsia" w:ascii="宋体" w:hAnsi="宋体" w:cs="宋体"/>
          <w:b w:val="0"/>
          <w:color w:val="auto"/>
          <w:sz w:val="24"/>
          <w:szCs w:val="24"/>
        </w:rPr>
        <w:t>供应商如对竞争性磋商文件有疑问，必须以书面形式在提交响应文件截止时间3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（四）本竞争性磋商文件中，磋商小组根据与供应商进行磋商可能实质性变动的内容为竞争性磋商文件第二、三、六篇全部内容。</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（五）评审的依据为竞争性磋商文件和响应文件（含有效的书面承诺）。磋商小组判断响应文件对竞争性磋商文件的响应，仅基于响应文件本身而不靠外部证据。</w:t>
      </w:r>
    </w:p>
    <w:p>
      <w:pPr>
        <w:pStyle w:val="3"/>
        <w:spacing w:before="0" w:after="0" w:line="360" w:lineRule="auto"/>
        <w:rPr>
          <w:rFonts w:ascii="宋体" w:hAnsi="宋体" w:cs="宋体"/>
          <w:color w:val="auto"/>
          <w:sz w:val="24"/>
          <w:szCs w:val="24"/>
        </w:rPr>
      </w:pPr>
      <w:r>
        <w:rPr>
          <w:rFonts w:hint="eastAsia" w:ascii="宋体" w:hAnsi="宋体" w:cs="宋体"/>
          <w:color w:val="auto"/>
          <w:sz w:val="24"/>
          <w:szCs w:val="24"/>
        </w:rPr>
        <w:t>三、磋商要求</w:t>
      </w:r>
      <w:bookmarkEnd w:id="48"/>
      <w:bookmarkEnd w:id="49"/>
      <w:bookmarkEnd w:id="50"/>
      <w:bookmarkEnd w:id="51"/>
      <w:bookmarkEnd w:id="52"/>
      <w:bookmarkEnd w:id="53"/>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（一）响应文件</w:t>
      </w:r>
      <w:bookmarkStart w:id="54" w:name="_Toc13950"/>
      <w:bookmarkStart w:id="55" w:name="_Toc10966"/>
      <w:bookmarkStart w:id="56" w:name="_Toc1836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2.响应文件组成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（二）磋商有效期：响应文件及有关承诺文件有效期为提交响应文件截止时间起90天。</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（三）修正错误</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1.若供应商所递交的响应文件或最后报价中的价格出现大写金额和小写金额不一致的错误，以大写金额修正为准。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（四）提交响应文件的份数和签署</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1.响应文件一式两份，其中正本一份，副本一份；副本可为正本的复印件，应与正本一致，如出现不一致情况以正本为准。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2.响应文件按竞争性磋商文件“第七篇响应文件编制要求”要求签署或盖章。</w:t>
      </w:r>
    </w:p>
    <w:p>
      <w:pPr>
        <w:pStyle w:val="3"/>
        <w:spacing w:before="0" w:after="0" w:line="360" w:lineRule="auto"/>
        <w:ind w:firstLine="240" w:firstLineChars="100"/>
        <w:rPr>
          <w:rFonts w:ascii="宋体" w:hAnsi="宋体" w:cs="宋体"/>
          <w:b w:val="0"/>
          <w:color w:val="auto"/>
          <w:sz w:val="24"/>
          <w:szCs w:val="24"/>
        </w:rPr>
      </w:pPr>
      <w:r>
        <w:rPr>
          <w:rFonts w:hint="eastAsia" w:ascii="宋体" w:hAnsi="宋体" w:cs="宋体"/>
          <w:b w:val="0"/>
          <w:color w:val="auto"/>
          <w:sz w:val="24"/>
          <w:szCs w:val="24"/>
        </w:rPr>
        <w:t>（五）响应文件的递交</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响应文件的正本、副本均应密封送达磋商地点，应在封套上注明磋商项目名称、供应商名称。若正本、副本分别进行密封的，还应在封套上注明“正本”、“副本”字样。</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（六）供应商参与人员</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各个供应商应当派1-2名代表参与磋商，至少1人应为法定代表人（或其授权代表）或自然人（供应商为自然人）。</w:t>
      </w:r>
    </w:p>
    <w:p>
      <w:pPr>
        <w:pStyle w:val="3"/>
        <w:spacing w:before="0" w:after="0" w:line="360" w:lineRule="auto"/>
        <w:rPr>
          <w:rFonts w:ascii="宋体" w:hAnsi="宋体" w:cs="宋体"/>
          <w:color w:val="auto"/>
          <w:sz w:val="24"/>
          <w:szCs w:val="24"/>
        </w:rPr>
      </w:pPr>
      <w:r>
        <w:rPr>
          <w:rFonts w:hint="eastAsia" w:ascii="宋体" w:hAnsi="宋体" w:cs="宋体"/>
          <w:color w:val="auto"/>
          <w:sz w:val="24"/>
          <w:szCs w:val="24"/>
        </w:rPr>
        <w:t>四、成交供应商的确认和变更</w:t>
      </w:r>
      <w:bookmarkEnd w:id="54"/>
      <w:bookmarkEnd w:id="55"/>
      <w:bookmarkEnd w:id="56"/>
    </w:p>
    <w:p>
      <w:pPr>
        <w:pStyle w:val="3"/>
        <w:spacing w:before="0" w:after="0" w:line="360" w:lineRule="auto"/>
        <w:ind w:firstLine="480" w:firstLineChars="200"/>
        <w:rPr>
          <w:rFonts w:ascii="宋体" w:hAnsi="宋体" w:cs="宋体"/>
          <w:b w:val="0"/>
          <w:color w:val="auto"/>
          <w:sz w:val="24"/>
          <w:szCs w:val="24"/>
        </w:rPr>
      </w:pPr>
      <w:bookmarkStart w:id="57" w:name="_Toc16678"/>
      <w:bookmarkStart w:id="58" w:name="_Toc342913395"/>
      <w:bookmarkStart w:id="59" w:name="_Toc12171"/>
      <w:bookmarkStart w:id="60" w:name="_Toc102227321"/>
      <w:bookmarkStart w:id="61" w:name="_Toc9338"/>
      <w:r>
        <w:rPr>
          <w:rFonts w:hint="eastAsia" w:ascii="宋体" w:hAnsi="宋体" w:cs="宋体"/>
          <w:b w:val="0"/>
          <w:color w:val="auto"/>
          <w:sz w:val="24"/>
          <w:szCs w:val="24"/>
        </w:rPr>
        <w:t>（一）成交供应商的确认</w:t>
      </w:r>
    </w:p>
    <w:p>
      <w:pPr>
        <w:pStyle w:val="3"/>
        <w:spacing w:before="0" w:after="0" w:line="360" w:lineRule="auto"/>
        <w:ind w:firstLine="480" w:firstLineChars="200"/>
        <w:rPr>
          <w:rFonts w:hint="eastAsia" w:ascii="宋体" w:hAnsi="宋体" w:cs="宋体"/>
          <w:b w:val="0"/>
          <w:color w:val="auto"/>
          <w:sz w:val="24"/>
          <w:szCs w:val="24"/>
        </w:rPr>
      </w:pPr>
      <w:r>
        <w:rPr>
          <w:rFonts w:hint="eastAsia" w:ascii="宋体" w:hAnsi="宋体" w:cs="宋体"/>
          <w:b w:val="0"/>
          <w:color w:val="auto"/>
          <w:sz w:val="24"/>
          <w:szCs w:val="24"/>
        </w:rPr>
        <w:t>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（二）成交供应商的变更</w:t>
      </w:r>
    </w:p>
    <w:p>
      <w:pPr>
        <w:pStyle w:val="3"/>
        <w:spacing w:before="0" w:after="0" w:line="360" w:lineRule="auto"/>
        <w:ind w:firstLine="480" w:firstLineChars="200"/>
        <w:rPr>
          <w:rFonts w:ascii="宋体" w:hAnsi="宋体" w:cs="宋体"/>
          <w:b w:val="0"/>
          <w:color w:val="auto"/>
          <w:sz w:val="24"/>
          <w:szCs w:val="24"/>
        </w:rPr>
      </w:pPr>
      <w:r>
        <w:rPr>
          <w:rFonts w:hint="eastAsia" w:ascii="宋体" w:hAnsi="宋体" w:cs="宋体"/>
          <w:b w:val="0"/>
          <w:color w:val="auto"/>
          <w:sz w:val="24"/>
          <w:szCs w:val="24"/>
        </w:rPr>
        <w:t>成交供应商拒绝与采购人签订合同的，采购人可以按照评标报告推荐的成交候选供应商顺序，确定排名下一位的候选人为成交供应商，也可以重新开展采购活动。</w:t>
      </w:r>
    </w:p>
    <w:p>
      <w:pPr>
        <w:pStyle w:val="3"/>
        <w:spacing w:before="0" w:after="0" w:line="360" w:lineRule="auto"/>
        <w:rPr>
          <w:rFonts w:ascii="宋体" w:hAnsi="宋体" w:cs="宋体"/>
          <w:color w:val="auto"/>
          <w:sz w:val="24"/>
          <w:szCs w:val="24"/>
        </w:rPr>
      </w:pPr>
      <w:r>
        <w:rPr>
          <w:rFonts w:hint="eastAsia" w:ascii="宋体" w:hAnsi="宋体" w:cs="宋体"/>
          <w:color w:val="auto"/>
          <w:sz w:val="24"/>
          <w:szCs w:val="24"/>
        </w:rPr>
        <w:t>五、成交通知</w:t>
      </w:r>
      <w:bookmarkEnd w:id="57"/>
      <w:bookmarkEnd w:id="58"/>
      <w:bookmarkEnd w:id="59"/>
      <w:bookmarkEnd w:id="60"/>
      <w:bookmarkEnd w:id="61"/>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（二）结果公告发出同时，采购人将以书面形式发出《成交通知书》。《成交通知书》一经发出即发生法律效力。成交人需持经办人介绍信、身份证复印件到采购人处领取。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（三）《成交通知书》将作为签订合同的依据。</w:t>
      </w:r>
    </w:p>
    <w:p>
      <w:pPr>
        <w:pStyle w:val="3"/>
        <w:spacing w:before="0" w:after="0" w:line="360" w:lineRule="auto"/>
        <w:rPr>
          <w:rFonts w:ascii="宋体" w:hAnsi="宋体" w:cs="宋体"/>
          <w:color w:val="auto"/>
          <w:sz w:val="24"/>
          <w:szCs w:val="24"/>
        </w:rPr>
      </w:pPr>
      <w:bookmarkStart w:id="62" w:name="_Toc1331"/>
      <w:bookmarkStart w:id="63" w:name="_Toc4498"/>
      <w:bookmarkStart w:id="64" w:name="_Toc14603"/>
      <w:r>
        <w:rPr>
          <w:rFonts w:hint="eastAsia" w:ascii="宋体" w:hAnsi="宋体" w:cs="宋体"/>
          <w:color w:val="auto"/>
          <w:sz w:val="24"/>
          <w:szCs w:val="24"/>
        </w:rPr>
        <w:t>六、关于咨询</w:t>
      </w:r>
      <w:bookmarkEnd w:id="62"/>
      <w:bookmarkEnd w:id="63"/>
      <w:bookmarkEnd w:id="64"/>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提出质疑的应当是参与所质疑项目采购活动的供应商。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1.质疑时限、内容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供应商认为采购文件、采购过程、成交结果使自己的权益受到损害的，可以在知道或者应知其权益受到损害之日起7个工作日内，以书面形式向采购人提出质疑。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1.2供应商提出质疑应当提交质疑函和必要的证明材料，质疑函应当包括下列内容：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1.2.1供应商的姓名或者名称、地址、邮编、联系人及联系电话；</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1.2.2质疑项目的名称、项目号以及磋商项目编号；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1.2.3具体、明确的质疑事项和与质疑事项相关的请求；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1.2.4事实依据；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1.2.5必要的法律依据；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1.2.6提出质疑的日期；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1.2.7营业执照（或事业单位法人证书，或个体工商户营业执照或有效的自然人身份证明）复印件；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1.2.8法定代表人授权委托书原件、法定代表人身份证复印件和其授权代表的身份证复印件（供应商为自然人的提供自然人身份证复印件）；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1.3供应商为自然人的，质疑函应当由本人签字；供应商为法人或者其他组织的，质疑函应当由法定代表人、主要负责人，或者其授权代表签字或者盖章，并加盖公章。</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2.质疑答复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3.不予受理或暂缓受理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3.1质疑有下列情形之一的，不予受理：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3.1.1质疑供应商参与了磋商活动后，再对竞争性磋商文件内容提出质疑的；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3.1.2质疑超过有效期的；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3.1.3对同一事项重复质疑的。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3.2.1质疑书格式和内容不符合国家或重庆市相关规定的；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3.2.2质疑书提供的依据或证明材料不全的；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3.2.3质疑书副本数量不足的。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3.其他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3.1供应商应按照《政府采购质疑和投诉办法》（财政部令第94号）及相关法律法规要求，在法定质疑期内一次性提出针对同一采购程序环节的质疑。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3.2质疑函范本可在财政部门户网站和中国政府采购网下载。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（二）投诉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1.供应商对采购人的答复不满意，或者采购人未在规定时间内作出答复的，可以在答复期满后15个工作日内按照相关法律法规向财政部门提起投诉。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3"/>
        <w:spacing w:before="0" w:after="0" w:line="360" w:lineRule="auto"/>
        <w:rPr>
          <w:rFonts w:ascii="宋体" w:hAnsi="宋体" w:cs="宋体"/>
          <w:color w:val="auto"/>
          <w:sz w:val="24"/>
          <w:szCs w:val="24"/>
        </w:rPr>
      </w:pPr>
      <w:bookmarkStart w:id="65" w:name="_Toc102227322"/>
      <w:bookmarkStart w:id="66" w:name="_Toc9382"/>
      <w:bookmarkStart w:id="67" w:name="_Toc9092"/>
      <w:bookmarkStart w:id="68" w:name="_Toc342913396"/>
      <w:bookmarkStart w:id="69" w:name="_Toc3254"/>
      <w:r>
        <w:rPr>
          <w:rFonts w:hint="eastAsia" w:ascii="宋体" w:hAnsi="宋体" w:cs="宋体"/>
          <w:color w:val="auto"/>
          <w:sz w:val="24"/>
          <w:szCs w:val="24"/>
        </w:rPr>
        <w:t>七、签订</w:t>
      </w:r>
      <w:bookmarkEnd w:id="65"/>
      <w:r>
        <w:rPr>
          <w:rFonts w:hint="eastAsia" w:ascii="宋体" w:hAnsi="宋体" w:cs="宋体"/>
          <w:color w:val="auto"/>
          <w:sz w:val="24"/>
          <w:szCs w:val="24"/>
        </w:rPr>
        <w:t>合同</w:t>
      </w:r>
      <w:bookmarkEnd w:id="66"/>
      <w:bookmarkEnd w:id="67"/>
      <w:bookmarkEnd w:id="68"/>
      <w:bookmarkEnd w:id="69"/>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（四）合同原则上应按照《重庆市政府采购合同》签订，相关单位要求适用合同通用格式版本的，应按其要求另行签订其他合同。</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（五）采购人要求成交供应商提供履约保证金的，应当在竞争性磋商文件中予以约定。成交供应商履约完毕后，采购人根据采购文件规定退还其履约保证金。</w:t>
      </w:r>
    </w:p>
    <w:p>
      <w:pPr>
        <w:pStyle w:val="10"/>
        <w:tabs>
          <w:tab w:val="left" w:pos="1260"/>
          <w:tab w:val="left" w:pos="1685"/>
          <w:tab w:val="right" w:leader="dot" w:pos="8400"/>
        </w:tabs>
        <w:spacing w:line="360" w:lineRule="auto"/>
        <w:ind w:firstLine="0" w:firstLineChars="0"/>
        <w:rPr>
          <w:rFonts w:ascii="宋体" w:hAnsi="宋体" w:cs="宋体"/>
          <w:b/>
          <w:color w:val="auto"/>
          <w:sz w:val="24"/>
          <w:szCs w:val="24"/>
        </w:rPr>
      </w:pPr>
      <w:r>
        <w:rPr>
          <w:rFonts w:hint="eastAsia" w:ascii="宋体" w:hAnsi="宋体" w:cs="宋体"/>
          <w:b/>
          <w:color w:val="auto"/>
          <w:sz w:val="24"/>
          <w:szCs w:val="24"/>
        </w:rPr>
        <w:t>八、政府采购信用融资</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w:t>
      </w:r>
    </w:p>
    <w:p>
      <w:pPr>
        <w:pStyle w:val="2"/>
        <w:spacing w:line="360" w:lineRule="auto"/>
        <w:jc w:val="both"/>
        <w:rPr>
          <w:rFonts w:ascii="宋体" w:hAnsi="宋体" w:eastAsia="宋体" w:cs="宋体"/>
          <w:b w:val="0"/>
          <w:color w:val="auto"/>
          <w:sz w:val="36"/>
          <w:szCs w:val="30"/>
        </w:rPr>
      </w:pPr>
      <w:r>
        <w:rPr>
          <w:rFonts w:hint="eastAsia" w:ascii="宋体" w:hAnsi="宋体" w:eastAsia="宋体" w:cs="宋体"/>
          <w:b w:val="0"/>
          <w:color w:val="auto"/>
          <w:kern w:val="2"/>
          <w:sz w:val="24"/>
          <w:szCs w:val="24"/>
          <w:lang w:val="en-US" w:eastAsia="zh-CN" w:bidi="ar-SA"/>
        </w:rPr>
        <w:t>18580766891。</w:t>
      </w:r>
      <w:r>
        <w:rPr>
          <w:rFonts w:hint="eastAsia" w:ascii="宋体" w:hAnsi="宋体" w:eastAsia="宋体" w:cs="宋体"/>
          <w:color w:val="auto"/>
          <w:sz w:val="36"/>
          <w:szCs w:val="30"/>
        </w:rPr>
        <w:br w:type="page"/>
      </w:r>
      <w:bookmarkStart w:id="70" w:name="_Toc54279010"/>
      <w:r>
        <w:rPr>
          <w:rFonts w:hint="eastAsia" w:ascii="宋体" w:hAnsi="宋体" w:eastAsia="宋体" w:cs="宋体"/>
          <w:b w:val="0"/>
          <w:color w:val="auto"/>
          <w:sz w:val="36"/>
          <w:szCs w:val="30"/>
        </w:rPr>
        <w:t xml:space="preserve">第六篇  </w:t>
      </w:r>
      <w:bookmarkEnd w:id="38"/>
      <w:bookmarkEnd w:id="39"/>
      <w:r>
        <w:rPr>
          <w:rFonts w:hint="eastAsia" w:ascii="宋体" w:hAnsi="宋体" w:eastAsia="宋体" w:cs="宋体"/>
          <w:b w:val="0"/>
          <w:color w:val="auto"/>
          <w:sz w:val="36"/>
          <w:szCs w:val="30"/>
        </w:rPr>
        <w:t>合同</w:t>
      </w:r>
      <w:bookmarkEnd w:id="70"/>
    </w:p>
    <w:p>
      <w:pPr>
        <w:tabs>
          <w:tab w:val="left" w:pos="9000"/>
        </w:tabs>
        <w:spacing w:line="360" w:lineRule="auto"/>
        <w:jc w:val="center"/>
        <w:rPr>
          <w:rFonts w:ascii="宋体" w:hAnsi="宋体" w:cs="宋体"/>
          <w:color w:val="auto"/>
          <w:sz w:val="21"/>
          <w:szCs w:val="21"/>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rPr>
        <w:t>格式自拟</w:t>
      </w:r>
    </w:p>
    <w:p>
      <w:pPr>
        <w:pStyle w:val="2"/>
        <w:spacing w:before="0" w:after="0" w:line="312" w:lineRule="auto"/>
        <w:jc w:val="center"/>
        <w:rPr>
          <w:rFonts w:ascii="宋体" w:hAnsi="宋体" w:eastAsia="宋体" w:cs="宋体"/>
          <w:bCs/>
          <w:color w:val="auto"/>
          <w:sz w:val="36"/>
          <w:szCs w:val="30"/>
          <w:highlight w:val="none"/>
        </w:rPr>
      </w:pPr>
      <w:bookmarkStart w:id="71" w:name="_Hlt41879464"/>
      <w:bookmarkEnd w:id="71"/>
      <w:bookmarkStart w:id="72" w:name="_Toc12789072"/>
      <w:bookmarkStart w:id="73" w:name="_Toc3907"/>
      <w:bookmarkStart w:id="74" w:name="_Toc29402"/>
      <w:bookmarkStart w:id="75" w:name="_Toc32160"/>
      <w:bookmarkStart w:id="76" w:name="_Toc54279012"/>
      <w:bookmarkStart w:id="77" w:name="_Toc313888360"/>
      <w:bookmarkStart w:id="78" w:name="_Toc342913419"/>
      <w:bookmarkStart w:id="79" w:name="_Toc313008356"/>
      <w:bookmarkStart w:id="80" w:name="_Toc283382454"/>
      <w:bookmarkStart w:id="81" w:name="_Toc12789073"/>
      <w:r>
        <w:rPr>
          <w:rFonts w:hint="eastAsia" w:ascii="宋体" w:hAnsi="宋体" w:eastAsia="宋体" w:cs="宋体"/>
          <w:bCs/>
          <w:color w:val="auto"/>
          <w:sz w:val="36"/>
          <w:szCs w:val="30"/>
          <w:highlight w:val="none"/>
        </w:rPr>
        <w:t xml:space="preserve">第七篇  </w:t>
      </w:r>
      <w:bookmarkEnd w:id="72"/>
      <w:r>
        <w:rPr>
          <w:rFonts w:hint="eastAsia" w:ascii="宋体" w:hAnsi="宋体" w:eastAsia="宋体" w:cs="宋体"/>
          <w:bCs/>
          <w:color w:val="auto"/>
          <w:sz w:val="36"/>
          <w:szCs w:val="30"/>
          <w:highlight w:val="none"/>
        </w:rPr>
        <w:t>响应文件编制要求</w:t>
      </w:r>
      <w:bookmarkEnd w:id="73"/>
      <w:bookmarkEnd w:id="74"/>
      <w:bookmarkEnd w:id="75"/>
    </w:p>
    <w:p>
      <w:pPr>
        <w:pStyle w:val="3"/>
        <w:spacing w:before="0" w:after="0" w:line="312" w:lineRule="auto"/>
        <w:rPr>
          <w:rFonts w:ascii="宋体" w:hAnsi="宋体" w:cs="宋体"/>
          <w:bCs/>
          <w:color w:val="auto"/>
          <w:sz w:val="24"/>
          <w:szCs w:val="24"/>
          <w:highlight w:val="none"/>
        </w:rPr>
      </w:pPr>
      <w:r>
        <w:rPr>
          <w:rFonts w:hint="eastAsia" w:ascii="宋体" w:hAnsi="宋体" w:cs="宋体"/>
          <w:bCs/>
          <w:color w:val="auto"/>
          <w:sz w:val="24"/>
          <w:szCs w:val="24"/>
          <w:highlight w:val="none"/>
        </w:rPr>
        <w:t>一、经济部分</w:t>
      </w:r>
    </w:p>
    <w:p>
      <w:pPr>
        <w:pStyle w:val="3"/>
        <w:spacing w:before="0" w:after="0" w:line="312" w:lineRule="auto"/>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（一）竞争性磋商报价函</w:t>
      </w:r>
    </w:p>
    <w:p>
      <w:pPr>
        <w:spacing w:line="400" w:lineRule="exact"/>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（二）明细报价表</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二、服务部分</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（一）服务响应偏离表</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三、商务部分</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（一）商务响应偏离表</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（二）其它优惠服务承诺（格式自定）</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四、资格条件及其他</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（一）法人营业执照（副本）或事业单位法人证书（副本）或个体工商户营业执照或有效的自然人身份证明或社会团体法人登记证书复印件</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（二）法定代表人身份证明书（格式）</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（三）法定代表人授权委托书（格式）</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（四）基本资格条件承诺函（格式）</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（五）特定资格条件证书或证明文件</w:t>
      </w:r>
    </w:p>
    <w:p>
      <w:pPr>
        <w:spacing w:line="400" w:lineRule="exac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五、其他资料</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（一）中小企业声明函、监狱企业证明文件、残疾人福利性单位声明函</w:t>
      </w:r>
    </w:p>
    <w:p>
      <w:pPr>
        <w:spacing w:line="400" w:lineRule="exact"/>
        <w:rPr>
          <w:rFonts w:hint="eastAsia" w:ascii="宋体" w:hAnsi="宋体" w:cs="宋体"/>
          <w:b w:val="0"/>
          <w:color w:val="auto"/>
          <w:sz w:val="24"/>
          <w:szCs w:val="24"/>
          <w:highlight w:val="none"/>
        </w:rPr>
      </w:pPr>
      <w:r>
        <w:rPr>
          <w:rFonts w:hint="eastAsia" w:ascii="宋体" w:hAnsi="宋体" w:cs="宋体"/>
          <w:b w:val="0"/>
          <w:color w:val="auto"/>
          <w:sz w:val="24"/>
          <w:szCs w:val="24"/>
          <w:highlight w:val="none"/>
        </w:rPr>
        <w:t>（二）联合体协议或分包意向协议（格式自定）</w:t>
      </w:r>
    </w:p>
    <w:p>
      <w:pPr>
        <w:spacing w:line="400" w:lineRule="exact"/>
        <w:rPr>
          <w:rFonts w:hint="eastAsia" w:ascii="宋体" w:hAnsi="宋体" w:cs="宋体"/>
          <w:color w:val="auto"/>
          <w:sz w:val="24"/>
          <w:szCs w:val="24"/>
        </w:rPr>
      </w:pPr>
      <w:r>
        <w:rPr>
          <w:rFonts w:hint="eastAsia" w:ascii="宋体" w:hAnsi="宋体" w:cs="宋体"/>
          <w:b w:val="0"/>
          <w:color w:val="auto"/>
          <w:sz w:val="24"/>
          <w:szCs w:val="24"/>
          <w:highlight w:val="none"/>
        </w:rPr>
        <w:t>（三）其他与项目有关的资料</w:t>
      </w: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pStyle w:val="3"/>
        <w:spacing w:line="360" w:lineRule="auto"/>
        <w:rPr>
          <w:rFonts w:hint="eastAsia" w:ascii="宋体" w:hAnsi="宋体" w:cs="宋体"/>
          <w:color w:val="auto"/>
          <w:sz w:val="24"/>
          <w:szCs w:val="24"/>
        </w:rPr>
      </w:pPr>
    </w:p>
    <w:p>
      <w:pPr>
        <w:rPr>
          <w:rFonts w:hint="eastAsia" w:ascii="宋体" w:hAnsi="宋体" w:cs="宋体"/>
          <w:color w:val="auto"/>
          <w:sz w:val="24"/>
          <w:szCs w:val="24"/>
        </w:rPr>
      </w:pPr>
    </w:p>
    <w:p>
      <w:pPr>
        <w:pStyle w:val="10"/>
        <w:rPr>
          <w:rFonts w:hint="eastAsia"/>
        </w:rPr>
      </w:pPr>
    </w:p>
    <w:p>
      <w:pPr>
        <w:pStyle w:val="3"/>
        <w:spacing w:line="360" w:lineRule="auto"/>
        <w:rPr>
          <w:rFonts w:hint="eastAsia" w:ascii="宋体" w:hAnsi="宋体" w:cs="宋体"/>
          <w:color w:val="auto"/>
          <w:sz w:val="24"/>
          <w:szCs w:val="24"/>
        </w:rPr>
      </w:pPr>
    </w:p>
    <w:p>
      <w:pPr>
        <w:pStyle w:val="3"/>
        <w:spacing w:line="360" w:lineRule="auto"/>
        <w:rPr>
          <w:rFonts w:ascii="宋体" w:hAnsi="宋体" w:cs="宋体"/>
          <w:color w:val="auto"/>
          <w:sz w:val="24"/>
          <w:szCs w:val="24"/>
        </w:rPr>
      </w:pPr>
      <w:r>
        <w:rPr>
          <w:rFonts w:hint="eastAsia" w:ascii="宋体" w:hAnsi="宋体" w:cs="宋体"/>
          <w:color w:val="auto"/>
          <w:sz w:val="24"/>
          <w:szCs w:val="24"/>
        </w:rPr>
        <w:t>一、经济部分</w:t>
      </w:r>
      <w:bookmarkEnd w:id="76"/>
      <w:bookmarkEnd w:id="77"/>
      <w:bookmarkEnd w:id="78"/>
      <w:bookmarkEnd w:id="79"/>
    </w:p>
    <w:bookmarkEnd w:id="80"/>
    <w:bookmarkEnd w:id="81"/>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（一）竞争性磋商报价函</w:t>
      </w:r>
    </w:p>
    <w:p>
      <w:pPr>
        <w:jc w:val="center"/>
        <w:rPr>
          <w:rFonts w:ascii="宋体" w:hAnsi="宋体" w:cs="宋体"/>
          <w:b/>
          <w:color w:val="auto"/>
          <w:szCs w:val="28"/>
        </w:rPr>
      </w:pPr>
      <w:r>
        <w:rPr>
          <w:rFonts w:hint="eastAsia" w:ascii="宋体" w:hAnsi="宋体" w:cs="宋体"/>
          <w:b/>
          <w:color w:val="auto"/>
          <w:szCs w:val="28"/>
        </w:rPr>
        <w:t>竞争性磋商报价函</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u w:val="single"/>
        </w:rPr>
        <w:t>（采购人名称）</w:t>
      </w:r>
      <w:r>
        <w:rPr>
          <w:rFonts w:hint="eastAsia" w:ascii="宋体" w:hAnsi="宋体" w:cs="宋体"/>
          <w:color w:val="auto"/>
          <w:sz w:val="24"/>
          <w:szCs w:val="24"/>
        </w:rPr>
        <w:t>：</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1、愿意按照竞争性磋商文件中的一切要求，提供本项目的服务费初始报价为人民币：</w:t>
      </w:r>
      <w:r>
        <w:rPr>
          <w:rFonts w:hint="eastAsia" w:ascii="宋体" w:hAnsi="宋体" w:cs="宋体"/>
          <w:color w:val="auto"/>
          <w:sz w:val="24"/>
          <w:szCs w:val="24"/>
          <w:u w:val="single"/>
        </w:rPr>
        <w:t>       </w:t>
      </w:r>
      <w:r>
        <w:rPr>
          <w:rFonts w:hint="eastAsia" w:ascii="宋体" w:hAnsi="宋体" w:cs="宋体"/>
          <w:color w:val="auto"/>
          <w:sz w:val="24"/>
          <w:szCs w:val="24"/>
          <w:u w:val="none"/>
        </w:rPr>
        <w:t>元</w:t>
      </w:r>
      <w:r>
        <w:rPr>
          <w:rFonts w:hint="eastAsia" w:ascii="宋体" w:hAnsi="宋体" w:cs="宋体"/>
          <w:color w:val="auto"/>
          <w:sz w:val="24"/>
          <w:szCs w:val="24"/>
          <w:u w:val="none"/>
          <w:lang w:eastAsia="zh-CN"/>
        </w:rPr>
        <w:t>，大写：</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。以我公司最后报价为准。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2.我方现提交的响应文件为：响应文件正本1份，副本1份。</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3、我方承诺：本次磋商的有效期为</w:t>
      </w:r>
      <w:r>
        <w:rPr>
          <w:rFonts w:hint="eastAsia" w:ascii="宋体" w:hAnsi="宋体" w:cs="宋体"/>
          <w:color w:val="auto"/>
          <w:sz w:val="24"/>
          <w:szCs w:val="24"/>
          <w:u w:val="single"/>
        </w:rPr>
        <w:t>90</w:t>
      </w:r>
      <w:r>
        <w:rPr>
          <w:rFonts w:hint="eastAsia" w:ascii="宋体" w:hAnsi="宋体" w:cs="宋体"/>
          <w:color w:val="auto"/>
          <w:sz w:val="24"/>
          <w:szCs w:val="24"/>
        </w:rPr>
        <w:t>天。</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8"/>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9、我方未为采购项目提供整体设计、规范编制或者项目管理、监理、检测等服务。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                                                竞标人（公章）：</w:t>
      </w:r>
    </w:p>
    <w:p>
      <w:pPr>
        <w:snapToGrid w:val="0"/>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                                                  年   月  日</w:t>
      </w:r>
    </w:p>
    <w:p>
      <w:pPr>
        <w:pStyle w:val="10"/>
        <w:rPr>
          <w:rFonts w:hint="eastAsia" w:ascii="宋体" w:hAnsi="宋体" w:cs="宋体"/>
          <w:color w:val="auto"/>
          <w:sz w:val="24"/>
          <w:szCs w:val="24"/>
        </w:rPr>
      </w:pPr>
    </w:p>
    <w:p>
      <w:pPr>
        <w:rPr>
          <w:rFonts w:hint="eastAsia" w:ascii="宋体" w:hAnsi="宋体" w:cs="宋体"/>
          <w:color w:val="auto"/>
          <w:sz w:val="24"/>
          <w:szCs w:val="24"/>
        </w:rPr>
      </w:pPr>
    </w:p>
    <w:p>
      <w:pPr>
        <w:rPr>
          <w:rFonts w:hint="eastAsia" w:ascii="宋体" w:hAnsi="宋体" w:cs="宋体"/>
          <w:color w:val="auto"/>
          <w:sz w:val="24"/>
          <w:szCs w:val="24"/>
        </w:rPr>
      </w:pPr>
    </w:p>
    <w:p>
      <w:pPr>
        <w:pStyle w:val="10"/>
        <w:rPr>
          <w:rFonts w:hint="eastAsia" w:ascii="宋体" w:hAnsi="宋体" w:cs="宋体"/>
          <w:color w:val="auto"/>
          <w:sz w:val="24"/>
          <w:szCs w:val="24"/>
        </w:rPr>
      </w:pPr>
    </w:p>
    <w:p>
      <w:pPr>
        <w:rPr>
          <w:rFonts w:hint="eastAsia" w:ascii="宋体" w:hAnsi="宋体" w:cs="宋体"/>
          <w:color w:val="auto"/>
          <w:sz w:val="24"/>
          <w:szCs w:val="24"/>
        </w:rPr>
      </w:pPr>
    </w:p>
    <w:p>
      <w:pPr>
        <w:spacing w:line="400" w:lineRule="exact"/>
        <w:rPr>
          <w:rFonts w:hint="eastAsia" w:ascii="宋体" w:hAnsi="宋体" w:eastAsia="宋体" w:cs="宋体"/>
          <w:b w:val="0"/>
          <w:color w:val="auto"/>
          <w:kern w:val="2"/>
          <w:sz w:val="24"/>
          <w:szCs w:val="24"/>
          <w:highlight w:val="none"/>
          <w:lang w:val="en-US" w:eastAsia="zh-CN" w:bidi="ar-SA"/>
        </w:rPr>
      </w:pPr>
      <w:r>
        <w:rPr>
          <w:rFonts w:hint="eastAsia" w:ascii="宋体" w:hAnsi="宋体" w:cs="宋体"/>
          <w:color w:val="auto"/>
          <w:sz w:val="24"/>
          <w:szCs w:val="24"/>
          <w:lang w:eastAsia="zh-CN"/>
        </w:rPr>
        <w:t>（二）</w:t>
      </w:r>
      <w:r>
        <w:rPr>
          <w:rFonts w:hint="eastAsia" w:ascii="宋体" w:hAnsi="宋体" w:eastAsia="宋体" w:cs="宋体"/>
          <w:b w:val="0"/>
          <w:color w:val="auto"/>
          <w:kern w:val="2"/>
          <w:sz w:val="24"/>
          <w:szCs w:val="24"/>
          <w:highlight w:val="none"/>
          <w:lang w:val="en-US" w:eastAsia="zh-CN" w:bidi="ar-SA"/>
        </w:rPr>
        <w:t>明细报价表</w:t>
      </w:r>
    </w:p>
    <w:p>
      <w:pPr>
        <w:pStyle w:val="10"/>
        <w:rPr>
          <w:rFonts w:hint="eastAsia" w:eastAsia="宋体"/>
          <w:lang w:eastAsia="zh-CN"/>
        </w:rPr>
      </w:pPr>
    </w:p>
    <w:tbl>
      <w:tblPr>
        <w:tblStyle w:val="12"/>
        <w:tblW w:w="9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621"/>
        <w:gridCol w:w="2553"/>
        <w:gridCol w:w="803"/>
        <w:gridCol w:w="932"/>
        <w:gridCol w:w="932"/>
        <w:gridCol w:w="932"/>
        <w:gridCol w:w="918"/>
        <w:gridCol w:w="914"/>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检测项目</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检测</w:t>
            </w:r>
            <w:r>
              <w:rPr>
                <w:rFonts w:hint="eastAsia" w:ascii="宋体" w:hAnsi="宋体" w:eastAsia="宋体" w:cs="宋体"/>
                <w:i w:val="0"/>
                <w:color w:val="000000"/>
                <w:kern w:val="0"/>
                <w:sz w:val="22"/>
                <w:szCs w:val="22"/>
                <w:u w:val="none"/>
                <w:lang w:val="en-US" w:eastAsia="zh-CN" w:bidi="ar"/>
              </w:rPr>
              <w:t>数量</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全费用综合单价最高限价（元）</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小计（元）</w:t>
            </w:r>
          </w:p>
        </w:tc>
        <w:tc>
          <w:tcPr>
            <w:tcW w:w="918"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全费用综合单价投标报价（元）</w:t>
            </w:r>
          </w:p>
        </w:tc>
        <w:tc>
          <w:tcPr>
            <w:tcW w:w="91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小计（元）</w:t>
            </w:r>
          </w:p>
        </w:tc>
        <w:tc>
          <w:tcPr>
            <w:tcW w:w="90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原材料</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回填料击实试验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钢塑复合缠绕排水管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软式透水管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塑料排水板</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土工布</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塑料土工格室</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镀锌钢管、矩管</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钢绞线力学性能</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钢绞线静载锚固性能试验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c>
          <w:tcPr>
            <w:tcW w:w="918"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14"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05"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锚夹具外观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锚夹具硬度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机械连接工艺试验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机械连接拉伸</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钢筋焊接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烧结页岩砖</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M10砂浆配合比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M30锚杆砂浆配合比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1.20 </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陶粒</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水泥</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砂浆试块</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植筋胶</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基础</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桩身完整性（声波透射法）</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岩芯单轴抗压强度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地基承载力（动力触探）</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桩水平承载力</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锚索、锚杆</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锚索验收试验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锚杆基本试验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锚杆验收试验（φ32）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918"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14"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05"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锚杆注浆密实度（φ32）</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锚杆拉拔（φ14和φ16）</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结构实体</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混凝土强度（回弹）</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钢筋保护层厚度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钢筋数量</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钢筋间距</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构件</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植筋拉拔</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40200</w:t>
            </w:r>
          </w:p>
        </w:tc>
        <w:tc>
          <w:tcPr>
            <w:tcW w:w="918"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14"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905" w:type="dxa"/>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沟槽管网回填</w:t>
            </w:r>
          </w:p>
        </w:tc>
        <w:tc>
          <w:tcPr>
            <w:tcW w:w="803"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压实度</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管道闭水试验</w:t>
            </w:r>
          </w:p>
        </w:tc>
        <w:tc>
          <w:tcPr>
            <w:tcW w:w="803"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段</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621"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6</w:t>
            </w:r>
          </w:p>
        </w:tc>
        <w:tc>
          <w:tcPr>
            <w:tcW w:w="255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二维码购买</w:t>
            </w:r>
          </w:p>
        </w:tc>
        <w:tc>
          <w:tcPr>
            <w:tcW w:w="803"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32"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32"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32"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项目包干，不另行计费</w:t>
            </w:r>
          </w:p>
        </w:tc>
        <w:tc>
          <w:tcPr>
            <w:tcW w:w="918"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14"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c>
          <w:tcPr>
            <w:tcW w:w="905" w:type="dxa"/>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5841" w:type="dxa"/>
            <w:gridSpan w:val="5"/>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合计（元）</w:t>
            </w:r>
          </w:p>
        </w:tc>
        <w:tc>
          <w:tcPr>
            <w:tcW w:w="932"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383070</w:t>
            </w:r>
          </w:p>
        </w:tc>
        <w:tc>
          <w:tcPr>
            <w:tcW w:w="918"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14"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5" w:type="dxa"/>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napToGrid w:val="0"/>
        <w:spacing w:line="500" w:lineRule="exact"/>
        <w:rPr>
          <w:rFonts w:ascii="方正仿宋_GBK" w:hAnsi="宋体" w:eastAsia="方正仿宋_GBK"/>
          <w:sz w:val="24"/>
          <w:szCs w:val="28"/>
        </w:rPr>
      </w:pPr>
    </w:p>
    <w:p>
      <w:pPr>
        <w:tabs>
          <w:tab w:val="left" w:pos="6300"/>
        </w:tabs>
        <w:snapToGrid w:val="0"/>
        <w:spacing w:line="312" w:lineRule="auto"/>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注：1.供应商应完整填写本表。</w:t>
      </w:r>
    </w:p>
    <w:p>
      <w:pPr>
        <w:tabs>
          <w:tab w:val="left" w:pos="6300"/>
        </w:tabs>
        <w:snapToGrid w:val="0"/>
        <w:spacing w:line="312" w:lineRule="auto"/>
        <w:ind w:firstLine="480" w:firstLineChars="200"/>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   </w:t>
      </w:r>
      <w:r>
        <w:rPr>
          <w:rFonts w:hint="eastAsia" w:ascii="宋体" w:hAnsi="宋体" w:cs="宋体"/>
          <w:color w:val="auto"/>
          <w:sz w:val="24"/>
          <w:szCs w:val="22"/>
          <w:highlight w:val="none"/>
          <w:lang w:val="en-US" w:eastAsia="zh-CN"/>
        </w:rPr>
        <w:t xml:space="preserve"> </w:t>
      </w:r>
      <w:r>
        <w:rPr>
          <w:rFonts w:hint="eastAsia" w:ascii="宋体" w:hAnsi="宋体" w:cs="宋体"/>
          <w:color w:val="auto"/>
          <w:sz w:val="24"/>
          <w:szCs w:val="22"/>
          <w:highlight w:val="none"/>
        </w:rPr>
        <w:t>2.该表可扩展</w:t>
      </w:r>
      <w:bookmarkStart w:id="82" w:name="OLE_LINK1"/>
      <w:bookmarkStart w:id="83" w:name="OLE_LINK2"/>
      <w:r>
        <w:rPr>
          <w:rFonts w:hint="eastAsia" w:ascii="宋体" w:hAnsi="宋体" w:cs="宋体"/>
          <w:color w:val="auto"/>
          <w:sz w:val="24"/>
          <w:szCs w:val="22"/>
          <w:highlight w:val="none"/>
        </w:rPr>
        <w:t>。</w:t>
      </w:r>
      <w:bookmarkEnd w:id="82"/>
      <w:bookmarkEnd w:id="83"/>
    </w:p>
    <w:p>
      <w:pPr>
        <w:snapToGrid w:val="0"/>
        <w:spacing w:line="500" w:lineRule="exact"/>
        <w:rPr>
          <w:rFonts w:ascii="方正仿宋_GBK" w:hAnsi="宋体" w:eastAsia="方正仿宋_GBK"/>
          <w:sz w:val="24"/>
          <w:szCs w:val="24"/>
        </w:rPr>
      </w:pPr>
    </w:p>
    <w:p>
      <w:pPr>
        <w:pStyle w:val="10"/>
      </w:pPr>
    </w:p>
    <w:p/>
    <w:p>
      <w:pPr>
        <w:pStyle w:val="10"/>
      </w:pPr>
    </w:p>
    <w:p/>
    <w:p>
      <w:pPr>
        <w:pStyle w:val="10"/>
      </w:pPr>
    </w:p>
    <w:p/>
    <w:p>
      <w:pPr>
        <w:pStyle w:val="10"/>
      </w:pPr>
    </w:p>
    <w:p/>
    <w:p>
      <w:pPr>
        <w:pStyle w:val="3"/>
        <w:spacing w:before="0" w:after="0" w:line="312" w:lineRule="auto"/>
        <w:rPr>
          <w:rFonts w:hint="eastAsia" w:ascii="宋体" w:hAnsi="宋体" w:cs="宋体"/>
          <w:color w:val="auto"/>
          <w:sz w:val="24"/>
          <w:szCs w:val="24"/>
          <w:highlight w:val="none"/>
        </w:rPr>
      </w:pPr>
      <w:bookmarkStart w:id="84" w:name="_Toc313008357"/>
      <w:bookmarkStart w:id="85" w:name="_Toc24044"/>
      <w:bookmarkStart w:id="86" w:name="_Toc9573"/>
      <w:bookmarkStart w:id="87" w:name="_Toc313888361"/>
      <w:bookmarkStart w:id="88" w:name="_Toc342913420"/>
      <w:bookmarkStart w:id="89" w:name="_Toc5448"/>
    </w:p>
    <w:p>
      <w:pPr>
        <w:pStyle w:val="3"/>
        <w:spacing w:before="0" w:after="0" w:line="312" w:lineRule="auto"/>
        <w:rPr>
          <w:rFonts w:ascii="宋体" w:hAnsi="宋体" w:cs="宋体"/>
          <w:color w:val="auto"/>
          <w:sz w:val="24"/>
          <w:szCs w:val="24"/>
          <w:highlight w:val="none"/>
        </w:rPr>
      </w:pPr>
      <w:r>
        <w:rPr>
          <w:rFonts w:hint="eastAsia" w:ascii="宋体" w:hAnsi="宋体" w:cs="宋体"/>
          <w:color w:val="auto"/>
          <w:sz w:val="24"/>
          <w:szCs w:val="24"/>
          <w:highlight w:val="none"/>
        </w:rPr>
        <w:t>二、服务部分</w:t>
      </w:r>
      <w:bookmarkEnd w:id="84"/>
      <w:bookmarkEnd w:id="85"/>
      <w:bookmarkEnd w:id="86"/>
      <w:bookmarkEnd w:id="87"/>
      <w:bookmarkEnd w:id="88"/>
      <w:bookmarkEnd w:id="89"/>
    </w:p>
    <w:p>
      <w:pPr>
        <w:tabs>
          <w:tab w:val="left" w:pos="6300"/>
        </w:tabs>
        <w:snapToGrid w:val="0"/>
        <w:spacing w:line="312" w:lineRule="auto"/>
        <w:ind w:firstLine="570"/>
        <w:rPr>
          <w:rFonts w:ascii="宋体" w:hAnsi="宋体" w:cs="宋体"/>
          <w:color w:val="auto"/>
          <w:szCs w:val="24"/>
          <w:highlight w:val="none"/>
        </w:rPr>
      </w:pPr>
      <w:r>
        <w:rPr>
          <w:rFonts w:hint="eastAsia" w:ascii="宋体" w:hAnsi="宋体" w:cs="宋体"/>
          <w:color w:val="auto"/>
          <w:sz w:val="24"/>
          <w:szCs w:val="24"/>
          <w:highlight w:val="none"/>
        </w:rPr>
        <w:t>（一）服务响应偏离表</w:t>
      </w:r>
    </w:p>
    <w:p>
      <w:pPr>
        <w:pStyle w:val="7"/>
        <w:tabs>
          <w:tab w:val="left" w:pos="6300"/>
        </w:tabs>
        <w:snapToGrid w:val="0"/>
        <w:spacing w:line="312" w:lineRule="auto"/>
        <w:ind w:firstLine="480" w:firstLineChars="200"/>
        <w:outlineLvl w:val="0"/>
        <w:rPr>
          <w:rFonts w:ascii="宋体" w:hAnsi="宋体" w:cs="宋体"/>
          <w:color w:val="auto"/>
          <w:sz w:val="24"/>
          <w:highlight w:val="none"/>
        </w:rPr>
      </w:pPr>
    </w:p>
    <w:p>
      <w:pPr>
        <w:pStyle w:val="7"/>
        <w:tabs>
          <w:tab w:val="left" w:pos="6300"/>
        </w:tabs>
        <w:snapToGrid w:val="0"/>
        <w:spacing w:line="312" w:lineRule="auto"/>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项目名称：</w:t>
      </w:r>
    </w:p>
    <w:tbl>
      <w:tblPr>
        <w:tblStyle w:val="12"/>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采购需求</w:t>
            </w:r>
          </w:p>
        </w:tc>
        <w:tc>
          <w:tcPr>
            <w:tcW w:w="308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c>
          <w:tcPr>
            <w:tcW w:w="3081" w:type="dxa"/>
            <w:vAlign w:val="center"/>
          </w:tcPr>
          <w:p>
            <w:pPr>
              <w:tabs>
                <w:tab w:val="left" w:pos="6300"/>
              </w:tabs>
              <w:snapToGrid w:val="0"/>
              <w:spacing w:line="500" w:lineRule="exact"/>
              <w:outlineLvl w:val="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提醒：请注明技术参数或具体内容以及响应文件中技术参数或具体内容的位置（页码）</w:t>
            </w:r>
          </w:p>
        </w:tc>
        <w:tc>
          <w:tcPr>
            <w:tcW w:w="2309" w:type="dxa"/>
            <w:vAlign w:val="center"/>
          </w:tcPr>
          <w:p>
            <w:pPr>
              <w:tabs>
                <w:tab w:val="left" w:pos="6300"/>
              </w:tabs>
              <w:snapToGrid w:val="0"/>
              <w:spacing w:line="500" w:lineRule="exact"/>
              <w:jc w:val="center"/>
              <w:outlineLvl w:val="0"/>
              <w:rPr>
                <w:rFonts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9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3081"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30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312"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12" w:lineRule="auto"/>
        <w:rPr>
          <w:rFonts w:ascii="宋体" w:hAnsi="宋体" w:cs="宋体"/>
          <w:color w:val="auto"/>
          <w:sz w:val="24"/>
          <w:szCs w:val="28"/>
          <w:highlight w:val="none"/>
        </w:rPr>
      </w:pPr>
    </w:p>
    <w:p>
      <w:pPr>
        <w:spacing w:line="312" w:lineRule="auto"/>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1.本表即为对本项目“第二篇  项目服务需求”中所列条款进行比较和响应；</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2.本表可扩展。</w:t>
      </w:r>
    </w:p>
    <w:p>
      <w:pPr>
        <w:pStyle w:val="3"/>
        <w:spacing w:before="0" w:after="0" w:line="312" w:lineRule="auto"/>
        <w:rPr>
          <w:rFonts w:ascii="宋体" w:hAnsi="宋体" w:cs="宋体"/>
          <w:b w:val="0"/>
          <w:color w:val="auto"/>
          <w:sz w:val="24"/>
          <w:szCs w:val="24"/>
          <w:highlight w:val="none"/>
        </w:rPr>
      </w:pPr>
      <w:r>
        <w:rPr>
          <w:rFonts w:hint="eastAsia" w:ascii="宋体" w:hAnsi="宋体" w:cs="宋体"/>
          <w:b w:val="0"/>
          <w:color w:val="auto"/>
          <w:sz w:val="24"/>
          <w:szCs w:val="24"/>
          <w:highlight w:val="none"/>
        </w:rPr>
        <w:t>（二）其他资料（格式自定）</w:t>
      </w: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b w:val="0"/>
          <w:color w:val="auto"/>
          <w:highlight w:val="none"/>
        </w:rPr>
      </w:pPr>
    </w:p>
    <w:p>
      <w:pPr>
        <w:pStyle w:val="3"/>
        <w:spacing w:before="0" w:after="0" w:line="312"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90" w:name="_Toc30652"/>
      <w:bookmarkStart w:id="91" w:name="_Toc342913421"/>
      <w:bookmarkStart w:id="92" w:name="_Toc5445"/>
      <w:bookmarkStart w:id="93" w:name="_Toc9361"/>
      <w:bookmarkStart w:id="94" w:name="_Toc313008358"/>
      <w:bookmarkStart w:id="95" w:name="_Toc313888362"/>
      <w:r>
        <w:rPr>
          <w:rFonts w:hint="eastAsia" w:ascii="宋体" w:hAnsi="宋体" w:cs="宋体"/>
          <w:color w:val="auto"/>
          <w:sz w:val="24"/>
          <w:szCs w:val="24"/>
          <w:highlight w:val="none"/>
        </w:rPr>
        <w:t>三、商务部分</w:t>
      </w:r>
      <w:bookmarkEnd w:id="90"/>
      <w:bookmarkEnd w:id="91"/>
      <w:bookmarkEnd w:id="92"/>
      <w:bookmarkEnd w:id="93"/>
      <w:bookmarkEnd w:id="94"/>
      <w:bookmarkEnd w:id="9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96" w:name="_Toc283382459"/>
      <w:r>
        <w:rPr>
          <w:rFonts w:hint="eastAsia" w:ascii="宋体" w:hAnsi="宋体" w:cs="宋体"/>
          <w:color w:val="auto"/>
          <w:sz w:val="24"/>
          <w:szCs w:val="24"/>
          <w:highlight w:val="none"/>
        </w:rPr>
        <w:t>商务响应偏离表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2"/>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序号</w:t>
            </w: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磋商项目商务需求</w:t>
            </w:r>
          </w:p>
        </w:tc>
        <w:tc>
          <w:tcPr>
            <w:tcW w:w="2434"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响应情况</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3179"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c>
          <w:tcPr>
            <w:tcW w:w="2434" w:type="dxa"/>
            <w:vAlign w:val="center"/>
          </w:tcPr>
          <w:p>
            <w:pPr>
              <w:tabs>
                <w:tab w:val="left" w:pos="6300"/>
              </w:tabs>
              <w:snapToGrid w:val="0"/>
              <w:spacing w:line="360" w:lineRule="auto"/>
              <w:outlineLvl w:val="0"/>
              <w:rPr>
                <w:rFonts w:asciiTheme="minorEastAsia" w:hAnsiTheme="minorEastAsia" w:eastAsiaTheme="minorEastAsia" w:cstheme="minorEastAsia"/>
                <w:color w:val="auto"/>
                <w:sz w:val="21"/>
                <w:szCs w:val="24"/>
                <w:highlight w:val="none"/>
              </w:rPr>
            </w:pPr>
            <w:r>
              <w:rPr>
                <w:rFonts w:hint="eastAsia" w:asciiTheme="minorEastAsia" w:hAnsiTheme="minorEastAsia" w:eastAsiaTheme="minorEastAsia" w:cstheme="minorEastAsia"/>
                <w:color w:val="auto"/>
                <w:sz w:val="21"/>
                <w:szCs w:val="21"/>
                <w:highlight w:val="none"/>
              </w:rPr>
              <w:t>提醒：请注明具体内容以及响应文件中具体内容的位置（页码）</w:t>
            </w:r>
          </w:p>
        </w:tc>
        <w:tc>
          <w:tcPr>
            <w:tcW w:w="2355" w:type="dxa"/>
            <w:vAlign w:val="center"/>
          </w:tcPr>
          <w:p>
            <w:pPr>
              <w:tabs>
                <w:tab w:val="left" w:pos="6300"/>
              </w:tabs>
              <w:snapToGrid w:val="0"/>
              <w:spacing w:line="360" w:lineRule="auto"/>
              <w:jc w:val="center"/>
              <w:outlineLvl w:val="0"/>
              <w:rPr>
                <w:rFonts w:asciiTheme="minorEastAsia" w:hAnsiTheme="minorEastAsia" w:eastAsiaTheme="minorEastAsia" w:cstheme="minorEastAsia"/>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360" w:lineRule="auto"/>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法定代表人（或其授权代表）：</w:t>
      </w:r>
    </w:p>
    <w:p>
      <w:pPr>
        <w:spacing w:line="360" w:lineRule="auto"/>
        <w:rPr>
          <w:rFonts w:ascii="宋体" w:hAnsi="宋体" w:cs="宋体"/>
          <w:color w:val="auto"/>
          <w:sz w:val="24"/>
          <w:szCs w:val="28"/>
          <w:highlight w:val="none"/>
        </w:rPr>
      </w:pPr>
    </w:p>
    <w:p>
      <w:pPr>
        <w:spacing w:line="360" w:lineRule="auto"/>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360" w:lineRule="auto"/>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spacing w:line="312" w:lineRule="auto"/>
        <w:rPr>
          <w:rFonts w:ascii="宋体" w:hAnsi="宋体" w:cs="宋体"/>
          <w:color w:val="auto"/>
          <w:sz w:val="24"/>
          <w:highlight w:val="none"/>
        </w:rPr>
      </w:pPr>
      <w:r>
        <w:rPr>
          <w:rFonts w:hint="eastAsia" w:ascii="宋体" w:hAnsi="宋体" w:cs="宋体"/>
          <w:color w:val="auto"/>
          <w:sz w:val="24"/>
          <w:highlight w:val="none"/>
        </w:rPr>
        <w:t>注：</w:t>
      </w:r>
    </w:p>
    <w:p>
      <w:pPr>
        <w:spacing w:line="312" w:lineRule="auto"/>
        <w:rPr>
          <w:rFonts w:ascii="宋体" w:hAnsi="宋体" w:cs="宋体"/>
          <w:color w:val="auto"/>
          <w:sz w:val="24"/>
          <w:highlight w:val="none"/>
        </w:rPr>
      </w:pPr>
      <w:r>
        <w:rPr>
          <w:rFonts w:hint="eastAsia" w:ascii="宋体" w:hAnsi="宋体" w:cs="宋体"/>
          <w:color w:val="auto"/>
          <w:sz w:val="24"/>
          <w:highlight w:val="none"/>
        </w:rPr>
        <w:t>1.本表即为对本项目“第三篇  项目商务需求”中所列条款进行比较和响应；</w:t>
      </w:r>
    </w:p>
    <w:p>
      <w:pPr>
        <w:spacing w:line="312" w:lineRule="auto"/>
        <w:rPr>
          <w:rFonts w:ascii="宋体" w:hAnsi="宋体" w:cs="宋体"/>
          <w:color w:val="auto"/>
          <w:sz w:val="24"/>
          <w:szCs w:val="24"/>
          <w:highlight w:val="none"/>
        </w:rPr>
      </w:pPr>
      <w:r>
        <w:rPr>
          <w:rFonts w:hint="eastAsia" w:ascii="宋体" w:hAnsi="宋体" w:cs="宋体"/>
          <w:color w:val="auto"/>
          <w:sz w:val="24"/>
          <w:highlight w:val="none"/>
        </w:rPr>
        <w:t>2.本表可扩展。</w:t>
      </w:r>
    </w:p>
    <w:p>
      <w:pPr>
        <w:spacing w:line="312" w:lineRule="auto"/>
        <w:ind w:firstLine="600" w:firstLineChars="250"/>
        <w:rPr>
          <w:rFonts w:ascii="宋体" w:hAnsi="宋体" w:cs="宋体"/>
          <w:color w:val="auto"/>
          <w:sz w:val="24"/>
          <w:szCs w:val="24"/>
          <w:highlight w:val="none"/>
        </w:rPr>
      </w:pPr>
    </w:p>
    <w:p>
      <w:pPr>
        <w:spacing w:line="312"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（二）其它优惠承诺（格式自定）</w:t>
      </w:r>
    </w:p>
    <w:p>
      <w:pPr>
        <w:pStyle w:val="3"/>
        <w:spacing w:before="0" w:after="0" w:line="312" w:lineRule="auto"/>
        <w:rPr>
          <w:rFonts w:ascii="宋体" w:hAnsi="宋体" w:cs="宋体"/>
          <w:color w:val="auto"/>
          <w:highlight w:val="none"/>
        </w:rPr>
      </w:pPr>
      <w:r>
        <w:rPr>
          <w:rFonts w:hint="eastAsia" w:ascii="宋体" w:hAnsi="宋体" w:cs="宋体"/>
          <w:color w:val="auto"/>
          <w:sz w:val="24"/>
          <w:szCs w:val="24"/>
          <w:highlight w:val="none"/>
        </w:rPr>
        <w:br w:type="page"/>
      </w:r>
      <w:bookmarkEnd w:id="96"/>
      <w:bookmarkStart w:id="97" w:name="_Toc342913422"/>
      <w:bookmarkStart w:id="98" w:name="_Toc313008359"/>
      <w:bookmarkStart w:id="99" w:name="_Toc10102"/>
      <w:bookmarkStart w:id="100" w:name="_Toc13012"/>
      <w:bookmarkStart w:id="101" w:name="_Toc313888363"/>
      <w:bookmarkStart w:id="102" w:name="_Toc5971"/>
      <w:r>
        <w:rPr>
          <w:rFonts w:hint="eastAsia" w:ascii="宋体" w:hAnsi="宋体" w:cs="宋体"/>
          <w:color w:val="auto"/>
          <w:sz w:val="24"/>
          <w:szCs w:val="24"/>
          <w:highlight w:val="none"/>
        </w:rPr>
        <w:t>四、资格条件及其他</w:t>
      </w:r>
      <w:bookmarkEnd w:id="97"/>
      <w:bookmarkEnd w:id="98"/>
      <w:bookmarkEnd w:id="99"/>
      <w:bookmarkEnd w:id="100"/>
      <w:bookmarkEnd w:id="101"/>
      <w:bookmarkEnd w:id="102"/>
    </w:p>
    <w:p>
      <w:pPr>
        <w:tabs>
          <w:tab w:val="left" w:pos="6300"/>
        </w:tabs>
        <w:snapToGrid w:val="0"/>
        <w:spacing w:line="312" w:lineRule="auto"/>
        <w:ind w:firstLine="570"/>
        <w:rPr>
          <w:rFonts w:ascii="宋体" w:hAnsi="宋体" w:cs="宋体"/>
          <w:color w:val="auto"/>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312" w:lineRule="auto"/>
        <w:ind w:firstLine="570"/>
        <w:rPr>
          <w:rFonts w:ascii="宋体" w:hAnsi="宋体" w:cs="宋体"/>
          <w:color w:val="auto"/>
          <w:highlight w:val="none"/>
        </w:rPr>
      </w:pPr>
    </w:p>
    <w:p>
      <w:pPr>
        <w:tabs>
          <w:tab w:val="left" w:pos="6300"/>
        </w:tabs>
        <w:snapToGrid w:val="0"/>
        <w:spacing w:line="312" w:lineRule="auto"/>
        <w:ind w:firstLine="570"/>
        <w:rPr>
          <w:rFonts w:ascii="宋体" w:hAnsi="宋体" w:cs="宋体"/>
          <w:color w:val="auto"/>
          <w:highlight w:val="none"/>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（三）法定代表人身份证明书（格式）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 xml:space="preserve"> 2.若为联合体参与的，法定代表人授权委托书由联合体主办方（主体）</w:t>
      </w:r>
    </w:p>
    <w:p>
      <w:pPr>
        <w:tabs>
          <w:tab w:val="left" w:pos="6300"/>
        </w:tabs>
        <w:snapToGrid w:val="0"/>
        <w:spacing w:line="312" w:lineRule="auto"/>
        <w:ind w:right="480"/>
        <w:rPr>
          <w:rFonts w:ascii="宋体" w:hAnsi="宋体" w:cs="宋体"/>
          <w:color w:val="auto"/>
          <w:sz w:val="24"/>
          <w:highlight w:val="none"/>
        </w:rPr>
      </w:pPr>
      <w:r>
        <w:rPr>
          <w:rFonts w:hint="eastAsia" w:ascii="宋体" w:hAnsi="宋体" w:cs="宋体"/>
          <w:color w:val="auto"/>
          <w:sz w:val="24"/>
          <w:szCs w:val="24"/>
          <w:highlight w:val="none"/>
        </w:rPr>
        <w:t>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2"/>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3" w:name="_Toc106030910"/>
      <w:bookmarkStart w:id="104" w:name="_Toc76462354"/>
      <w:bookmarkStart w:id="105" w:name="_Toc14422"/>
      <w:r>
        <w:rPr>
          <w:rFonts w:hint="eastAsia" w:asciiTheme="minorEastAsia" w:hAnsiTheme="minorEastAsia" w:eastAsiaTheme="minorEastAsia" w:cstheme="minorEastAsia"/>
          <w:color w:val="auto"/>
          <w:sz w:val="24"/>
          <w:highlight w:val="none"/>
        </w:rPr>
        <w:t>五、其他资料</w:t>
      </w:r>
      <w:bookmarkEnd w:id="103"/>
      <w:bookmarkEnd w:id="104"/>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05"/>
    </w:p>
    <w:p>
      <w:pPr>
        <w:spacing w:before="156" w:beforeLines="50" w:after="156" w:afterLines="50" w:line="48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预付款担保（如有）</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（发包人名称）：</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（承包人名称）（以下称“承包人”）与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（发包人名称）（以下简称“发包人”）于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日签订的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 担保金额人民币（大写）</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 担保有效期自预付款支付给承包人起生效，至你方签发的进度款支付证书说明已完全扣清止。</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 你方和承包人按合同约定变更合同时，我方承担本保函规定的义务不变。</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 因本保函发生的纠纷，可由双方协商解决，协商不成的，按下列第</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种方式解决：</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仲裁委员会申请仲裁；</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（2）向</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人民法院起诉。</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 本保函自我方法定代表人（或其委托代理人）</w:t>
      </w:r>
      <w:r>
        <w:rPr>
          <w:rFonts w:hint="eastAsia" w:asciiTheme="minorEastAsia" w:hAnsiTheme="minorEastAsia" w:eastAsiaTheme="minorEastAsia" w:cstheme="minorEastAsia"/>
          <w:color w:val="auto"/>
          <w:sz w:val="24"/>
          <w:szCs w:val="24"/>
          <w:lang w:eastAsia="zh-CN"/>
        </w:rPr>
        <w:t>签名</w:t>
      </w:r>
      <w:r>
        <w:rPr>
          <w:rFonts w:hint="eastAsia" w:asciiTheme="minorEastAsia" w:hAnsiTheme="minorEastAsia" w:eastAsiaTheme="minorEastAsia" w:cstheme="minorEastAsia"/>
          <w:color w:val="auto"/>
          <w:sz w:val="24"/>
          <w:szCs w:val="24"/>
        </w:rPr>
        <w:t>并加盖</w:t>
      </w:r>
      <w:r>
        <w:rPr>
          <w:rFonts w:hint="eastAsia" w:asciiTheme="minorEastAsia" w:hAnsiTheme="minorEastAsia" w:eastAsiaTheme="minorEastAsia" w:cstheme="minorEastAsia"/>
          <w:color w:val="auto"/>
          <w:sz w:val="24"/>
          <w:szCs w:val="24"/>
          <w:lang w:val="en-US" w:eastAsia="zh-CN"/>
        </w:rPr>
        <w:t>单位</w:t>
      </w:r>
      <w:r>
        <w:rPr>
          <w:rFonts w:hint="eastAsia" w:asciiTheme="minorEastAsia" w:hAnsiTheme="minorEastAsia" w:eastAsiaTheme="minorEastAsia" w:cstheme="minorEastAsia"/>
          <w:color w:val="auto"/>
          <w:sz w:val="24"/>
          <w:szCs w:val="24"/>
        </w:rPr>
        <w:t>公章之日起生效。</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担保人：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（盖单位</w:t>
      </w:r>
      <w:r>
        <w:rPr>
          <w:rFonts w:hint="eastAsia" w:asciiTheme="minorEastAsia" w:hAnsiTheme="minorEastAsia" w:eastAsiaTheme="minorEastAsia" w:cstheme="minorEastAsia"/>
          <w:color w:val="auto"/>
          <w:sz w:val="24"/>
          <w:szCs w:val="24"/>
          <w:lang w:eastAsia="zh-CN"/>
        </w:rPr>
        <w:t>公</w:t>
      </w:r>
      <w:r>
        <w:rPr>
          <w:rFonts w:hint="eastAsia" w:asciiTheme="minorEastAsia" w:hAnsiTheme="minorEastAsia" w:eastAsiaTheme="minorEastAsia" w:cstheme="minorEastAsia"/>
          <w:color w:val="auto"/>
          <w:sz w:val="24"/>
          <w:szCs w:val="24"/>
        </w:rPr>
        <w:t>章）</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法定代表人或其委托代理人：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签名</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邮政编码：</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电    话：</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传    真：</w:t>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r>
        <w:rPr>
          <w:rFonts w:hint="eastAsia" w:asciiTheme="minorEastAsia" w:hAnsiTheme="minorEastAsia" w:eastAsiaTheme="minorEastAsia" w:cstheme="minorEastAsia"/>
          <w:color w:val="auto"/>
          <w:sz w:val="24"/>
          <w:szCs w:val="24"/>
          <w:u w:val="single"/>
        </w:rPr>
        <w:tab/>
      </w:r>
    </w:p>
    <w:p>
      <w:pPr>
        <w:spacing w:line="360" w:lineRule="auto"/>
        <w:ind w:firstLine="480" w:firstLineChars="200"/>
        <w:rPr>
          <w:rFonts w:hint="eastAsia" w:asciiTheme="minorEastAsia" w:hAnsiTheme="minorEastAsia" w:eastAsiaTheme="minorEastAsia" w:cstheme="minorEastAsia"/>
          <w:color w:val="auto"/>
          <w:sz w:val="24"/>
          <w:szCs w:val="24"/>
          <w:u w:val="single"/>
        </w:rPr>
      </w:pPr>
    </w:p>
    <w:p>
      <w:pPr>
        <w:spacing w:line="360" w:lineRule="auto"/>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360" w:lineRule="auto"/>
        <w:jc w:val="center"/>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szCs w:val="24"/>
          <w:highlight w:val="none"/>
        </w:rPr>
        <w:t>（结束）</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rPr>
          <w:color w:val="auto"/>
          <w:highlight w:val="none"/>
        </w:rPr>
      </w:pPr>
    </w:p>
    <w:p/>
    <w:sectPr>
      <w:head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5"/>
        <w:rFonts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CECC1"/>
    <w:multiLevelType w:val="singleLevel"/>
    <w:tmpl w:val="C2BCECC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D243A"/>
    <w:rsid w:val="024D486D"/>
    <w:rsid w:val="08F27A6B"/>
    <w:rsid w:val="098B768C"/>
    <w:rsid w:val="0D21288D"/>
    <w:rsid w:val="101403F0"/>
    <w:rsid w:val="1824584B"/>
    <w:rsid w:val="199D25B1"/>
    <w:rsid w:val="1A2063FE"/>
    <w:rsid w:val="1E1439A5"/>
    <w:rsid w:val="2B9F6DD5"/>
    <w:rsid w:val="2E08706A"/>
    <w:rsid w:val="334038F7"/>
    <w:rsid w:val="35762F97"/>
    <w:rsid w:val="35C04FE0"/>
    <w:rsid w:val="35E14698"/>
    <w:rsid w:val="368407D2"/>
    <w:rsid w:val="37CF329E"/>
    <w:rsid w:val="37E00F43"/>
    <w:rsid w:val="38031AA8"/>
    <w:rsid w:val="39AE1723"/>
    <w:rsid w:val="3B332352"/>
    <w:rsid w:val="3D8B15BA"/>
    <w:rsid w:val="4334397B"/>
    <w:rsid w:val="45B824A1"/>
    <w:rsid w:val="476D243A"/>
    <w:rsid w:val="498916D0"/>
    <w:rsid w:val="4CF860F6"/>
    <w:rsid w:val="50901281"/>
    <w:rsid w:val="534635DB"/>
    <w:rsid w:val="53615818"/>
    <w:rsid w:val="54684D12"/>
    <w:rsid w:val="589826DD"/>
    <w:rsid w:val="5EEB51B6"/>
    <w:rsid w:val="602C78E4"/>
    <w:rsid w:val="647A16F8"/>
    <w:rsid w:val="657A50C8"/>
    <w:rsid w:val="683559B3"/>
    <w:rsid w:val="6E0C267A"/>
    <w:rsid w:val="71F57E45"/>
    <w:rsid w:val="746966FA"/>
    <w:rsid w:val="74A93046"/>
    <w:rsid w:val="79EA7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paragraph" w:styleId="3">
    <w:name w:val="heading 3"/>
    <w:basedOn w:val="1"/>
    <w:next w:val="1"/>
    <w:qFormat/>
    <w:uiPriority w:val="0"/>
    <w:pPr>
      <w:keepNext/>
      <w:keepLines/>
      <w:spacing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420"/>
    </w:pPr>
    <w:rPr>
      <w:sz w:val="24"/>
    </w:rPr>
  </w:style>
  <w:style w:type="paragraph" w:styleId="5">
    <w:name w:val="toc 3"/>
    <w:basedOn w:val="1"/>
    <w:next w:val="1"/>
    <w:qFormat/>
    <w:uiPriority w:val="39"/>
    <w:pPr>
      <w:ind w:left="840" w:leftChars="400"/>
    </w:p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spacing w:before="120" w:after="120"/>
      <w:jc w:val="left"/>
    </w:pPr>
    <w:rPr>
      <w:caps/>
      <w:sz w:val="20"/>
    </w:rPr>
  </w:style>
  <w:style w:type="paragraph" w:styleId="11">
    <w:name w:val="toc 2"/>
    <w:basedOn w:val="1"/>
    <w:next w:val="1"/>
    <w:qFormat/>
    <w:uiPriority w:val="39"/>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2023-09-04T08:13:00Z</dcterms:created>
  <dc:creator>李淮</dc:creator>
  <cp:lastModifiedBy>李淮</cp:lastModifiedBy>
  <dcterms:modified xsi:type="dcterms:W3CDTF">2023-09-11T07:17:41Z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