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color w:val="auto"/>
          <w:highlight w:val="none"/>
          <w:lang w:val="en-US" w:eastAsia="zh-CN"/>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sz w:val="84"/>
          <w:szCs w:val="84"/>
          <w:highlight w:val="none"/>
        </w:rPr>
      </w:pPr>
    </w:p>
    <w:p>
      <w:pPr>
        <w:jc w:val="center"/>
        <w:rPr>
          <w:rFonts w:ascii="宋体" w:hAnsi="宋体" w:cs="宋体"/>
          <w:color w:val="auto"/>
          <w:sz w:val="84"/>
          <w:szCs w:val="84"/>
          <w:highlight w:val="none"/>
        </w:rPr>
      </w:pPr>
      <w:r>
        <w:rPr>
          <w:rFonts w:hint="eastAsia" w:ascii="宋体" w:hAnsi="宋体" w:cs="宋体"/>
          <w:color w:val="auto"/>
          <w:sz w:val="84"/>
          <w:szCs w:val="84"/>
          <w:highlight w:val="none"/>
        </w:rPr>
        <w:t>竞争性磋商文件</w:t>
      </w:r>
    </w:p>
    <w:p>
      <w:pPr>
        <w:spacing w:line="700" w:lineRule="exact"/>
        <w:jc w:val="center"/>
        <w:rPr>
          <w:rFonts w:ascii="宋体" w:hAnsi="宋体" w:cs="宋体"/>
          <w:color w:val="auto"/>
          <w:sz w:val="32"/>
          <w:highlight w:val="none"/>
        </w:rPr>
      </w:pPr>
    </w:p>
    <w:p>
      <w:pPr>
        <w:spacing w:line="700" w:lineRule="exact"/>
        <w:jc w:val="center"/>
        <w:rPr>
          <w:rFonts w:hint="eastAsia" w:ascii="宋体" w:hAnsi="宋体" w:eastAsia="宋体" w:cs="宋体"/>
          <w:color w:val="auto"/>
          <w:sz w:val="32"/>
          <w:highlight w:val="none"/>
          <w:lang w:eastAsia="zh-CN"/>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ind w:left="3595" w:leftChars="384" w:hanging="2520" w:hangingChars="700"/>
        <w:rPr>
          <w:rFonts w:hint="eastAsia" w:ascii="宋体" w:hAnsi="宋体" w:eastAsia="宋体" w:cs="宋体"/>
          <w:color w:val="auto"/>
          <w:sz w:val="36"/>
          <w:szCs w:val="30"/>
          <w:highlight w:val="none"/>
          <w:lang w:val="en-US" w:eastAsia="zh-CN"/>
        </w:rPr>
      </w:pPr>
      <w:r>
        <w:rPr>
          <w:rFonts w:hint="eastAsia" w:ascii="宋体" w:hAnsi="宋体" w:cs="宋体"/>
          <w:color w:val="auto"/>
          <w:sz w:val="36"/>
          <w:szCs w:val="30"/>
          <w:highlight w:val="none"/>
        </w:rPr>
        <w:t>磋商项目名称：</w:t>
      </w:r>
      <w:r>
        <w:rPr>
          <w:rFonts w:hint="eastAsia" w:ascii="宋体" w:hAnsi="宋体" w:cs="宋体"/>
          <w:color w:val="auto"/>
          <w:sz w:val="36"/>
          <w:szCs w:val="30"/>
          <w:highlight w:val="none"/>
          <w:lang w:eastAsia="zh-CN"/>
        </w:rPr>
        <w:t>绿色工业园区评价报告编制项目采购</w:t>
      </w:r>
      <w:r>
        <w:rPr>
          <w:rFonts w:hint="eastAsia" w:ascii="宋体" w:hAnsi="宋体" w:cs="宋体"/>
          <w:color w:val="auto"/>
          <w:sz w:val="36"/>
          <w:szCs w:val="30"/>
          <w:highlight w:val="none"/>
          <w:lang w:val="en-US" w:eastAsia="zh-CN"/>
        </w:rPr>
        <w:t>(第三次）</w:t>
      </w:r>
    </w:p>
    <w:p>
      <w:pPr>
        <w:spacing w:line="700" w:lineRule="exact"/>
        <w:ind w:firstLine="1749" w:firstLineChars="486"/>
        <w:rPr>
          <w:rFonts w:ascii="宋体" w:hAnsi="宋体" w:cs="宋体"/>
          <w:color w:val="auto"/>
          <w:sz w:val="36"/>
          <w:szCs w:val="30"/>
          <w:highlight w:val="none"/>
        </w:rPr>
      </w:pPr>
    </w:p>
    <w:p>
      <w:pPr>
        <w:spacing w:line="700" w:lineRule="exact"/>
        <w:ind w:firstLine="1749" w:firstLineChars="486"/>
        <w:rPr>
          <w:rFonts w:ascii="宋体" w:hAnsi="宋体" w:cs="宋体"/>
          <w:color w:val="auto"/>
          <w:sz w:val="36"/>
          <w:szCs w:val="30"/>
          <w:highlight w:val="none"/>
        </w:rPr>
      </w:pPr>
    </w:p>
    <w:p>
      <w:pPr>
        <w:spacing w:line="700" w:lineRule="exact"/>
        <w:jc w:val="center"/>
        <w:rPr>
          <w:rFonts w:ascii="宋体" w:hAnsi="宋体" w:cs="宋体"/>
          <w:b/>
          <w:color w:val="auto"/>
          <w:sz w:val="30"/>
          <w:szCs w:val="30"/>
          <w:highlight w:val="none"/>
        </w:rPr>
      </w:pPr>
    </w:p>
    <w:p>
      <w:pPr>
        <w:spacing w:line="700" w:lineRule="exact"/>
        <w:ind w:left="2514" w:leftChars="512" w:hanging="1080" w:hangingChars="300"/>
        <w:rPr>
          <w:rFonts w:hint="eastAsia" w:ascii="宋体" w:hAnsi="宋体" w:eastAsia="宋体" w:cs="宋体"/>
          <w:color w:val="auto"/>
          <w:sz w:val="36"/>
          <w:szCs w:val="30"/>
          <w:highlight w:val="none"/>
        </w:rPr>
      </w:pPr>
      <w:r>
        <w:rPr>
          <w:rFonts w:hint="eastAsia" w:ascii="宋体" w:hAnsi="宋体" w:eastAsia="宋体" w:cs="宋体"/>
          <w:color w:val="auto"/>
          <w:sz w:val="36"/>
          <w:szCs w:val="30"/>
          <w:highlight w:val="none"/>
        </w:rPr>
        <w:t>采   购   人：重庆建桥实业发展有限公司</w:t>
      </w:r>
    </w:p>
    <w:p>
      <w:pPr>
        <w:spacing w:line="720" w:lineRule="exact"/>
        <w:jc w:val="center"/>
        <w:outlineLvl w:val="0"/>
        <w:rPr>
          <w:rFonts w:ascii="宋体" w:hAnsi="宋体" w:cs="宋体"/>
          <w:color w:val="auto"/>
          <w:sz w:val="36"/>
          <w:szCs w:val="30"/>
          <w:highlight w:val="none"/>
        </w:rPr>
      </w:pPr>
    </w:p>
    <w:p>
      <w:pPr>
        <w:spacing w:line="720" w:lineRule="exact"/>
        <w:jc w:val="center"/>
        <w:outlineLvl w:val="0"/>
        <w:rPr>
          <w:rFonts w:ascii="宋体" w:hAnsi="宋体" w:cs="宋体"/>
          <w:color w:val="auto"/>
          <w:sz w:val="36"/>
          <w:szCs w:val="30"/>
          <w:highlight w:val="none"/>
        </w:rPr>
      </w:pPr>
      <w:r>
        <w:rPr>
          <w:rFonts w:hint="eastAsia" w:ascii="宋体" w:hAnsi="宋体" w:cs="宋体"/>
          <w:color w:val="auto"/>
          <w:sz w:val="36"/>
          <w:szCs w:val="30"/>
          <w:highlight w:val="none"/>
        </w:rPr>
        <w:t>二〇二</w:t>
      </w:r>
      <w:r>
        <w:rPr>
          <w:rFonts w:hint="eastAsia" w:ascii="宋体" w:hAnsi="宋体" w:cs="宋体"/>
          <w:color w:val="auto"/>
          <w:sz w:val="36"/>
          <w:szCs w:val="30"/>
          <w:highlight w:val="none"/>
          <w:lang w:eastAsia="zh-CN"/>
        </w:rPr>
        <w:t>三</w:t>
      </w:r>
      <w:r>
        <w:rPr>
          <w:rFonts w:hint="eastAsia" w:ascii="宋体" w:hAnsi="宋体" w:cs="宋体"/>
          <w:color w:val="auto"/>
          <w:sz w:val="36"/>
          <w:szCs w:val="30"/>
          <w:highlight w:val="none"/>
        </w:rPr>
        <w:t>年</w:t>
      </w:r>
      <w:r>
        <w:rPr>
          <w:rFonts w:hint="eastAsia" w:ascii="宋体" w:hAnsi="宋体" w:cs="宋体"/>
          <w:color w:val="auto"/>
          <w:sz w:val="36"/>
          <w:szCs w:val="30"/>
          <w:highlight w:val="none"/>
          <w:lang w:eastAsia="zh-CN"/>
        </w:rPr>
        <w:t>八</w:t>
      </w:r>
      <w:r>
        <w:rPr>
          <w:rFonts w:hint="eastAsia" w:ascii="宋体" w:hAnsi="宋体" w:cs="宋体"/>
          <w:color w:val="auto"/>
          <w:sz w:val="36"/>
          <w:szCs w:val="30"/>
          <w:highlight w:val="none"/>
        </w:rPr>
        <w:t>月</w:t>
      </w:r>
    </w:p>
    <w:p>
      <w:pPr>
        <w:spacing w:line="480" w:lineRule="exact"/>
        <w:jc w:val="center"/>
        <w:outlineLvl w:val="0"/>
        <w:rPr>
          <w:rFonts w:ascii="宋体" w:hAnsi="宋体" w:cs="宋体"/>
          <w:color w:val="auto"/>
          <w:sz w:val="44"/>
          <w:szCs w:val="28"/>
          <w:highlight w:val="none"/>
        </w:rPr>
      </w:pPr>
      <w:r>
        <w:rPr>
          <w:rFonts w:hint="eastAsia" w:ascii="宋体" w:hAnsi="宋体" w:cs="宋体"/>
          <w:color w:val="auto"/>
          <w:sz w:val="44"/>
          <w:szCs w:val="28"/>
          <w:highlight w:val="none"/>
        </w:rPr>
        <w:br w:type="page"/>
      </w:r>
      <w:r>
        <w:rPr>
          <w:rFonts w:hint="eastAsia" w:ascii="宋体" w:hAnsi="宋体" w:cs="宋体"/>
          <w:color w:val="auto"/>
          <w:sz w:val="44"/>
          <w:szCs w:val="28"/>
          <w:highlight w:val="none"/>
        </w:rPr>
        <w:t>目   录</w:t>
      </w:r>
    </w:p>
    <w:p>
      <w:pPr>
        <w:pStyle w:val="15"/>
        <w:tabs>
          <w:tab w:val="right" w:leader="dot" w:pos="9402"/>
        </w:tabs>
        <w:ind w:left="560"/>
        <w:rPr>
          <w:rFonts w:ascii="宋体" w:hAnsi="宋体" w:cs="宋体"/>
          <w:color w:val="auto"/>
          <w:sz w:val="21"/>
          <w:szCs w:val="22"/>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"_Toc54278968" </w:instrText>
      </w:r>
      <w:r>
        <w:rPr>
          <w:color w:val="auto"/>
          <w:highlight w:val="none"/>
        </w:rPr>
        <w:fldChar w:fldCharType="separate"/>
      </w:r>
      <w:r>
        <w:rPr>
          <w:rStyle w:val="19"/>
          <w:rFonts w:hint="eastAsia" w:ascii="宋体" w:hAnsi="宋体" w:cs="宋体"/>
          <w:color w:val="auto"/>
          <w:highlight w:val="none"/>
        </w:rPr>
        <w:t>第一篇  采购邀请书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_Toc54278968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"_Toc54278969" </w:instrText>
      </w:r>
      <w:r>
        <w:rPr>
          <w:color w:val="auto"/>
          <w:highlight w:val="none"/>
        </w:rPr>
        <w:fldChar w:fldCharType="separate"/>
      </w:r>
      <w:r>
        <w:rPr>
          <w:rStyle w:val="19"/>
          <w:rFonts w:hint="eastAsia" w:ascii="宋体" w:hAnsi="宋体" w:cs="宋体"/>
          <w:color w:val="auto"/>
          <w:highlight w:val="none"/>
        </w:rPr>
        <w:t>一、竞争性磋商内容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_Toc54278969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"_Toc54278970" </w:instrText>
      </w:r>
      <w:r>
        <w:rPr>
          <w:color w:val="auto"/>
          <w:highlight w:val="none"/>
        </w:rPr>
        <w:fldChar w:fldCharType="separate"/>
      </w:r>
      <w:r>
        <w:rPr>
          <w:rStyle w:val="19"/>
          <w:rFonts w:hint="eastAsia" w:ascii="宋体" w:hAnsi="宋体" w:cs="宋体"/>
          <w:color w:val="auto"/>
          <w:highlight w:val="none"/>
        </w:rPr>
        <w:t>二、资金来源</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_Toc54278970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"_Toc54278971" </w:instrText>
      </w:r>
      <w:r>
        <w:rPr>
          <w:color w:val="auto"/>
          <w:highlight w:val="none"/>
        </w:rPr>
        <w:fldChar w:fldCharType="separate"/>
      </w:r>
      <w:r>
        <w:rPr>
          <w:rStyle w:val="19"/>
          <w:rFonts w:hint="eastAsia" w:ascii="宋体" w:hAnsi="宋体" w:cs="宋体"/>
          <w:color w:val="auto"/>
          <w:highlight w:val="none"/>
        </w:rPr>
        <w:t>三、供应商资格条件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_Toc54278971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Style w:val="19"/>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四、磋商有关说明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Style w:val="19"/>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五、磋商保证金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highlight w:val="none"/>
          <w:u w:val="singl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9"/>
          <w:rFonts w:hint="eastAsia" w:ascii="宋体" w:hAnsi="宋体" w:cs="宋体"/>
          <w:color w:val="auto"/>
          <w:highlight w:val="none"/>
        </w:rPr>
        <w:t>六、履约保证金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"_Toc54278973" </w:instrText>
      </w:r>
      <w:r>
        <w:rPr>
          <w:color w:val="auto"/>
          <w:highlight w:val="none"/>
        </w:rPr>
        <w:fldChar w:fldCharType="separate"/>
      </w:r>
      <w:r>
        <w:rPr>
          <w:rStyle w:val="19"/>
          <w:rFonts w:hint="eastAsia" w:ascii="宋体" w:hAnsi="宋体" w:cs="宋体"/>
          <w:color w:val="auto"/>
          <w:highlight w:val="none"/>
        </w:rPr>
        <w:t>七、采购项目需落实的政府采购政策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_Toc54278973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"_Toc54278974" </w:instrText>
      </w:r>
      <w:r>
        <w:rPr>
          <w:color w:val="auto"/>
          <w:highlight w:val="none"/>
        </w:rPr>
        <w:fldChar w:fldCharType="separate"/>
      </w:r>
      <w:r>
        <w:rPr>
          <w:rStyle w:val="19"/>
          <w:rFonts w:hint="eastAsia" w:ascii="宋体" w:hAnsi="宋体" w:cs="宋体"/>
          <w:color w:val="auto"/>
          <w:highlight w:val="none"/>
        </w:rPr>
        <w:t>八、其它有关规定</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_Toc54278974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"_Toc54278975" </w:instrText>
      </w:r>
      <w:r>
        <w:rPr>
          <w:color w:val="auto"/>
          <w:highlight w:val="none"/>
        </w:rPr>
        <w:fldChar w:fldCharType="separate"/>
      </w:r>
      <w:r>
        <w:rPr>
          <w:rStyle w:val="19"/>
          <w:rFonts w:hint="eastAsia" w:ascii="宋体" w:hAnsi="宋体" w:cs="宋体"/>
          <w:color w:val="auto"/>
          <w:highlight w:val="none"/>
        </w:rPr>
        <w:t>九、联系方式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_Toc54278975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"_Toc54278977" </w:instrText>
      </w:r>
      <w:r>
        <w:rPr>
          <w:color w:val="auto"/>
          <w:highlight w:val="none"/>
        </w:rPr>
        <w:fldChar w:fldCharType="separate"/>
      </w:r>
      <w:r>
        <w:rPr>
          <w:rStyle w:val="19"/>
          <w:rFonts w:hint="eastAsia" w:ascii="宋体" w:hAnsi="宋体" w:cs="宋体"/>
          <w:color w:val="auto"/>
          <w:highlight w:val="none"/>
        </w:rPr>
        <w:t>第二篇  项目服务需求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"_Toc54278978" </w:instrText>
      </w:r>
      <w:r>
        <w:rPr>
          <w:color w:val="auto"/>
          <w:highlight w:val="none"/>
        </w:rPr>
        <w:fldChar w:fldCharType="separate"/>
      </w:r>
      <w:r>
        <w:rPr>
          <w:rStyle w:val="19"/>
          <w:rFonts w:hint="eastAsia" w:ascii="宋体" w:hAnsi="宋体" w:cs="宋体"/>
          <w:color w:val="auto"/>
          <w:highlight w:val="none"/>
        </w:rPr>
        <w:t>一、建设地点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"_Toc54278979" </w:instrText>
      </w:r>
      <w:r>
        <w:rPr>
          <w:color w:val="auto"/>
          <w:highlight w:val="none"/>
        </w:rPr>
        <w:fldChar w:fldCharType="separate"/>
      </w:r>
      <w:r>
        <w:rPr>
          <w:rStyle w:val="19"/>
          <w:rFonts w:hint="eastAsia" w:ascii="宋体" w:hAnsi="宋体" w:cs="宋体"/>
          <w:color w:val="auto"/>
          <w:highlight w:val="none"/>
        </w:rPr>
        <w:t>二、建设规模</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"_Toc54278984" </w:instrText>
      </w:r>
      <w:r>
        <w:rPr>
          <w:color w:val="auto"/>
          <w:highlight w:val="none"/>
        </w:rPr>
        <w:fldChar w:fldCharType="separate"/>
      </w:r>
      <w:r>
        <w:rPr>
          <w:rStyle w:val="19"/>
          <w:rFonts w:hint="eastAsia" w:ascii="宋体" w:hAnsi="宋体" w:cs="宋体"/>
          <w:color w:val="auto"/>
          <w:highlight w:val="none"/>
        </w:rPr>
        <w:t>第三篇  项目商务需求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_Toc54278984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"_Toc54278985" </w:instrText>
      </w:r>
      <w:r>
        <w:rPr>
          <w:color w:val="auto"/>
          <w:highlight w:val="none"/>
        </w:rPr>
        <w:fldChar w:fldCharType="separate"/>
      </w:r>
      <w:r>
        <w:rPr>
          <w:rStyle w:val="19"/>
          <w:rFonts w:hint="eastAsia" w:ascii="宋体" w:hAnsi="宋体" w:cs="宋体"/>
          <w:color w:val="auto"/>
          <w:highlight w:val="none"/>
        </w:rPr>
        <w:t>一、服务期、地点及验收方式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_Toc54278985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"_Toc54278986" </w:instrText>
      </w:r>
      <w:r>
        <w:rPr>
          <w:color w:val="auto"/>
          <w:highlight w:val="none"/>
        </w:rPr>
        <w:fldChar w:fldCharType="separate"/>
      </w:r>
      <w:r>
        <w:rPr>
          <w:rStyle w:val="19"/>
          <w:rFonts w:hint="eastAsia" w:ascii="宋体" w:hAnsi="宋体" w:cs="宋体"/>
          <w:color w:val="auto"/>
          <w:highlight w:val="none"/>
        </w:rPr>
        <w:t>二、报价要求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"_Toc54278987" </w:instrText>
      </w:r>
      <w:r>
        <w:rPr>
          <w:color w:val="auto"/>
          <w:highlight w:val="none"/>
        </w:rPr>
        <w:fldChar w:fldCharType="separate"/>
      </w:r>
      <w:r>
        <w:rPr>
          <w:rStyle w:val="19"/>
          <w:rFonts w:hint="eastAsia" w:ascii="宋体" w:hAnsi="宋体" w:cs="宋体"/>
          <w:color w:val="auto"/>
          <w:highlight w:val="none"/>
        </w:rPr>
        <w:t>三、结算原则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"_Toc54278988" </w:instrText>
      </w:r>
      <w:r>
        <w:rPr>
          <w:color w:val="auto"/>
          <w:highlight w:val="none"/>
        </w:rPr>
        <w:fldChar w:fldCharType="separate"/>
      </w:r>
      <w:r>
        <w:rPr>
          <w:rStyle w:val="19"/>
          <w:rFonts w:hint="eastAsia" w:ascii="宋体" w:hAnsi="宋体" w:cs="宋体"/>
          <w:color w:val="auto"/>
          <w:highlight w:val="none"/>
        </w:rPr>
        <w:t>四、付款方式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"_Toc54278989" </w:instrText>
      </w:r>
      <w:r>
        <w:rPr>
          <w:color w:val="auto"/>
          <w:highlight w:val="none"/>
        </w:rPr>
        <w:fldChar w:fldCharType="separate"/>
      </w:r>
      <w:r>
        <w:rPr>
          <w:rStyle w:val="19"/>
          <w:rFonts w:hint="eastAsia" w:ascii="宋体" w:hAnsi="宋体" w:cs="宋体"/>
          <w:color w:val="auto"/>
          <w:highlight w:val="none"/>
        </w:rPr>
        <w:t>五、知识产权</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"_Toc54278991" </w:instrText>
      </w:r>
      <w:r>
        <w:rPr>
          <w:color w:val="auto"/>
          <w:highlight w:val="none"/>
        </w:rPr>
        <w:fldChar w:fldCharType="separate"/>
      </w:r>
      <w:r>
        <w:rPr>
          <w:rStyle w:val="19"/>
          <w:rFonts w:hint="eastAsia" w:ascii="宋体" w:hAnsi="宋体" w:cs="宋体"/>
          <w:color w:val="auto"/>
          <w:highlight w:val="none"/>
        </w:rPr>
        <w:t>六、其他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_Toc54278987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"_Toc54278994" </w:instrText>
      </w:r>
      <w:r>
        <w:rPr>
          <w:color w:val="auto"/>
          <w:highlight w:val="none"/>
        </w:rPr>
        <w:fldChar w:fldCharType="separate"/>
      </w:r>
      <w:r>
        <w:rPr>
          <w:rStyle w:val="19"/>
          <w:rFonts w:hint="eastAsia" w:ascii="宋体" w:hAnsi="宋体" w:cs="宋体"/>
          <w:color w:val="auto"/>
          <w:highlight w:val="none"/>
        </w:rPr>
        <w:t>第四篇  磋商程序及方法、评审标准、无效响应和采购终止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"_Toc54278995" </w:instrText>
      </w:r>
      <w:r>
        <w:rPr>
          <w:color w:val="auto"/>
          <w:highlight w:val="none"/>
        </w:rPr>
        <w:fldChar w:fldCharType="separate"/>
      </w:r>
      <w:r>
        <w:rPr>
          <w:rStyle w:val="19"/>
          <w:rFonts w:hint="eastAsia" w:ascii="宋体" w:hAnsi="宋体" w:cs="宋体"/>
          <w:color w:val="auto"/>
          <w:highlight w:val="none"/>
        </w:rPr>
        <w:t>一、磋商程序及方法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_Toc54278995 \h </w:instrText>
      </w:r>
      <w:r>
        <w:rPr>
          <w:rFonts w:hint="eastAsia" w:ascii="宋体" w:hAnsi="宋体" w:cs="宋体"/>
          <w:color w:val="auto"/>
          <w:highlight w:val="none"/>
        </w:rPr>
        <w:fldChar w:fldCharType="separate"/>
      </w:r>
      <w:r>
        <w:rPr>
          <w:rFonts w:hint="eastAsia" w:ascii="宋体" w:hAnsi="宋体" w:cs="宋体"/>
          <w:color w:val="auto"/>
          <w:highlight w:val="none"/>
        </w:rPr>
        <w:t>- 11 -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"_Toc54278996" </w:instrText>
      </w:r>
      <w:r>
        <w:rPr>
          <w:color w:val="auto"/>
          <w:highlight w:val="none"/>
        </w:rPr>
        <w:fldChar w:fldCharType="separate"/>
      </w:r>
      <w:r>
        <w:rPr>
          <w:rStyle w:val="19"/>
          <w:rFonts w:hint="eastAsia" w:ascii="宋体" w:hAnsi="宋体" w:cs="宋体"/>
          <w:color w:val="auto"/>
          <w:highlight w:val="none"/>
        </w:rPr>
        <w:t>二、评审标准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_Toc54278996 \h </w:instrText>
      </w:r>
      <w:r>
        <w:rPr>
          <w:rFonts w:hint="eastAsia" w:ascii="宋体" w:hAnsi="宋体" w:cs="宋体"/>
          <w:color w:val="auto"/>
          <w:highlight w:val="none"/>
        </w:rPr>
        <w:fldChar w:fldCharType="separate"/>
      </w:r>
      <w:r>
        <w:rPr>
          <w:rFonts w:hint="eastAsia" w:ascii="宋体" w:hAnsi="宋体" w:cs="宋体"/>
          <w:color w:val="auto"/>
          <w:highlight w:val="none"/>
        </w:rPr>
        <w:t>- 13 -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"_Toc54278997" </w:instrText>
      </w:r>
      <w:r>
        <w:rPr>
          <w:color w:val="auto"/>
          <w:highlight w:val="none"/>
        </w:rPr>
        <w:fldChar w:fldCharType="separate"/>
      </w:r>
      <w:r>
        <w:rPr>
          <w:rStyle w:val="19"/>
          <w:rFonts w:hint="eastAsia" w:ascii="宋体" w:hAnsi="宋体" w:cs="宋体"/>
          <w:color w:val="auto"/>
          <w:highlight w:val="none"/>
        </w:rPr>
        <w:t>三、无效响应</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_Toc54278997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"_Toc54278998" </w:instrText>
      </w:r>
      <w:r>
        <w:rPr>
          <w:color w:val="auto"/>
          <w:highlight w:val="none"/>
        </w:rPr>
        <w:fldChar w:fldCharType="separate"/>
      </w:r>
      <w:r>
        <w:rPr>
          <w:rStyle w:val="19"/>
          <w:rFonts w:hint="eastAsia" w:ascii="宋体" w:hAnsi="宋体" w:cs="宋体"/>
          <w:color w:val="auto"/>
          <w:highlight w:val="none"/>
        </w:rPr>
        <w:t>四、采购终止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"_Toc54278999" </w:instrText>
      </w:r>
      <w:r>
        <w:rPr>
          <w:color w:val="auto"/>
          <w:highlight w:val="none"/>
        </w:rPr>
        <w:fldChar w:fldCharType="separate"/>
      </w:r>
      <w:r>
        <w:rPr>
          <w:rStyle w:val="19"/>
          <w:rFonts w:hint="eastAsia" w:ascii="宋体" w:hAnsi="宋体" w:cs="宋体"/>
          <w:color w:val="auto"/>
          <w:highlight w:val="none"/>
        </w:rPr>
        <w:t>第五篇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"_Toc54279000" </w:instrText>
      </w:r>
      <w:r>
        <w:rPr>
          <w:color w:val="auto"/>
          <w:highlight w:val="none"/>
        </w:rPr>
        <w:fldChar w:fldCharType="separate"/>
      </w:r>
      <w:r>
        <w:rPr>
          <w:rStyle w:val="19"/>
          <w:rFonts w:hint="eastAsia" w:ascii="宋体" w:hAnsi="宋体" w:cs="宋体"/>
          <w:color w:val="auto"/>
          <w:highlight w:val="none"/>
        </w:rPr>
        <w:t>一、磋商费用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"_Toc54279001" </w:instrText>
      </w:r>
      <w:r>
        <w:rPr>
          <w:color w:val="auto"/>
          <w:highlight w:val="none"/>
        </w:rPr>
        <w:fldChar w:fldCharType="separate"/>
      </w:r>
      <w:r>
        <w:rPr>
          <w:rStyle w:val="19"/>
          <w:rFonts w:hint="eastAsia" w:ascii="宋体" w:hAnsi="宋体" w:cs="宋体"/>
          <w:color w:val="auto"/>
          <w:highlight w:val="none"/>
        </w:rPr>
        <w:t>二、竞争性磋商文件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"_Toc54279002" </w:instrText>
      </w:r>
      <w:r>
        <w:rPr>
          <w:color w:val="auto"/>
          <w:highlight w:val="none"/>
        </w:rPr>
        <w:fldChar w:fldCharType="separate"/>
      </w:r>
      <w:r>
        <w:rPr>
          <w:rStyle w:val="19"/>
          <w:rFonts w:hint="eastAsia" w:ascii="宋体" w:hAnsi="宋体" w:cs="宋体"/>
          <w:color w:val="auto"/>
          <w:highlight w:val="none"/>
        </w:rPr>
        <w:t>三、磋商要求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"_Toc54279003" </w:instrText>
      </w:r>
      <w:r>
        <w:rPr>
          <w:color w:val="auto"/>
          <w:highlight w:val="none"/>
        </w:rPr>
        <w:fldChar w:fldCharType="separate"/>
      </w:r>
      <w:r>
        <w:rPr>
          <w:rStyle w:val="19"/>
          <w:rFonts w:hint="eastAsia" w:ascii="宋体" w:hAnsi="宋体" w:cs="宋体"/>
          <w:color w:val="auto"/>
          <w:highlight w:val="none"/>
        </w:rPr>
        <w:t>四、成交供应商的确认和变更</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"_Toc54279004" </w:instrText>
      </w:r>
      <w:r>
        <w:rPr>
          <w:color w:val="auto"/>
          <w:highlight w:val="none"/>
        </w:rPr>
        <w:fldChar w:fldCharType="separate"/>
      </w:r>
      <w:r>
        <w:rPr>
          <w:rStyle w:val="19"/>
          <w:rFonts w:hint="eastAsia" w:ascii="宋体" w:hAnsi="宋体" w:cs="宋体"/>
          <w:color w:val="auto"/>
          <w:highlight w:val="none"/>
        </w:rPr>
        <w:t>五、成交通知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"_Toc54279005" </w:instrText>
      </w:r>
      <w:r>
        <w:rPr>
          <w:color w:val="auto"/>
          <w:highlight w:val="none"/>
        </w:rPr>
        <w:fldChar w:fldCharType="separate"/>
      </w:r>
      <w:r>
        <w:rPr>
          <w:rStyle w:val="19"/>
          <w:rFonts w:hint="eastAsia" w:ascii="宋体" w:hAnsi="宋体" w:cs="宋体"/>
          <w:color w:val="auto"/>
          <w:highlight w:val="none"/>
        </w:rPr>
        <w:t>六、关于质疑和投诉</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"_Toc54279008" </w:instrText>
      </w:r>
      <w:r>
        <w:rPr>
          <w:color w:val="auto"/>
          <w:highlight w:val="none"/>
        </w:rPr>
        <w:fldChar w:fldCharType="separate"/>
      </w:r>
      <w:r>
        <w:rPr>
          <w:rStyle w:val="19"/>
          <w:rFonts w:hint="eastAsia" w:ascii="宋体" w:hAnsi="宋体" w:cs="宋体"/>
          <w:color w:val="auto"/>
          <w:highlight w:val="none"/>
        </w:rPr>
        <w:t>七、签订合同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"_Toc54279009" </w:instrText>
      </w:r>
      <w:r>
        <w:rPr>
          <w:color w:val="auto"/>
          <w:highlight w:val="none"/>
        </w:rPr>
        <w:fldChar w:fldCharType="separate"/>
      </w:r>
      <w:r>
        <w:rPr>
          <w:rStyle w:val="19"/>
          <w:rFonts w:hint="eastAsia" w:ascii="宋体" w:hAnsi="宋体" w:cs="宋体"/>
          <w:color w:val="auto"/>
          <w:highlight w:val="none"/>
        </w:rPr>
        <w:t>八、政府采购信用融资</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"_Toc54279010" </w:instrText>
      </w:r>
      <w:r>
        <w:rPr>
          <w:color w:val="auto"/>
          <w:highlight w:val="none"/>
        </w:rPr>
        <w:fldChar w:fldCharType="separate"/>
      </w:r>
      <w:r>
        <w:rPr>
          <w:rStyle w:val="19"/>
          <w:rFonts w:hint="eastAsia" w:ascii="宋体" w:hAnsi="宋体" w:cs="宋体"/>
          <w:color w:val="auto"/>
          <w:highlight w:val="none"/>
        </w:rPr>
        <w:t>第六篇  政府采购合同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"_Toc54279011" </w:instrText>
      </w:r>
      <w:r>
        <w:rPr>
          <w:color w:val="auto"/>
          <w:highlight w:val="none"/>
        </w:rPr>
        <w:fldChar w:fldCharType="separate"/>
      </w:r>
      <w:r>
        <w:rPr>
          <w:rStyle w:val="19"/>
          <w:rFonts w:hint="eastAsia" w:ascii="宋体" w:hAnsi="宋体" w:cs="宋体"/>
          <w:color w:val="auto"/>
          <w:highlight w:val="none"/>
        </w:rPr>
        <w:t>第七篇  响应文件编制要求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"_Toc54279012" </w:instrText>
      </w:r>
      <w:r>
        <w:rPr>
          <w:color w:val="auto"/>
          <w:highlight w:val="none"/>
        </w:rPr>
        <w:fldChar w:fldCharType="separate"/>
      </w:r>
      <w:r>
        <w:rPr>
          <w:rStyle w:val="19"/>
          <w:rFonts w:hint="eastAsia" w:ascii="宋体" w:hAnsi="宋体" w:cs="宋体"/>
          <w:color w:val="auto"/>
          <w:highlight w:val="none"/>
        </w:rPr>
        <w:t>一、经济部分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"_Toc54279013" </w:instrText>
      </w:r>
      <w:r>
        <w:rPr>
          <w:color w:val="auto"/>
          <w:highlight w:val="none"/>
        </w:rPr>
        <w:fldChar w:fldCharType="separate"/>
      </w:r>
      <w:r>
        <w:rPr>
          <w:rStyle w:val="19"/>
          <w:rFonts w:hint="eastAsia" w:ascii="宋体" w:hAnsi="宋体" w:cs="宋体"/>
          <w:color w:val="auto"/>
          <w:highlight w:val="none"/>
        </w:rPr>
        <w:t>二、服务部分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"_Toc54279014" </w:instrText>
      </w:r>
      <w:r>
        <w:rPr>
          <w:color w:val="auto"/>
          <w:highlight w:val="none"/>
        </w:rPr>
        <w:fldChar w:fldCharType="separate"/>
      </w:r>
      <w:r>
        <w:rPr>
          <w:rStyle w:val="19"/>
          <w:rFonts w:hint="eastAsia" w:ascii="宋体" w:hAnsi="宋体" w:cs="宋体"/>
          <w:color w:val="auto"/>
          <w:highlight w:val="none"/>
        </w:rPr>
        <w:t>三、商务部分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"_Toc54279015" </w:instrText>
      </w:r>
      <w:r>
        <w:rPr>
          <w:color w:val="auto"/>
          <w:highlight w:val="none"/>
        </w:rPr>
        <w:fldChar w:fldCharType="separate"/>
      </w:r>
      <w:r>
        <w:rPr>
          <w:rStyle w:val="19"/>
          <w:rFonts w:hint="eastAsia" w:ascii="宋体" w:hAnsi="宋体" w:cs="宋体"/>
          <w:color w:val="auto"/>
          <w:highlight w:val="none"/>
        </w:rPr>
        <w:t>四、资格条件及其他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8"/>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"_Toc54279016" </w:instrText>
      </w:r>
      <w:r>
        <w:rPr>
          <w:color w:val="auto"/>
          <w:highlight w:val="none"/>
        </w:rPr>
        <w:fldChar w:fldCharType="separate"/>
      </w:r>
      <w:r>
        <w:rPr>
          <w:rStyle w:val="19"/>
          <w:rFonts w:hint="eastAsia" w:ascii="宋体" w:hAnsi="宋体" w:cs="宋体"/>
          <w:color w:val="auto"/>
          <w:highlight w:val="none"/>
        </w:rPr>
        <w:t>五、其他资料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5"/>
        <w:tabs>
          <w:tab w:val="right" w:leader="dot" w:pos="9402"/>
        </w:tabs>
        <w:spacing w:line="480" w:lineRule="exact"/>
        <w:ind w:left="560"/>
        <w:jc w:val="center"/>
        <w:rPr>
          <w:rFonts w:ascii="宋体" w:hAnsi="宋体" w:cs="宋体"/>
          <w:color w:val="auto"/>
          <w:sz w:val="18"/>
          <w:szCs w:val="22"/>
          <w:highlight w:val="none"/>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highlight w:val="none"/>
        </w:rPr>
        <w:fldChar w:fldCharType="end"/>
      </w:r>
    </w:p>
    <w:p>
      <w:pPr>
        <w:pStyle w:val="4"/>
        <w:spacing w:line="360" w:lineRule="auto"/>
        <w:jc w:val="center"/>
        <w:rPr>
          <w:rFonts w:ascii="宋体" w:hAnsi="宋体" w:eastAsia="宋体" w:cs="宋体"/>
          <w:b w:val="0"/>
          <w:color w:val="auto"/>
          <w:szCs w:val="30"/>
          <w:highlight w:val="none"/>
        </w:rPr>
      </w:pPr>
      <w:bookmarkStart w:id="0" w:name="_Toc54278968"/>
      <w:bookmarkStart w:id="1" w:name="_Toc11641050"/>
      <w:bookmarkStart w:id="2" w:name="_Toc12789052"/>
      <w:r>
        <w:rPr>
          <w:rFonts w:hint="eastAsia" w:ascii="宋体" w:hAnsi="宋体" w:eastAsia="宋体" w:cs="宋体"/>
          <w:b w:val="0"/>
          <w:color w:val="auto"/>
          <w:sz w:val="36"/>
          <w:szCs w:val="30"/>
          <w:highlight w:val="none"/>
        </w:rPr>
        <w:t>第一篇  采购邀请书</w:t>
      </w:r>
      <w:bookmarkEnd w:id="0"/>
      <w:bookmarkEnd w:id="1"/>
      <w:bookmarkEnd w:id="2"/>
    </w:p>
    <w:p>
      <w:pPr>
        <w:pStyle w:val="5"/>
        <w:spacing w:line="360" w:lineRule="auto"/>
        <w:rPr>
          <w:rFonts w:ascii="宋体" w:hAnsi="宋体" w:cs="宋体"/>
          <w:color w:val="auto"/>
          <w:sz w:val="24"/>
          <w:szCs w:val="24"/>
          <w:highlight w:val="none"/>
        </w:rPr>
      </w:pPr>
      <w:bookmarkStart w:id="3" w:name="_Toc313893526"/>
      <w:bookmarkStart w:id="4" w:name="_Toc317775175"/>
      <w:bookmarkStart w:id="5" w:name="_Toc54278969"/>
      <w:r>
        <w:rPr>
          <w:rFonts w:hint="eastAsia" w:ascii="宋体" w:hAnsi="宋体" w:cs="宋体"/>
          <w:color w:val="auto"/>
          <w:sz w:val="24"/>
          <w:szCs w:val="24"/>
          <w:highlight w:val="none"/>
        </w:rPr>
        <w:t>一、竞争性磋商内容</w:t>
      </w:r>
      <w:bookmarkEnd w:id="3"/>
      <w:bookmarkEnd w:id="4"/>
      <w:bookmarkEnd w:id="5"/>
    </w:p>
    <w:tbl>
      <w:tblPr>
        <w:tblStyle w:val="16"/>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375"/>
        <w:gridCol w:w="190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509"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bookmarkStart w:id="6" w:name="_Toc54278970"/>
            <w:bookmarkStart w:id="7" w:name="_Toc373860293"/>
            <w:bookmarkStart w:id="8" w:name="_Toc317775178"/>
            <w:r>
              <w:rPr>
                <w:rFonts w:hint="eastAsia" w:ascii="方正仿宋_GBK" w:hAnsi="宋体" w:eastAsia="方正仿宋_GBK" w:cs="宋体"/>
                <w:b/>
                <w:bCs/>
                <w:color w:val="auto"/>
                <w:kern w:val="0"/>
                <w:sz w:val="21"/>
                <w:szCs w:val="24"/>
                <w:highlight w:val="none"/>
              </w:rPr>
              <w:t>包号及名称</w:t>
            </w:r>
          </w:p>
        </w:tc>
        <w:tc>
          <w:tcPr>
            <w:tcW w:w="1375"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最高限价（</w:t>
            </w:r>
            <w:r>
              <w:rPr>
                <w:rFonts w:hint="eastAsia" w:ascii="方正仿宋_GBK" w:hAnsi="宋体" w:eastAsia="方正仿宋_GBK" w:cs="宋体"/>
                <w:b/>
                <w:bCs/>
                <w:color w:val="auto"/>
                <w:kern w:val="0"/>
                <w:sz w:val="21"/>
                <w:szCs w:val="24"/>
                <w:highlight w:val="none"/>
                <w:lang w:eastAsia="zh-CN"/>
              </w:rPr>
              <w:t>万</w:t>
            </w:r>
            <w:r>
              <w:rPr>
                <w:rFonts w:hint="eastAsia" w:ascii="方正仿宋_GBK" w:hAnsi="宋体" w:eastAsia="方正仿宋_GBK" w:cs="宋体"/>
                <w:b/>
                <w:bCs/>
                <w:color w:val="auto"/>
                <w:kern w:val="0"/>
                <w:sz w:val="21"/>
                <w:szCs w:val="24"/>
                <w:highlight w:val="none"/>
              </w:rPr>
              <w:t>元）</w:t>
            </w:r>
          </w:p>
        </w:tc>
        <w:tc>
          <w:tcPr>
            <w:tcW w:w="1901"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成交供应商数量（名）</w:t>
            </w:r>
          </w:p>
        </w:tc>
        <w:tc>
          <w:tcPr>
            <w:tcW w:w="229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auto"/>
                <w:kern w:val="0"/>
                <w:sz w:val="21"/>
                <w:szCs w:val="24"/>
                <w:highlight w:val="none"/>
              </w:rPr>
            </w:pPr>
            <w:bookmarkStart w:id="9" w:name="_Hlk344477914"/>
            <w:r>
              <w:rPr>
                <w:rFonts w:hint="eastAsia" w:ascii="方正仿宋_GBK" w:hAnsi="宋体" w:eastAsia="方正仿宋_GBK" w:cs="宋体"/>
                <w:color w:val="auto"/>
                <w:kern w:val="0"/>
                <w:sz w:val="21"/>
                <w:szCs w:val="24"/>
                <w:highlight w:val="none"/>
                <w:lang w:eastAsia="zh-CN"/>
              </w:rPr>
              <w:t>绿色工业园区评价报告编制项目采购（第三次）</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方正仿宋_GBK" w:hAnsi="宋体" w:eastAsia="方正仿宋_GBK"/>
                <w:color w:val="auto"/>
                <w:sz w:val="21"/>
                <w:szCs w:val="21"/>
                <w:highlight w:val="none"/>
                <w:lang w:val="en-US" w:eastAsia="zh-CN"/>
              </w:rPr>
            </w:pPr>
            <w:r>
              <w:rPr>
                <w:rFonts w:hint="eastAsia" w:ascii="方正仿宋_GBK" w:hAnsi="宋体" w:eastAsia="方正仿宋_GBK"/>
                <w:color w:val="auto"/>
                <w:sz w:val="21"/>
                <w:szCs w:val="21"/>
                <w:highlight w:val="none"/>
                <w:lang w:val="en-US" w:eastAsia="zh-CN"/>
              </w:rPr>
              <w:t>45</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w:t>
            </w:r>
          </w:p>
        </w:tc>
        <w:tc>
          <w:tcPr>
            <w:tcW w:w="2298" w:type="dxa"/>
            <w:tcBorders>
              <w:top w:val="single" w:color="auto" w:sz="4" w:space="0"/>
              <w:left w:val="single" w:color="auto" w:sz="4" w:space="0"/>
              <w:bottom w:val="single" w:color="auto" w:sz="4" w:space="0"/>
              <w:right w:val="single" w:color="auto" w:sz="4" w:space="0"/>
            </w:tcBorders>
            <w:vAlign w:val="center"/>
          </w:tcPr>
          <w:p>
            <w:pPr>
              <w:ind w:firstLine="211" w:firstLineChars="100"/>
              <w:jc w:val="left"/>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其他未列明行业</w:t>
            </w:r>
          </w:p>
        </w:tc>
      </w:tr>
      <w:bookmarkEnd w:id="9"/>
    </w:tbl>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二、资金来源</w:t>
      </w:r>
      <w:bookmarkEnd w:id="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自筹资金，采购预算</w:t>
      </w:r>
      <w:r>
        <w:rPr>
          <w:rFonts w:hint="eastAsia" w:ascii="宋体" w:hAnsi="宋体" w:cs="宋体"/>
          <w:color w:val="auto"/>
          <w:sz w:val="24"/>
          <w:szCs w:val="24"/>
          <w:highlight w:val="none"/>
          <w:lang w:val="en-US" w:eastAsia="zh-CN"/>
        </w:rPr>
        <w:t>450000.00</w:t>
      </w:r>
      <w:r>
        <w:rPr>
          <w:rFonts w:hint="eastAsia" w:ascii="宋体" w:hAnsi="宋体" w:cs="宋体"/>
          <w:color w:val="auto"/>
          <w:sz w:val="24"/>
          <w:szCs w:val="24"/>
          <w:highlight w:val="none"/>
        </w:rPr>
        <w:t>元。</w:t>
      </w:r>
    </w:p>
    <w:p>
      <w:pPr>
        <w:pStyle w:val="5"/>
        <w:spacing w:line="360" w:lineRule="auto"/>
        <w:rPr>
          <w:rFonts w:ascii="宋体" w:hAnsi="宋体" w:cs="宋体"/>
          <w:color w:val="auto"/>
          <w:sz w:val="24"/>
          <w:szCs w:val="24"/>
          <w:highlight w:val="none"/>
        </w:rPr>
      </w:pPr>
      <w:bookmarkStart w:id="10" w:name="_Toc54278971"/>
      <w:r>
        <w:rPr>
          <w:rFonts w:hint="eastAsia" w:ascii="宋体" w:hAnsi="宋体" w:cs="宋体"/>
          <w:color w:val="auto"/>
          <w:sz w:val="24"/>
          <w:szCs w:val="24"/>
          <w:highlight w:val="none"/>
        </w:rPr>
        <w:t>三、供应商资格条件</w:t>
      </w:r>
      <w:bookmarkEnd w:id="10"/>
    </w:p>
    <w:p>
      <w:pPr>
        <w:spacing w:line="360" w:lineRule="auto"/>
        <w:ind w:firstLine="480" w:firstLineChars="200"/>
        <w:rPr>
          <w:rFonts w:ascii="宋体" w:hAnsi="宋体" w:cs="宋体"/>
          <w:color w:val="auto"/>
          <w:sz w:val="24"/>
          <w:szCs w:val="24"/>
          <w:highlight w:val="none"/>
        </w:rPr>
      </w:pPr>
      <w:bookmarkStart w:id="11" w:name="_Toc54278972"/>
      <w:r>
        <w:rPr>
          <w:rFonts w:hint="eastAsia" w:ascii="宋体" w:hAnsi="宋体" w:cs="宋体"/>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（一）基本资格条件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pStyle w:val="5"/>
        <w:spacing w:line="360" w:lineRule="auto"/>
        <w:ind w:firstLine="964" w:firstLineChars="4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无</w:t>
      </w:r>
    </w:p>
    <w:p>
      <w:pPr>
        <w:pStyle w:val="5"/>
        <w:numPr>
          <w:ilvl w:val="0"/>
          <w:numId w:val="0"/>
        </w:numPr>
        <w:spacing w:line="360" w:lineRule="auto"/>
        <w:ind w:leftChars="0"/>
        <w:jc w:val="left"/>
        <w:rPr>
          <w:rFonts w:ascii="宋体" w:hAnsi="宋体" w:cs="宋体"/>
          <w:color w:val="auto"/>
          <w:sz w:val="24"/>
          <w:szCs w:val="24"/>
          <w:highlight w:val="none"/>
        </w:rPr>
      </w:pPr>
      <w:r>
        <w:rPr>
          <w:rFonts w:hint="eastAsia" w:ascii="宋体" w:hAnsi="宋体" w:cs="宋体"/>
          <w:color w:val="auto"/>
          <w:sz w:val="24"/>
          <w:szCs w:val="24"/>
          <w:highlight w:val="none"/>
        </w:rPr>
        <w:t>四、磋商有关说明</w:t>
      </w:r>
      <w:bookmarkEnd w:id="7"/>
      <w:bookmarkEnd w:id="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）凡有意参加磋商的供应商，请于公告发布之日（202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）竞争性磋商公告期限：自采购公告发布之日（202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日）起三个工作日。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）竞标人须满足以下三种要件，其响应文件才被接受：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）响应文件递交时间：202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0-</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bookmarkStart w:id="111" w:name="_GoBack"/>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月</w:t>
      </w:r>
      <w:bookmarkEnd w:id="111"/>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）磋商开始时间：202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w:t>
      </w:r>
    </w:p>
    <w:p>
      <w:pPr>
        <w:pStyle w:val="5"/>
        <w:spacing w:line="360" w:lineRule="auto"/>
        <w:rPr>
          <w:rFonts w:ascii="宋体" w:hAnsi="宋体" w:cs="宋体"/>
          <w:color w:val="auto"/>
          <w:sz w:val="24"/>
          <w:szCs w:val="24"/>
          <w:highlight w:val="none"/>
        </w:rPr>
      </w:pPr>
      <w:bookmarkStart w:id="12" w:name="_Toc373860294"/>
      <w:bookmarkStart w:id="13" w:name="_Toc54278973"/>
      <w:r>
        <w:rPr>
          <w:rFonts w:hint="eastAsia" w:ascii="宋体" w:hAnsi="宋体" w:cs="宋体"/>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w:t>
      </w:r>
      <w:r>
        <w:rPr>
          <w:rFonts w:hint="eastAsia" w:ascii="宋体" w:hAnsi="宋体" w:cs="宋体"/>
          <w:b/>
          <w:color w:val="auto"/>
          <w:sz w:val="24"/>
          <w:szCs w:val="24"/>
          <w:highlight w:val="none"/>
          <w:u w:val="single"/>
        </w:rPr>
        <w:t>基本银行账户</w:t>
      </w:r>
      <w:r>
        <w:rPr>
          <w:rFonts w:hint="eastAsia" w:ascii="宋体" w:hAnsi="宋体" w:cs="宋体"/>
          <w:color w:val="auto"/>
          <w:sz w:val="24"/>
          <w:szCs w:val="24"/>
          <w:highlight w:val="none"/>
        </w:rPr>
        <w:t>在</w:t>
      </w:r>
      <w:r>
        <w:rPr>
          <w:rFonts w:hint="eastAsia" w:ascii="宋体" w:hAnsi="宋体" w:cs="宋体"/>
          <w:b/>
          <w:color w:val="auto"/>
          <w:sz w:val="24"/>
          <w:szCs w:val="24"/>
          <w:highlight w:val="none"/>
          <w:u w:val="single"/>
        </w:rPr>
        <w:t>202</w:t>
      </w:r>
      <w:r>
        <w:rPr>
          <w:rFonts w:hint="eastAsia" w:ascii="宋体" w:hAnsi="宋体" w:cs="宋体"/>
          <w:b/>
          <w:color w:val="auto"/>
          <w:sz w:val="24"/>
          <w:szCs w:val="24"/>
          <w:highlight w:val="none"/>
          <w:u w:val="single"/>
          <w:lang w:val="en-US" w:eastAsia="zh-CN"/>
        </w:rPr>
        <w:t>3</w:t>
      </w:r>
      <w:r>
        <w:rPr>
          <w:rFonts w:hint="eastAsia" w:ascii="宋体" w:hAnsi="宋体" w:cs="宋体"/>
          <w:b/>
          <w:color w:val="auto"/>
          <w:sz w:val="24"/>
          <w:szCs w:val="24"/>
          <w:highlight w:val="none"/>
          <w:u w:val="single"/>
        </w:rPr>
        <w:t>年</w:t>
      </w:r>
      <w:r>
        <w:rPr>
          <w:rFonts w:hint="eastAsia" w:ascii="宋体" w:hAnsi="宋体" w:cs="宋体"/>
          <w:b/>
          <w:color w:val="auto"/>
          <w:sz w:val="24"/>
          <w:szCs w:val="24"/>
          <w:highlight w:val="none"/>
          <w:u w:val="single"/>
          <w:lang w:val="en-US" w:eastAsia="zh-CN"/>
        </w:rPr>
        <w:t>9</w:t>
      </w:r>
      <w:r>
        <w:rPr>
          <w:rFonts w:hint="eastAsia" w:ascii="宋体" w:hAnsi="宋体" w:cs="宋体"/>
          <w:b/>
          <w:color w:val="auto"/>
          <w:sz w:val="24"/>
          <w:szCs w:val="24"/>
          <w:highlight w:val="none"/>
          <w:u w:val="single"/>
        </w:rPr>
        <w:t>月</w:t>
      </w:r>
      <w:r>
        <w:rPr>
          <w:rFonts w:hint="eastAsia" w:ascii="宋体" w:hAnsi="宋体" w:cs="宋体"/>
          <w:b/>
          <w:color w:val="auto"/>
          <w:sz w:val="24"/>
          <w:szCs w:val="24"/>
          <w:highlight w:val="none"/>
          <w:u w:val="single"/>
          <w:lang w:val="en-US" w:eastAsia="zh-CN"/>
        </w:rPr>
        <w:t>4</w:t>
      </w:r>
      <w:r>
        <w:rPr>
          <w:rFonts w:hint="eastAsia" w:ascii="宋体" w:hAnsi="宋体" w:cs="宋体"/>
          <w:b/>
          <w:color w:val="auto"/>
          <w:sz w:val="24"/>
          <w:szCs w:val="24"/>
          <w:highlight w:val="none"/>
          <w:u w:val="single"/>
        </w:rPr>
        <w:t>日</w:t>
      </w:r>
      <w:r>
        <w:rPr>
          <w:rFonts w:hint="eastAsia" w:ascii="宋体" w:hAnsi="宋体" w:cs="宋体"/>
          <w:b/>
          <w:color w:val="auto"/>
          <w:sz w:val="24"/>
          <w:szCs w:val="24"/>
          <w:highlight w:val="none"/>
          <w:u w:val="single"/>
          <w:lang w:val="en-US" w:eastAsia="zh-CN"/>
        </w:rPr>
        <w:t>17</w:t>
      </w:r>
      <w:r>
        <w:rPr>
          <w:rFonts w:hint="eastAsia" w:ascii="宋体" w:hAnsi="宋体" w:cs="宋体"/>
          <w:b/>
          <w:color w:val="auto"/>
          <w:sz w:val="24"/>
          <w:szCs w:val="24"/>
          <w:highlight w:val="none"/>
          <w:u w:val="single"/>
        </w:rPr>
        <w:t>时00分（北京时间）前</w:t>
      </w:r>
      <w:r>
        <w:rPr>
          <w:rFonts w:hint="eastAsia" w:ascii="宋体" w:hAnsi="宋体" w:cs="宋体"/>
          <w:color w:val="auto"/>
          <w:sz w:val="24"/>
          <w:szCs w:val="24"/>
          <w:highlight w:val="none"/>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highlight w:val="none"/>
          <w:u w:val="single"/>
        </w:rPr>
      </w:pPr>
      <w:r>
        <w:rPr>
          <w:rFonts w:hint="eastAsia" w:ascii="宋体" w:hAnsi="宋体" w:cs="宋体"/>
          <w:color w:val="auto"/>
          <w:sz w:val="24"/>
          <w:szCs w:val="24"/>
          <w:highlight w:val="none"/>
        </w:rPr>
        <w:t>2、</w:t>
      </w:r>
      <w:r>
        <w:rPr>
          <w:rFonts w:hint="eastAsia" w:ascii="宋体" w:hAnsi="宋体" w:cs="宋体"/>
          <w:b/>
          <w:bCs/>
          <w:color w:val="auto"/>
          <w:sz w:val="24"/>
          <w:szCs w:val="24"/>
          <w:highlight w:val="none"/>
        </w:rPr>
        <w:t>竞标保证金的金额：人民币</w:t>
      </w:r>
      <w:r>
        <w:rPr>
          <w:rFonts w:hint="eastAsia" w:ascii="宋体" w:hAnsi="宋体" w:cs="宋体"/>
          <w:b/>
          <w:bCs/>
          <w:color w:val="auto"/>
          <w:sz w:val="24"/>
          <w:szCs w:val="24"/>
          <w:highlight w:val="none"/>
          <w:lang w:val="en-US" w:eastAsia="zh-CN"/>
        </w:rPr>
        <w:t>6000</w:t>
      </w:r>
      <w:r>
        <w:rPr>
          <w:rFonts w:hint="eastAsia" w:ascii="宋体" w:hAnsi="宋体" w:cs="宋体"/>
          <w:b/>
          <w:bCs/>
          <w:color w:val="auto"/>
          <w:sz w:val="24"/>
          <w:szCs w:val="24"/>
          <w:highlight w:val="none"/>
        </w:rPr>
        <w:t>元（大写：</w:t>
      </w:r>
      <w:r>
        <w:rPr>
          <w:rFonts w:hint="eastAsia" w:ascii="宋体" w:hAnsi="宋体" w:cs="宋体"/>
          <w:b/>
          <w:bCs/>
          <w:color w:val="auto"/>
          <w:sz w:val="24"/>
          <w:szCs w:val="24"/>
          <w:highlight w:val="none"/>
          <w:lang w:eastAsia="zh-CN"/>
        </w:rPr>
        <w:t>陆仟元整</w:t>
      </w:r>
      <w:r>
        <w:rPr>
          <w:rFonts w:hint="eastAsia" w:ascii="宋体" w:hAnsi="宋体" w:cs="宋体"/>
          <w:b/>
          <w:bCs/>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spacing w:line="360" w:lineRule="auto"/>
        <w:ind w:firstLine="480" w:firstLineChars="200"/>
        <w:rPr>
          <w:color w:val="auto"/>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      咨询电话：023-68955002</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w:t>
      </w:r>
      <w:bookmarkEnd w:id="8"/>
      <w:bookmarkEnd w:id="12"/>
      <w:bookmarkStart w:id="14" w:name="_Toc480466698"/>
      <w:bookmarkStart w:id="15" w:name="_Toc479668114"/>
      <w:r>
        <w:rPr>
          <w:rFonts w:hint="eastAsia" w:ascii="宋体" w:hAnsi="宋体" w:cs="宋体"/>
          <w:color w:val="auto"/>
          <w:sz w:val="24"/>
          <w:szCs w:val="24"/>
          <w:highlight w:val="none"/>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（四）按照《三部门联合发布关于促进残疾人就业政府采购政策的通知》（财库〔2017〕 141号）的规定，落实支持残疾人福利性单位发展政策。</w:t>
      </w:r>
    </w:p>
    <w:p>
      <w:pPr>
        <w:pStyle w:val="5"/>
        <w:spacing w:line="360" w:lineRule="auto"/>
        <w:rPr>
          <w:rFonts w:ascii="宋体" w:hAnsi="宋体" w:cs="宋体"/>
          <w:color w:val="auto"/>
          <w:sz w:val="24"/>
          <w:szCs w:val="24"/>
          <w:highlight w:val="none"/>
        </w:rPr>
      </w:pPr>
      <w:bookmarkStart w:id="16" w:name="_Toc54278974"/>
      <w:bookmarkStart w:id="17" w:name="_Toc480466699"/>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、其它有关规定</w:t>
      </w:r>
      <w:bookmarkEnd w:id="16"/>
      <w:bookmarkEnd w:id="17"/>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（四）超过响应文件截止时间递交的响应文件，恕不接收。</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（六）</w:t>
      </w:r>
      <w:r>
        <w:rPr>
          <w:rFonts w:hint="eastAsia" w:ascii="宋体" w:hAnsi="宋体" w:cs="宋体"/>
          <w:b/>
          <w:color w:val="auto"/>
          <w:sz w:val="24"/>
          <w:szCs w:val="24"/>
          <w:highlight w:val="none"/>
        </w:rPr>
        <w:t>本项目不接受联合体参与磋商。</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（七）</w:t>
      </w:r>
      <w:bookmarkStart w:id="18" w:name="_Toc480466700"/>
      <w:r>
        <w:rPr>
          <w:rFonts w:hint="eastAsia" w:ascii="宋体" w:hAnsi="宋体" w:cs="宋体"/>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rPr>
          <w:rFonts w:ascii="宋体" w:hAnsi="宋体" w:cs="宋体"/>
          <w:color w:val="auto"/>
          <w:sz w:val="24"/>
          <w:szCs w:val="24"/>
          <w:highlight w:val="none"/>
        </w:rPr>
      </w:pPr>
      <w:bookmarkStart w:id="19" w:name="_Toc54278975"/>
      <w:r>
        <w:rPr>
          <w:rFonts w:hint="eastAsia" w:ascii="宋体" w:hAnsi="宋体" w:cs="宋体"/>
          <w:color w:val="auto"/>
          <w:sz w:val="24"/>
          <w:szCs w:val="24"/>
          <w:highlight w:val="none"/>
          <w:lang w:eastAsia="zh-CN"/>
        </w:rPr>
        <w:t>八</w:t>
      </w:r>
      <w:r>
        <w:rPr>
          <w:rFonts w:hint="eastAsia" w:ascii="宋体" w:hAnsi="宋体" w:cs="宋体"/>
          <w:color w:val="auto"/>
          <w:sz w:val="24"/>
          <w:szCs w:val="24"/>
          <w:highlight w:val="none"/>
        </w:rPr>
        <w:t>、联系方式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肖</w:t>
      </w:r>
      <w:r>
        <w:rPr>
          <w:rFonts w:hint="eastAsia" w:ascii="宋体" w:hAnsi="宋体" w:cs="宋体"/>
          <w:color w:val="auto"/>
          <w:sz w:val="24"/>
          <w:szCs w:val="24"/>
          <w:highlight w:val="none"/>
        </w:rPr>
        <w:t>老师</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地  址：重庆市大渡口区田西路中冶熙城商街1号楼1楼</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p>
    <w:p>
      <w:pPr>
        <w:pStyle w:val="3"/>
        <w:rPr>
          <w:rFonts w:hint="eastAsia"/>
          <w:color w:val="auto"/>
          <w:highlight w:val="none"/>
        </w:rPr>
      </w:pPr>
    </w:p>
    <w:p>
      <w:pPr>
        <w:pStyle w:val="4"/>
        <w:spacing w:line="360" w:lineRule="auto"/>
        <w:jc w:val="center"/>
        <w:rPr>
          <w:rFonts w:ascii="宋体" w:hAnsi="宋体" w:eastAsia="宋体" w:cs="宋体"/>
          <w:b w:val="0"/>
          <w:color w:val="auto"/>
          <w:sz w:val="30"/>
          <w:szCs w:val="30"/>
          <w:highlight w:val="none"/>
        </w:rPr>
      </w:pPr>
      <w:r>
        <w:rPr>
          <w:rFonts w:hint="eastAsia" w:ascii="宋体" w:hAnsi="宋体" w:eastAsia="宋体" w:cs="宋体"/>
          <w:b w:val="0"/>
          <w:color w:val="auto"/>
          <w:sz w:val="36"/>
          <w:szCs w:val="30"/>
          <w:highlight w:val="none"/>
        </w:rPr>
        <w:t>第二篇  项目</w:t>
      </w:r>
      <w:r>
        <w:rPr>
          <w:rFonts w:hint="eastAsia" w:ascii="宋体" w:hAnsi="宋体" w:eastAsia="宋体" w:cs="宋体"/>
          <w:b w:val="0"/>
          <w:color w:val="auto"/>
          <w:sz w:val="36"/>
          <w:szCs w:val="30"/>
          <w:highlight w:val="none"/>
          <w:lang w:eastAsia="zh-CN"/>
        </w:rPr>
        <w:t>服务</w:t>
      </w:r>
      <w:r>
        <w:rPr>
          <w:rFonts w:hint="eastAsia" w:ascii="宋体" w:hAnsi="宋体" w:eastAsia="宋体" w:cs="宋体"/>
          <w:b w:val="0"/>
          <w:color w:val="auto"/>
          <w:sz w:val="36"/>
          <w:szCs w:val="30"/>
          <w:highlight w:val="none"/>
        </w:rPr>
        <w:t>需求</w:t>
      </w:r>
      <w:bookmarkEnd w:id="20"/>
    </w:p>
    <w:p>
      <w:pPr>
        <w:pStyle w:val="5"/>
        <w:adjustRightInd w:val="0"/>
        <w:snapToGrid w:val="0"/>
        <w:spacing w:before="0" w:after="0" w:line="400" w:lineRule="exact"/>
        <w:ind w:firstLine="480" w:firstLineChars="200"/>
        <w:rPr>
          <w:rFonts w:hint="eastAsia" w:ascii="宋体" w:hAnsi="宋体" w:eastAsia="宋体" w:cs="宋体"/>
          <w:b w:val="0"/>
          <w:color w:val="auto"/>
          <w:kern w:val="2"/>
          <w:sz w:val="24"/>
          <w:szCs w:val="24"/>
          <w:highlight w:val="none"/>
          <w:lang w:val="en-US" w:eastAsia="zh-CN" w:bidi="ar-SA"/>
        </w:rPr>
      </w:pPr>
      <w:bookmarkStart w:id="21" w:name="_Toc76462325"/>
      <w:bookmarkStart w:id="22" w:name="_Toc792"/>
      <w:bookmarkStart w:id="23" w:name="_Toc12789058"/>
      <w:bookmarkStart w:id="24" w:name="_Toc54278984"/>
      <w:r>
        <w:rPr>
          <w:rFonts w:hint="eastAsia" w:ascii="宋体" w:hAnsi="宋体" w:eastAsia="宋体" w:cs="宋体"/>
          <w:b w:val="0"/>
          <w:color w:val="auto"/>
          <w:kern w:val="2"/>
          <w:sz w:val="24"/>
          <w:szCs w:val="24"/>
          <w:highlight w:val="none"/>
          <w:lang w:val="en-US" w:eastAsia="zh-CN" w:bidi="ar-SA"/>
        </w:rPr>
        <w:t>一、项目基本概况</w:t>
      </w:r>
      <w:bookmarkEnd w:id="21"/>
      <w:bookmarkEnd w:id="22"/>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（一）项目名称：绿色工业园区评价报告编制项目采购</w:t>
      </w:r>
      <w:r>
        <w:rPr>
          <w:rFonts w:hint="eastAsia" w:ascii="宋体" w:hAnsi="宋体" w:cs="宋体"/>
          <w:b w:val="0"/>
          <w:color w:val="auto"/>
          <w:kern w:val="2"/>
          <w:sz w:val="24"/>
          <w:szCs w:val="24"/>
          <w:highlight w:val="none"/>
          <w:lang w:val="en-US" w:eastAsia="zh-CN" w:bidi="ar-SA"/>
        </w:rPr>
        <w:t>（第三次）</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项目概况：根据《工业和信息化部办公厅关于开展2023年度绿色制造名单推荐工作的通知》（工信厅节函〔2023〕202号）要求，全国各省市正组织开展2023年度绿色制造名单推荐工作，推荐对象有绿色工厂、绿色工业园区、绿色供应链管理企业。现为推动建桥工业园绿色制造体系建设，我司拟参与绿色工业园区（国家级）申报，需委托第三方评价机构编制评价报告。</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（三）采购范围：按照国家级绿色园区申报文件要求，对园区创建绿色园区进行培育指导以及独立开展第三方评价工作。</w:t>
      </w:r>
    </w:p>
    <w:p>
      <w:pPr>
        <w:pStyle w:val="5"/>
        <w:adjustRightInd w:val="0"/>
        <w:snapToGrid w:val="0"/>
        <w:spacing w:before="0" w:after="0" w:line="400" w:lineRule="exact"/>
        <w:ind w:firstLine="480" w:firstLineChars="200"/>
        <w:rPr>
          <w:rFonts w:hint="eastAsia" w:ascii="宋体" w:hAnsi="宋体" w:eastAsia="宋体" w:cs="宋体"/>
          <w:b w:val="0"/>
          <w:color w:val="auto"/>
          <w:kern w:val="2"/>
          <w:sz w:val="24"/>
          <w:szCs w:val="24"/>
          <w:highlight w:val="none"/>
          <w:lang w:val="en-US" w:eastAsia="zh-CN" w:bidi="ar-SA"/>
        </w:rPr>
      </w:pPr>
      <w:bookmarkStart w:id="25" w:name="_Toc22724"/>
      <w:r>
        <w:rPr>
          <w:rFonts w:hint="eastAsia" w:ascii="宋体" w:hAnsi="宋体" w:eastAsia="宋体" w:cs="宋体"/>
          <w:b w:val="0"/>
          <w:color w:val="auto"/>
          <w:kern w:val="2"/>
          <w:sz w:val="24"/>
          <w:szCs w:val="24"/>
          <w:highlight w:val="none"/>
          <w:lang w:val="en-US" w:eastAsia="zh-CN" w:bidi="ar-SA"/>
        </w:rPr>
        <w:t>二、项目服务技术需求</w:t>
      </w:r>
      <w:bookmarkEnd w:id="25"/>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参与绿色工业园区（国家级）申报，出具编制报告并通过国家工信部组织的专家评审并对社会公示。</w:t>
      </w:r>
    </w:p>
    <w:p>
      <w:pPr>
        <w:spacing w:line="540" w:lineRule="exact"/>
        <w:ind w:firstLine="470"/>
        <w:rPr>
          <w:rFonts w:hint="eastAsia" w:ascii="宋体" w:hAnsi="宋体" w:eastAsia="宋体" w:cs="宋体"/>
          <w:b w:val="0"/>
          <w:color w:val="auto"/>
          <w:kern w:val="2"/>
          <w:sz w:val="24"/>
          <w:szCs w:val="24"/>
          <w:highlight w:val="none"/>
          <w:lang w:val="en-US" w:eastAsia="zh-CN" w:bidi="ar-SA"/>
        </w:rPr>
      </w:pPr>
      <w:r>
        <w:rPr>
          <w:rFonts w:hint="eastAsia" w:ascii="宋体" w:hAnsi="宋体" w:cs="宋体"/>
          <w:b w:val="0"/>
          <w:color w:val="auto"/>
          <w:kern w:val="2"/>
          <w:sz w:val="24"/>
          <w:szCs w:val="24"/>
          <w:highlight w:val="none"/>
          <w:lang w:val="en-US" w:eastAsia="zh-CN" w:bidi="ar-SA"/>
        </w:rPr>
        <w:t>三</w:t>
      </w:r>
      <w:r>
        <w:rPr>
          <w:rFonts w:hint="eastAsia" w:ascii="宋体" w:hAnsi="宋体" w:eastAsia="宋体" w:cs="宋体"/>
          <w:b w:val="0"/>
          <w:color w:val="auto"/>
          <w:kern w:val="2"/>
          <w:sz w:val="24"/>
          <w:szCs w:val="24"/>
          <w:highlight w:val="none"/>
          <w:lang w:val="en-US" w:eastAsia="zh-CN" w:bidi="ar-SA"/>
        </w:rPr>
        <w:t>、其他</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（一）、现场踏勘：请供应商自行踏勘以充分了解</w:t>
      </w:r>
      <w:r>
        <w:rPr>
          <w:rFonts w:hint="eastAsia" w:ascii="宋体" w:hAnsi="宋体" w:cs="宋体"/>
          <w:b w:val="0"/>
          <w:color w:val="auto"/>
          <w:kern w:val="2"/>
          <w:sz w:val="24"/>
          <w:szCs w:val="24"/>
          <w:highlight w:val="none"/>
          <w:lang w:val="en-US" w:eastAsia="zh-CN" w:bidi="ar-SA"/>
        </w:rPr>
        <w:t>项目</w:t>
      </w:r>
      <w:r>
        <w:rPr>
          <w:rFonts w:hint="eastAsia" w:ascii="宋体" w:hAnsi="宋体" w:eastAsia="宋体" w:cs="宋体"/>
          <w:b w:val="0"/>
          <w:color w:val="auto"/>
          <w:kern w:val="2"/>
          <w:sz w:val="24"/>
          <w:szCs w:val="24"/>
          <w:highlight w:val="none"/>
          <w:lang w:val="en-US" w:eastAsia="zh-CN" w:bidi="ar-SA"/>
        </w:rPr>
        <w:t>位置、地质情况、进出场道路、储存空间、装卸限制、行车干扰及任何其它足以影响承包价格的情况，任何因忽视或误解工地情况而导致的索赔或工期延长申请将不获批准。开标时如未踏堪现场视为已踏堪，踏勘费用由供应商自行承担。</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采购人将进一步核查供应商在响应文件中的提供的投标资料，若在评标期间有供应商投诉并经查实或评标委员会发现供应商提供了虚假资料，采购人将对供应商的响应文件作否决处理。采购人若在合同实施期间发现供应商提供虚假资料或以供应商承诺不相符合内容，采购人将从工程支付款扣除不超过签约合同价的10%的金额作为违约金，采购人将终止本合同。</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（三）、成交供应商在</w:t>
      </w:r>
      <w:r>
        <w:rPr>
          <w:rFonts w:hint="eastAsia" w:ascii="宋体" w:hAnsi="宋体" w:cs="宋体"/>
          <w:b w:val="0"/>
          <w:color w:val="auto"/>
          <w:kern w:val="2"/>
          <w:sz w:val="24"/>
          <w:szCs w:val="24"/>
          <w:highlight w:val="none"/>
          <w:lang w:val="en-US" w:eastAsia="zh-CN" w:bidi="ar-SA"/>
        </w:rPr>
        <w:t>服务</w:t>
      </w:r>
      <w:r>
        <w:rPr>
          <w:rFonts w:hint="eastAsia" w:ascii="宋体" w:hAnsi="宋体" w:eastAsia="宋体" w:cs="宋体"/>
          <w:b w:val="0"/>
          <w:color w:val="auto"/>
          <w:kern w:val="2"/>
          <w:sz w:val="24"/>
          <w:szCs w:val="24"/>
          <w:highlight w:val="none"/>
          <w:lang w:val="en-US" w:eastAsia="zh-CN" w:bidi="ar-SA"/>
        </w:rPr>
        <w:t>过程中不得损害业主的相关设施或妨碍辖区居民的正常生产工作秩序；</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（四）、服务所需设施、设备、用具等全部由成交供应商自行负责；</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（五）、服务过程中不能阻断交通，以及服务过程中的一切安全责任由成交供应商自行负责；</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（六）、服务过程中的用水、用电、临时占地和青苗补偿由成交供应商自行协调解决，并承担相应费用。</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w:t>
      </w:r>
      <w:r>
        <w:rPr>
          <w:rFonts w:hint="eastAsia" w:ascii="宋体" w:hAnsi="宋体" w:cs="宋体"/>
          <w:b w:val="0"/>
          <w:color w:val="auto"/>
          <w:kern w:val="2"/>
          <w:sz w:val="24"/>
          <w:szCs w:val="24"/>
          <w:highlight w:val="none"/>
          <w:lang w:val="en-US" w:eastAsia="zh-CN" w:bidi="ar-SA"/>
        </w:rPr>
        <w:t>七</w:t>
      </w:r>
      <w:r>
        <w:rPr>
          <w:rFonts w:hint="eastAsia" w:ascii="宋体" w:hAnsi="宋体" w:eastAsia="宋体" w:cs="宋体"/>
          <w:b w:val="0"/>
          <w:color w:val="auto"/>
          <w:kern w:val="2"/>
          <w:sz w:val="24"/>
          <w:szCs w:val="24"/>
          <w:highlight w:val="none"/>
          <w:lang w:val="en-US" w:eastAsia="zh-CN" w:bidi="ar-SA"/>
        </w:rPr>
        <w:t>）、承包人不得将合同的任何部分或采购方的任何权利、利益或责任转让、委派、许诺、安排给其他人；不得通过租用、借用他人资质证书承揽工程，承包人如有上述行为，发包人有权立即终止合同，承包人应承担由此引起的违约责任及相关法律法规责任。</w:t>
      </w:r>
    </w:p>
    <w:p>
      <w:pPr>
        <w:snapToGrid w:val="0"/>
        <w:spacing w:line="400" w:lineRule="exact"/>
        <w:ind w:firstLine="480" w:firstLineChars="200"/>
        <w:outlineLvl w:val="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w:t>
      </w:r>
      <w:r>
        <w:rPr>
          <w:rFonts w:hint="eastAsia" w:ascii="宋体" w:hAnsi="宋体" w:cs="宋体"/>
          <w:b w:val="0"/>
          <w:color w:val="auto"/>
          <w:kern w:val="2"/>
          <w:sz w:val="24"/>
          <w:szCs w:val="24"/>
          <w:highlight w:val="none"/>
          <w:lang w:val="en-US" w:eastAsia="zh-CN" w:bidi="ar-SA"/>
        </w:rPr>
        <w:t>八</w:t>
      </w:r>
      <w:r>
        <w:rPr>
          <w:rFonts w:hint="eastAsia" w:ascii="宋体" w:hAnsi="宋体" w:eastAsia="宋体" w:cs="宋体"/>
          <w:b w:val="0"/>
          <w:color w:val="auto"/>
          <w:kern w:val="2"/>
          <w:sz w:val="24"/>
          <w:szCs w:val="24"/>
          <w:highlight w:val="none"/>
          <w:lang w:val="en-US" w:eastAsia="zh-CN" w:bidi="ar-SA"/>
        </w:rPr>
        <w:t>）、供应商必须在响应文件中对以上条款和服务承诺明确列出，承诺内容必须达到本篇及谈判文件其他条款的要求。</w:t>
      </w:r>
    </w:p>
    <w:p>
      <w:pPr>
        <w:pStyle w:val="4"/>
        <w:spacing w:line="360" w:lineRule="auto"/>
        <w:ind w:firstLine="480" w:firstLineChars="200"/>
        <w:jc w:val="left"/>
        <w:rPr>
          <w:rFonts w:hint="eastAsia" w:ascii="宋体" w:hAnsi="宋体" w:eastAsia="宋体" w:cs="宋体"/>
          <w:b w:val="0"/>
          <w:color w:val="auto"/>
          <w:kern w:val="2"/>
          <w:sz w:val="24"/>
          <w:szCs w:val="24"/>
          <w:highlight w:val="none"/>
          <w:lang w:val="en-US" w:eastAsia="zh-CN" w:bidi="ar-SA"/>
        </w:rPr>
      </w:pPr>
      <w:bookmarkStart w:id="26" w:name="_Toc21036"/>
      <w:bookmarkStart w:id="27" w:name="_Toc6700"/>
      <w:bookmarkStart w:id="28" w:name="_Toc16204"/>
      <w:r>
        <w:rPr>
          <w:rFonts w:hint="eastAsia" w:ascii="宋体" w:hAnsi="宋体" w:eastAsia="宋体" w:cs="宋体"/>
          <w:b w:val="0"/>
          <w:color w:val="auto"/>
          <w:kern w:val="2"/>
          <w:sz w:val="24"/>
          <w:szCs w:val="24"/>
          <w:highlight w:val="none"/>
          <w:lang w:val="en-US" w:eastAsia="zh-CN" w:bidi="ar-SA"/>
        </w:rPr>
        <w:t>（九）、其他未尽事宜由供需双方在采购合同中详细约定。</w:t>
      </w:r>
      <w:bookmarkEnd w:id="26"/>
      <w:bookmarkEnd w:id="27"/>
      <w:bookmarkEnd w:id="28"/>
    </w:p>
    <w:p>
      <w:pP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br w:type="page"/>
      </w:r>
    </w:p>
    <w:p>
      <w:pPr>
        <w:rPr>
          <w:rFonts w:hint="eastAsia"/>
          <w:color w:val="auto"/>
          <w:highlight w:val="none"/>
          <w:lang w:val="en-US" w:eastAsia="zh-CN"/>
        </w:rPr>
      </w:pPr>
    </w:p>
    <w:p>
      <w:pPr>
        <w:pStyle w:val="4"/>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 xml:space="preserve">第三篇  </w:t>
      </w:r>
      <w:bookmarkEnd w:id="23"/>
      <w:r>
        <w:rPr>
          <w:rFonts w:hint="eastAsia" w:ascii="宋体" w:hAnsi="宋体" w:eastAsia="宋体" w:cs="宋体"/>
          <w:b w:val="0"/>
          <w:color w:val="auto"/>
          <w:sz w:val="36"/>
          <w:szCs w:val="30"/>
          <w:highlight w:val="none"/>
        </w:rPr>
        <w:t>项目商务需求</w:t>
      </w:r>
      <w:bookmarkEnd w:id="24"/>
    </w:p>
    <w:p>
      <w:pPr>
        <w:pStyle w:val="5"/>
        <w:spacing w:line="440" w:lineRule="exact"/>
        <w:rPr>
          <w:rFonts w:ascii="宋体" w:hAnsi="宋体" w:cs="宋体"/>
          <w:color w:val="auto"/>
          <w:sz w:val="24"/>
          <w:szCs w:val="24"/>
          <w:highlight w:val="none"/>
        </w:rPr>
      </w:pPr>
      <w:bookmarkStart w:id="29" w:name="_Toc344475120"/>
      <w:bookmarkStart w:id="30" w:name="_Toc54278985"/>
      <w:r>
        <w:rPr>
          <w:rFonts w:hint="eastAsia" w:ascii="宋体" w:hAnsi="宋体" w:cs="宋体"/>
          <w:color w:val="auto"/>
          <w:sz w:val="24"/>
          <w:szCs w:val="24"/>
          <w:highlight w:val="none"/>
        </w:rPr>
        <w:t>一、服务期、</w:t>
      </w:r>
      <w:r>
        <w:rPr>
          <w:rFonts w:hint="eastAsia" w:ascii="宋体" w:hAnsi="宋体" w:cs="宋体"/>
          <w:color w:val="auto"/>
          <w:sz w:val="24"/>
          <w:szCs w:val="24"/>
          <w:highlight w:val="none"/>
          <w:lang w:eastAsia="zh-CN"/>
        </w:rPr>
        <w:t>服务内容、</w:t>
      </w:r>
      <w:r>
        <w:rPr>
          <w:rFonts w:hint="eastAsia" w:ascii="宋体" w:hAnsi="宋体" w:cs="宋体"/>
          <w:color w:val="auto"/>
          <w:sz w:val="24"/>
          <w:szCs w:val="24"/>
          <w:highlight w:val="none"/>
        </w:rPr>
        <w:t>地点及验收方式</w:t>
      </w:r>
      <w:bookmarkEnd w:id="29"/>
      <w:bookmarkEnd w:id="30"/>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地点：招标人指定地点</w:t>
      </w:r>
    </w:p>
    <w:p>
      <w:pPr>
        <w:spacing w:line="5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）验收方式及标准</w:t>
      </w:r>
      <w:bookmarkStart w:id="31" w:name="_Toc344475121"/>
      <w:bookmarkStart w:id="32" w:name="_Toc54278986"/>
    </w:p>
    <w:p>
      <w:pPr>
        <w:spacing w:line="540" w:lineRule="exact"/>
        <w:ind w:firstLine="720" w:firstLineChars="3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由采购人自行验收</w:t>
      </w:r>
      <w:r>
        <w:rPr>
          <w:rFonts w:hint="eastAsia" w:ascii="宋体" w:hAnsi="宋体" w:cs="宋体"/>
          <w:color w:val="auto"/>
          <w:sz w:val="24"/>
          <w:szCs w:val="24"/>
          <w:highlight w:val="none"/>
          <w:lang w:eastAsia="zh-CN"/>
        </w:rPr>
        <w:t>。</w:t>
      </w:r>
      <w:r>
        <w:rPr>
          <w:rFonts w:hint="eastAsia" w:ascii="宋体" w:hAnsi="宋体" w:cs="宋体"/>
          <w:b w:val="0"/>
          <w:color w:val="auto"/>
          <w:kern w:val="2"/>
          <w:sz w:val="24"/>
          <w:szCs w:val="24"/>
          <w:highlight w:val="none"/>
          <w:lang w:val="en-US" w:eastAsia="zh-CN" w:bidi="ar-SA"/>
        </w:rPr>
        <w:t>编制完成重庆建桥工业园绿色园区第三方评价报告，并通过国家工信部组织的专家评审，进入国家工信部官方网站公示的绿色制造体系名单内，即为验收合格。</w:t>
      </w:r>
    </w:p>
    <w:p>
      <w:pPr>
        <w:pStyle w:val="5"/>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二、</w:t>
      </w:r>
      <w:bookmarkEnd w:id="31"/>
      <w:r>
        <w:rPr>
          <w:rFonts w:hint="eastAsia" w:ascii="宋体" w:hAnsi="宋体" w:cs="宋体"/>
          <w:color w:val="auto"/>
          <w:sz w:val="24"/>
          <w:szCs w:val="24"/>
          <w:highlight w:val="none"/>
        </w:rPr>
        <w:t>报价要求</w:t>
      </w:r>
      <w:bookmarkEnd w:id="32"/>
    </w:p>
    <w:p>
      <w:pPr>
        <w:pStyle w:val="11"/>
        <w:tabs>
          <w:tab w:val="left" w:pos="4905"/>
        </w:tabs>
        <w:spacing w:line="560" w:lineRule="exact"/>
        <w:ind w:firstLine="480" w:firstLineChars="200"/>
        <w:rPr>
          <w:rFonts w:ascii="方正仿宋_GBK" w:hAnsi="方正仿宋_GBK" w:eastAsia="方正仿宋_GBK" w:cs="方正仿宋_GBK"/>
          <w:color w:val="auto"/>
          <w:sz w:val="32"/>
          <w:szCs w:val="32"/>
          <w:highlight w:val="none"/>
        </w:rPr>
      </w:pPr>
      <w:bookmarkStart w:id="33" w:name="_Toc54278994"/>
      <w:r>
        <w:rPr>
          <w:rFonts w:hint="eastAsia" w:ascii="宋体" w:hAnsi="宋体" w:eastAsia="宋体" w:cs="宋体"/>
          <w:color w:val="auto"/>
          <w:kern w:val="2"/>
          <w:sz w:val="24"/>
          <w:szCs w:val="24"/>
          <w:highlight w:val="none"/>
          <w:lang w:val="en-US" w:eastAsia="zh-CN" w:bidi="ar-SA"/>
        </w:rPr>
        <w:t>供应商应当按照采购文件规定自主价格，本次报价为人民币报价，报价总金额不能超过限价标准，报价应包含创建全部过程的所有费用内容，若因供应商原因造成的漏报、错报而导致本项目无法履行的，由供应商负责，采购人不会承担任何责任。</w:t>
      </w:r>
    </w:p>
    <w:p>
      <w:pPr>
        <w:pStyle w:val="11"/>
        <w:tabs>
          <w:tab w:val="left" w:pos="4905"/>
        </w:tabs>
        <w:spacing w:line="560" w:lineRule="exact"/>
        <w:ind w:firstLine="480" w:firstLineChars="200"/>
        <w:rPr>
          <w:rFonts w:hint="eastAsia" w:ascii="宋体" w:hAnsi="宋体" w:eastAsia="宋体" w:cs="宋体"/>
          <w:color w:val="auto"/>
          <w:kern w:val="2"/>
          <w:sz w:val="24"/>
          <w:szCs w:val="24"/>
          <w:highlight w:val="none"/>
          <w:lang w:val="en-US" w:eastAsia="zh-CN" w:bidi="ar-SA"/>
        </w:rPr>
      </w:pPr>
      <w:bookmarkStart w:id="34" w:name="_Toc54278987"/>
      <w:r>
        <w:rPr>
          <w:rFonts w:hint="eastAsia" w:ascii="宋体" w:hAnsi="宋体" w:eastAsia="宋体" w:cs="宋体"/>
          <w:color w:val="auto"/>
          <w:kern w:val="2"/>
          <w:sz w:val="24"/>
          <w:szCs w:val="24"/>
          <w:highlight w:val="none"/>
          <w:lang w:val="en-US" w:eastAsia="zh-CN" w:bidi="ar-SA"/>
        </w:rPr>
        <w:t>本项目设最高限价为人民币: ￥ 450000.00 （大写： 肆拾伍万</w:t>
      </w:r>
      <w:r>
        <w:rPr>
          <w:rFonts w:hint="eastAsia" w:ascii="宋体" w:hAnsi="宋体" w:cs="宋体"/>
          <w:color w:val="auto"/>
          <w:kern w:val="2"/>
          <w:sz w:val="24"/>
          <w:szCs w:val="24"/>
          <w:highlight w:val="none"/>
          <w:lang w:val="en-US" w:eastAsia="zh-CN" w:bidi="ar-SA"/>
        </w:rPr>
        <w:t>元整</w:t>
      </w:r>
      <w:r>
        <w:rPr>
          <w:rFonts w:hint="eastAsia" w:ascii="宋体" w:hAnsi="宋体" w:eastAsia="宋体" w:cs="宋体"/>
          <w:color w:val="auto"/>
          <w:kern w:val="2"/>
          <w:sz w:val="24"/>
          <w:szCs w:val="24"/>
          <w:highlight w:val="none"/>
          <w:lang w:val="en-US" w:eastAsia="zh-CN" w:bidi="ar-SA"/>
        </w:rPr>
        <w:t>）。报价总价不得超过采购人发布的相应最高限价，否则按废标处理。</w:t>
      </w:r>
      <w:bookmarkEnd w:id="34"/>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三、结算原则</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合同结算金额=</w:t>
      </w:r>
      <w:r>
        <w:rPr>
          <w:rFonts w:hint="eastAsia" w:ascii="宋体" w:hAnsi="宋体" w:cs="宋体"/>
          <w:color w:val="auto"/>
          <w:sz w:val="24"/>
          <w:szCs w:val="24"/>
          <w:highlight w:val="none"/>
          <w:lang w:eastAsia="zh-CN"/>
        </w:rPr>
        <w:t>中标价</w:t>
      </w:r>
    </w:p>
    <w:p>
      <w:pPr>
        <w:numPr>
          <w:ilvl w:val="0"/>
          <w:numId w:val="1"/>
        </w:numPr>
        <w:spacing w:line="40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付款方式</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报告完成后一个月内支付至合同金额的30%，若本次创建成功，则一次性支付剩余款项，若本次创建不成功，剩余款项待下次申报创建成功后支付。</w:t>
      </w:r>
    </w:p>
    <w:p>
      <w:pPr>
        <w:spacing w:line="540" w:lineRule="exact"/>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采购人在支付服务费前，中标人应开具足额的增值税专用发票，如中标人未按规定提交，造成的延期支付由中标人自行承担。</w:t>
      </w:r>
    </w:p>
    <w:p>
      <w:pPr>
        <w:spacing w:line="54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五、知识产权</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（二）涉及软件开发等服务类项目知识产权的，知识产权归采购人所有。</w:t>
      </w:r>
    </w:p>
    <w:p>
      <w:pPr>
        <w:spacing w:line="54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六、其他</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（二）因</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原因，所提供的</w:t>
      </w:r>
      <w:r>
        <w:rPr>
          <w:rFonts w:hint="eastAsia" w:ascii="宋体" w:hAnsi="宋体" w:cs="宋体"/>
          <w:color w:val="auto"/>
          <w:sz w:val="24"/>
          <w:szCs w:val="24"/>
          <w:highlight w:val="none"/>
          <w:lang w:eastAsia="zh-CN"/>
        </w:rPr>
        <w:t>设备</w:t>
      </w:r>
      <w:r>
        <w:rPr>
          <w:rFonts w:hint="eastAsia" w:ascii="宋体" w:hAnsi="宋体" w:cs="宋体"/>
          <w:color w:val="auto"/>
          <w:sz w:val="24"/>
          <w:szCs w:val="24"/>
          <w:highlight w:val="none"/>
        </w:rPr>
        <w:t>不符合规范要求和有关规定，</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承担相应损失。</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如未按合同约定工期完工的（除不可抗力或经采购人同意），对中标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处以万分之五/天的罚款。</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其他未尽事宜由供需双方在采购合同中详细约定。</w:t>
      </w:r>
    </w:p>
    <w:p>
      <w:pPr>
        <w:pStyle w:val="4"/>
        <w:pageBreakBefore/>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第四篇  磋商程序及方法、评审标准、无效响应和</w:t>
      </w:r>
      <w:r>
        <w:rPr>
          <w:rFonts w:hint="eastAsia" w:ascii="宋体" w:hAnsi="宋体" w:eastAsia="宋体" w:cs="宋体"/>
          <w:b w:val="0"/>
          <w:color w:val="auto"/>
          <w:sz w:val="36"/>
          <w:szCs w:val="36"/>
          <w:highlight w:val="none"/>
        </w:rPr>
        <w:t>采购终止</w:t>
      </w:r>
      <w:bookmarkEnd w:id="33"/>
    </w:p>
    <w:p>
      <w:pPr>
        <w:pStyle w:val="5"/>
        <w:spacing w:line="440" w:lineRule="exact"/>
        <w:rPr>
          <w:rFonts w:ascii="宋体" w:hAnsi="宋体" w:cs="宋体"/>
          <w:color w:val="auto"/>
          <w:sz w:val="24"/>
          <w:szCs w:val="24"/>
          <w:highlight w:val="none"/>
        </w:rPr>
      </w:pPr>
      <w:bookmarkStart w:id="35" w:name="_Toc54278995"/>
      <w:r>
        <w:rPr>
          <w:rFonts w:hint="eastAsia" w:ascii="宋体" w:hAnsi="宋体" w:cs="宋体"/>
          <w:color w:val="auto"/>
          <w:sz w:val="24"/>
          <w:szCs w:val="24"/>
          <w:highlight w:val="none"/>
        </w:rPr>
        <w:t>一、磋商程序及方法</w:t>
      </w:r>
      <w:bookmarkEnd w:id="35"/>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42"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p>
            <w:pPr>
              <w:jc w:val="center"/>
              <w:rPr>
                <w:rFonts w:ascii="宋体" w:hAnsi="宋体" w:cs="宋体"/>
                <w:color w:val="auto"/>
                <w:sz w:val="21"/>
                <w:szCs w:val="21"/>
                <w:highlight w:val="none"/>
              </w:rPr>
            </w:pPr>
          </w:p>
        </w:tc>
        <w:tc>
          <w:tcPr>
            <w:tcW w:w="709"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供应商法人营业执照（副本）或事业单位法人证书（副本）或个体工商户营业执照、组织机构代码证复印件（注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 xml:space="preserve">）； </w:t>
            </w:r>
          </w:p>
          <w:p>
            <w:pPr>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42" w:type="dxa"/>
            <w:vMerge w:val="restart"/>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eq \o\ac(○,2)</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42" w:type="dxa"/>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Align w:val="center"/>
          </w:tcPr>
          <w:p>
            <w:pPr>
              <w:tabs>
                <w:tab w:val="left" w:pos="1494"/>
              </w:tabs>
              <w:rPr>
                <w:rFonts w:ascii="宋体" w:hAnsi="宋体" w:cs="宋体"/>
                <w:color w:val="auto"/>
                <w:sz w:val="21"/>
                <w:szCs w:val="21"/>
                <w:highlight w:val="none"/>
              </w:rPr>
            </w:pPr>
          </w:p>
        </w:tc>
        <w:tc>
          <w:tcPr>
            <w:tcW w:w="4679" w:type="dxa"/>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（7）特定资格条件</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落实政府采购政策需满足的资格要求</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\o\ac(○,1)</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：供</w:t>
      </w:r>
      <w:r>
        <w:rPr>
          <w:rFonts w:hint="eastAsia" w:ascii="宋体" w:hAnsi="宋体" w:cs="宋体"/>
          <w:color w:val="auto"/>
          <w:kern w:val="0"/>
          <w:sz w:val="24"/>
          <w:szCs w:val="24"/>
          <w:highlight w:val="none"/>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eq \o\ac(○,2)</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w:t>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highlight w:val="none"/>
        </w:rPr>
      </w:pPr>
      <w:r>
        <w:rPr>
          <w:rFonts w:hint="eastAsia" w:ascii="宋体" w:hAnsi="宋体" w:cs="宋体"/>
          <w:color w:val="auto"/>
          <w:kern w:val="0"/>
          <w:sz w:val="24"/>
          <w:szCs w:val="24"/>
          <w:highlight w:val="none"/>
        </w:rPr>
        <w:t>2、符合性检查。依据磋商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文件的规定，从响应文件的有效性、完整性和对磋商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文件的响应程度进行审查，以确定是否对磋商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文件的实质性要求作出响应。符合性检查资料表如下：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文件正、副本数量（含电子文档）符合</w:t>
            </w:r>
            <w:r>
              <w:rPr>
                <w:rFonts w:hint="eastAsia" w:ascii="宋体" w:hAnsi="宋体" w:cs="宋体"/>
                <w:color w:val="auto"/>
                <w:sz w:val="21"/>
                <w:szCs w:val="21"/>
                <w:highlight w:val="none"/>
              </w:rPr>
              <w:t>竞争性磋商</w:t>
            </w:r>
            <w:r>
              <w:rPr>
                <w:rFonts w:hint="eastAsia" w:ascii="宋体" w:hAnsi="宋体" w:cs="宋体"/>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竞争性磋商文件的响应程度审查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noWrap/>
            <w:vAlign w:val="center"/>
          </w:tcPr>
          <w:p>
            <w:pPr>
              <w:pStyle w:val="10"/>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sz w:val="21"/>
                <w:szCs w:val="21"/>
                <w:highlight w:val="none"/>
                <w:lang w:val="zh-CN"/>
              </w:rPr>
            </w:pP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（九）磋商小组采用综合评分法对提交最后报价的供应商的响应文件和最后报价（含有效书面承诺）进行综合评分。</w:t>
      </w:r>
      <w:r>
        <w:rPr>
          <w:rFonts w:hint="eastAsia" w:ascii="宋体" w:hAnsi="宋体"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highlight w:val="none"/>
          <w:lang w:val="en-US" w:eastAsia="zh-CN"/>
        </w:rPr>
        <w:t>0</w:t>
      </w:r>
      <w:r>
        <w:rPr>
          <w:rFonts w:hint="eastAsia" w:ascii="宋体" w:hAnsi="宋体" w:cs="宋体"/>
          <w:color w:val="auto"/>
          <w:kern w:val="0"/>
          <w:sz w:val="24"/>
          <w:szCs w:val="24"/>
          <w:highlight w:val="none"/>
        </w:rPr>
        <w:t>分</w:t>
      </w:r>
      <w:r>
        <w:rPr>
          <w:rFonts w:hint="eastAsia" w:ascii="宋体" w:hAnsi="宋体" w:cs="宋体"/>
          <w:color w:val="auto"/>
          <w:sz w:val="24"/>
          <w:szCs w:val="24"/>
          <w:highlight w:val="none"/>
        </w:rPr>
        <w:t>。（详见评审标准）。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（十）磋商小组各成员独立对每个有效响应（通过资格性检查、</w:t>
      </w:r>
      <w:r>
        <w:rPr>
          <w:rFonts w:hint="eastAsia" w:ascii="宋体" w:hAnsi="宋体" w:cs="宋体"/>
          <w:color w:val="auto"/>
          <w:kern w:val="0"/>
          <w:sz w:val="24"/>
          <w:szCs w:val="24"/>
          <w:highlight w:val="none"/>
        </w:rPr>
        <w:t>符合性检查的供应商</w:t>
      </w:r>
      <w:r>
        <w:rPr>
          <w:rFonts w:hint="eastAsia" w:ascii="宋体" w:hAnsi="宋体" w:cs="宋体"/>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5"/>
        <w:spacing w:line="440" w:lineRule="exact"/>
        <w:rPr>
          <w:rFonts w:ascii="宋体" w:hAnsi="宋体" w:cs="宋体"/>
          <w:color w:val="auto"/>
          <w:sz w:val="24"/>
          <w:szCs w:val="24"/>
          <w:highlight w:val="none"/>
        </w:rPr>
      </w:pPr>
      <w:bookmarkStart w:id="36" w:name="_Toc54278996"/>
      <w:r>
        <w:rPr>
          <w:rFonts w:hint="eastAsia" w:ascii="宋体" w:hAnsi="宋体" w:cs="宋体"/>
          <w:color w:val="auto"/>
          <w:sz w:val="24"/>
          <w:szCs w:val="24"/>
          <w:highlight w:val="none"/>
        </w:rPr>
        <w:t>二、</w:t>
      </w:r>
      <w:bookmarkStart w:id="37" w:name="_Toc102227320"/>
      <w:bookmarkStart w:id="38" w:name="_Toc342913394"/>
      <w:r>
        <w:rPr>
          <w:rFonts w:hint="eastAsia" w:ascii="宋体" w:hAnsi="宋体" w:cs="宋体"/>
          <w:color w:val="auto"/>
          <w:sz w:val="24"/>
          <w:szCs w:val="24"/>
          <w:highlight w:val="none"/>
        </w:rPr>
        <w:t>评审标准</w:t>
      </w:r>
      <w:bookmarkEnd w:id="36"/>
      <w:r>
        <w:rPr>
          <w:rFonts w:hint="eastAsia" w:ascii="宋体" w:hAnsi="宋体" w:cs="宋体"/>
          <w:color w:val="auto"/>
          <w:sz w:val="24"/>
          <w:szCs w:val="24"/>
          <w:highlight w:val="none"/>
        </w:rPr>
        <w:t>注</w:t>
      </w:r>
    </w:p>
    <w:tbl>
      <w:tblPr>
        <w:tblStyle w:val="16"/>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47"/>
        <w:gridCol w:w="2098"/>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47"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评分权重</w:t>
            </w:r>
          </w:p>
        </w:tc>
        <w:tc>
          <w:tcPr>
            <w:tcW w:w="2098"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分值</w:t>
            </w:r>
          </w:p>
        </w:tc>
        <w:tc>
          <w:tcPr>
            <w:tcW w:w="364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评分标准</w:t>
            </w:r>
          </w:p>
        </w:tc>
        <w:tc>
          <w:tcPr>
            <w:tcW w:w="2446"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947" w:type="dxa"/>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eastAsia="zh-CN"/>
              </w:rPr>
              <w:t>经济部分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w:t>
            </w:r>
          </w:p>
        </w:tc>
        <w:tc>
          <w:tcPr>
            <w:tcW w:w="2098" w:type="dxa"/>
            <w:noWrap/>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投标报价</w:t>
            </w:r>
          </w:p>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eastAsia="zh-CN"/>
              </w:rPr>
              <w:t>）</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有效的投标报价中的最低价为评标基准价，按照下列公式计算每个投标人的投标价格得分。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4"/>
                <w:highlight w:val="none"/>
              </w:rPr>
            </w:pPr>
            <w:r>
              <w:rPr>
                <w:rFonts w:hint="eastAsia" w:ascii="宋体" w:hAnsi="宋体" w:cs="宋体"/>
                <w:color w:val="auto"/>
                <w:sz w:val="24"/>
                <w:szCs w:val="24"/>
                <w:highlight w:val="none"/>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947" w:type="dxa"/>
            <w:noWrap/>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技术部分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w:t>
            </w:r>
          </w:p>
        </w:tc>
        <w:tc>
          <w:tcPr>
            <w:tcW w:w="2098" w:type="dxa"/>
            <w:noWrap/>
            <w:vAlign w:val="center"/>
          </w:tcPr>
          <w:p>
            <w:pPr>
              <w:tabs>
                <w:tab w:val="left" w:pos="1050"/>
              </w:tabs>
              <w:spacing w:line="24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服务方案</w:t>
            </w:r>
          </w:p>
          <w:p>
            <w:pPr>
              <w:tabs>
                <w:tab w:val="left" w:pos="1050"/>
              </w:tabs>
              <w:spacing w:line="24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5）</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范围与目标清晰明确得0-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机构配备完整,分工明确,岗位职责及制度健全得0-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、合同、信息管理方案合理得0-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、组织协调管理内容合理得0-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、对本</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关键问题的理解分析合理得0-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小组按各项评审因素设定的分值评分。</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中设有服务方案评审的，</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小组全体成员对服务方案进行评审，供应商服务方案得分取所有</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小组成员评分的算术平均值。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600" w:type="dxa"/>
            <w:vMerge w:val="restart"/>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947" w:type="dxa"/>
            <w:vMerge w:val="restart"/>
            <w:noWrap/>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部分</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65</w:t>
            </w:r>
            <w:r>
              <w:rPr>
                <w:rFonts w:hint="eastAsia" w:ascii="宋体" w:hAnsi="宋体" w:cs="宋体"/>
                <w:color w:val="auto"/>
                <w:sz w:val="24"/>
                <w:szCs w:val="24"/>
                <w:highlight w:val="none"/>
              </w:rPr>
              <w:t>%）</w:t>
            </w:r>
          </w:p>
        </w:tc>
        <w:tc>
          <w:tcPr>
            <w:tcW w:w="2098" w:type="dxa"/>
            <w:noWrap/>
            <w:vAlign w:val="center"/>
          </w:tcPr>
          <w:p>
            <w:pPr>
              <w:pStyle w:val="6"/>
              <w:ind w:firstLine="0"/>
              <w:jc w:val="center"/>
              <w:rPr>
                <w:color w:val="auto"/>
                <w:highlight w:val="none"/>
              </w:rPr>
            </w:pPr>
            <w:r>
              <w:rPr>
                <w:rFonts w:hint="eastAsia" w:hAnsi="宋体"/>
                <w:color w:val="auto"/>
                <w:sz w:val="24"/>
                <w:szCs w:val="24"/>
                <w:highlight w:val="none"/>
                <w:lang w:eastAsia="zh-CN"/>
              </w:rPr>
              <w:t>资质</w:t>
            </w:r>
            <w:r>
              <w:rPr>
                <w:rFonts w:hint="eastAsia" w:hAnsi="宋体"/>
                <w:color w:val="auto"/>
                <w:sz w:val="24"/>
                <w:szCs w:val="24"/>
                <w:highlight w:val="none"/>
              </w:rPr>
              <w:t>（</w:t>
            </w:r>
            <w:r>
              <w:rPr>
                <w:rFonts w:hint="eastAsia" w:hAnsi="宋体"/>
                <w:color w:val="auto"/>
                <w:sz w:val="24"/>
                <w:szCs w:val="24"/>
                <w:highlight w:val="none"/>
                <w:lang w:val="en-US" w:eastAsia="zh-CN"/>
              </w:rPr>
              <w:t>10</w:t>
            </w:r>
            <w:r>
              <w:rPr>
                <w:rFonts w:hint="eastAsia" w:hAnsi="宋体"/>
                <w:color w:val="auto"/>
                <w:sz w:val="24"/>
                <w:szCs w:val="24"/>
                <w:highlight w:val="none"/>
              </w:rPr>
              <w:t>分）</w:t>
            </w:r>
          </w:p>
        </w:tc>
        <w:tc>
          <w:tcPr>
            <w:tcW w:w="3640"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供应商具有工程咨询单位甲级资信证书的得</w:t>
            </w:r>
            <w:r>
              <w:rPr>
                <w:rFonts w:hint="eastAsia" w:ascii="宋体" w:hAnsi="宋体" w:cs="宋体"/>
                <w:color w:val="auto"/>
                <w:sz w:val="24"/>
                <w:szCs w:val="24"/>
                <w:highlight w:val="none"/>
                <w:lang w:val="en-US" w:eastAsia="zh-CN"/>
              </w:rPr>
              <w:t>10分，</w:t>
            </w:r>
            <w:r>
              <w:rPr>
                <w:rFonts w:hint="eastAsia" w:ascii="宋体" w:hAnsi="宋体" w:cs="宋体"/>
                <w:color w:val="auto"/>
                <w:sz w:val="24"/>
                <w:szCs w:val="24"/>
                <w:highlight w:val="none"/>
                <w:lang w:eastAsia="zh-CN"/>
              </w:rPr>
              <w:t>具有工程咨询单位乙级资信证书的得</w:t>
            </w:r>
            <w:r>
              <w:rPr>
                <w:rFonts w:hint="eastAsia" w:ascii="宋体" w:hAnsi="宋体" w:cs="宋体"/>
                <w:color w:val="auto"/>
                <w:sz w:val="24"/>
                <w:szCs w:val="24"/>
                <w:highlight w:val="none"/>
                <w:lang w:val="en-US" w:eastAsia="zh-CN"/>
              </w:rPr>
              <w:t>5分，</w:t>
            </w:r>
            <w:r>
              <w:rPr>
                <w:rFonts w:hint="eastAsia" w:ascii="宋体" w:hAnsi="宋体" w:eastAsia="宋体" w:cs="宋体"/>
                <w:color w:val="auto"/>
                <w:sz w:val="24"/>
                <w:szCs w:val="24"/>
                <w:highlight w:val="none"/>
              </w:rPr>
              <w:t>本项最多得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bookmarkStart w:id="39" w:name="_Toc54278997"/>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业绩</w:t>
            </w:r>
            <w:r>
              <w:rPr>
                <w:rFonts w:hint="eastAsia" w:hAnsi="宋体"/>
                <w:color w:val="auto"/>
                <w:sz w:val="24"/>
                <w:szCs w:val="24"/>
                <w:highlight w:val="none"/>
              </w:rPr>
              <w:t>（</w:t>
            </w:r>
            <w:r>
              <w:rPr>
                <w:rFonts w:hint="eastAsia" w:hAnsi="宋体"/>
                <w:color w:val="auto"/>
                <w:sz w:val="24"/>
                <w:szCs w:val="24"/>
                <w:highlight w:val="none"/>
                <w:lang w:val="en-US" w:eastAsia="zh-CN"/>
              </w:rPr>
              <w:t>20</w:t>
            </w:r>
            <w:r>
              <w:rPr>
                <w:rFonts w:hint="eastAsia" w:hAnsi="宋体"/>
                <w:color w:val="auto"/>
                <w:sz w:val="24"/>
                <w:szCs w:val="24"/>
                <w:highlight w:val="none"/>
              </w:rPr>
              <w:t>分）</w:t>
            </w:r>
          </w:p>
        </w:tc>
        <w:tc>
          <w:tcPr>
            <w:tcW w:w="3640" w:type="dxa"/>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供应商近三年（自2020年1月1日以来）成功申报国家级园区的一个的5分，此项最多得20分</w:t>
            </w:r>
            <w:r>
              <w:rPr>
                <w:rFonts w:hint="eastAsia" w:ascii="宋体" w:hAnsi="宋体" w:eastAsia="宋体" w:cs="宋体"/>
                <w:color w:val="auto"/>
                <w:sz w:val="24"/>
                <w:szCs w:val="24"/>
                <w:highlight w:val="none"/>
                <w:lang w:eastAsia="zh-CN"/>
              </w:rPr>
              <w:t>。</w:t>
            </w:r>
          </w:p>
        </w:tc>
        <w:tc>
          <w:tcPr>
            <w:tcW w:w="2446" w:type="dxa"/>
            <w:noWrap/>
            <w:vAlign w:val="center"/>
          </w:tcPr>
          <w:p>
            <w:pPr>
              <w:numPr>
                <w:ilvl w:val="0"/>
                <w:numId w:val="2"/>
              </w:numPr>
              <w:spacing w:line="400" w:lineRule="exac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提供合同复印件</w:t>
            </w:r>
            <w:r>
              <w:rPr>
                <w:rFonts w:hint="eastAsia" w:ascii="宋体" w:hAnsi="宋体" w:cs="宋体"/>
                <w:color w:val="auto"/>
                <w:sz w:val="24"/>
                <w:szCs w:val="24"/>
                <w:highlight w:val="none"/>
                <w:lang w:val="en-US" w:eastAsia="zh-CN"/>
              </w:rPr>
              <w:t>并加盖供应商公章。</w:t>
            </w:r>
          </w:p>
          <w:p>
            <w:pPr>
              <w:numPr>
                <w:ilvl w:val="0"/>
                <w:numId w:val="2"/>
              </w:numPr>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lang w:val="en-US" w:eastAsia="zh-CN"/>
              </w:rPr>
              <w:t>申报成功进入国家名单的通知书（网站截</w:t>
            </w:r>
            <w:r>
              <w:rPr>
                <w:rFonts w:hint="eastAsia" w:ascii="宋体" w:hAnsi="宋体" w:cs="宋体"/>
                <w:color w:val="auto"/>
                <w:sz w:val="24"/>
                <w:szCs w:val="24"/>
                <w:highlight w:val="none"/>
                <w:lang w:val="en-US" w:eastAsia="zh-CN"/>
              </w:rPr>
              <w:t>图并加盖投标人单位公章即可</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人员配置（</w:t>
            </w:r>
            <w:r>
              <w:rPr>
                <w:rFonts w:hint="eastAsia" w:hAnsi="宋体"/>
                <w:color w:val="auto"/>
                <w:sz w:val="24"/>
                <w:szCs w:val="24"/>
                <w:highlight w:val="none"/>
                <w:lang w:val="en-US" w:eastAsia="zh-CN"/>
              </w:rPr>
              <w:t>20分</w:t>
            </w:r>
            <w:r>
              <w:rPr>
                <w:rFonts w:hint="eastAsia" w:hAnsi="宋体"/>
                <w:color w:val="auto"/>
                <w:sz w:val="24"/>
                <w:szCs w:val="24"/>
                <w:highlight w:val="none"/>
                <w:lang w:eastAsia="zh-CN"/>
              </w:rPr>
              <w:t>）</w:t>
            </w:r>
          </w:p>
        </w:tc>
        <w:tc>
          <w:tcPr>
            <w:tcW w:w="3640" w:type="dxa"/>
            <w:noWrap/>
            <w:vAlign w:val="center"/>
          </w:tcPr>
          <w:p>
            <w:pPr>
              <w:spacing w:line="40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拟派的人员中具有正高级工程师职称的一个得5分，最高得10分。具有高级工程师职称的一个得2分，最高得10分。此项最多得20分。</w:t>
            </w:r>
          </w:p>
          <w:p>
            <w:pPr>
              <w:spacing w:line="400" w:lineRule="exact"/>
              <w:rPr>
                <w:rFonts w:hint="eastAsia" w:ascii="宋体" w:hAnsi="宋体" w:eastAsia="宋体" w:cs="宋体"/>
                <w:color w:val="auto"/>
                <w:sz w:val="24"/>
                <w:szCs w:val="24"/>
                <w:highlight w:val="none"/>
                <w:lang w:val="en-US" w:eastAsia="zh-CN"/>
              </w:rPr>
            </w:pPr>
          </w:p>
        </w:tc>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提供相关职称证书、2023年4月-2023年6月养老保险证明复印件或扫描件并加盖供应商公章。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00" w:type="dxa"/>
            <w:vMerge w:val="continue"/>
            <w:noWrap/>
            <w:vAlign w:val="center"/>
          </w:tcPr>
          <w:p>
            <w:pPr>
              <w:spacing w:line="400" w:lineRule="exact"/>
              <w:rPr>
                <w:rFonts w:hint="eastAsia" w:ascii="宋体" w:hAnsi="宋体" w:cs="宋体"/>
                <w:color w:val="auto"/>
                <w:sz w:val="24"/>
                <w:szCs w:val="24"/>
                <w:highlight w:val="none"/>
              </w:rPr>
            </w:pPr>
          </w:p>
        </w:tc>
        <w:tc>
          <w:tcPr>
            <w:tcW w:w="947" w:type="dxa"/>
            <w:vMerge w:val="continue"/>
            <w:noWrap/>
            <w:vAlign w:val="center"/>
          </w:tcPr>
          <w:p>
            <w:pPr>
              <w:spacing w:line="400" w:lineRule="exact"/>
              <w:rPr>
                <w:rFonts w:hint="eastAsia" w:ascii="宋体" w:hAnsi="宋体" w:cs="宋体"/>
                <w:color w:val="auto"/>
                <w:sz w:val="24"/>
                <w:szCs w:val="24"/>
                <w:highlight w:val="none"/>
              </w:rPr>
            </w:pPr>
          </w:p>
        </w:tc>
        <w:tc>
          <w:tcPr>
            <w:tcW w:w="2098" w:type="dxa"/>
            <w:noWrap/>
            <w:vAlign w:val="center"/>
          </w:tcPr>
          <w:p>
            <w:pPr>
              <w:pStyle w:val="6"/>
              <w:ind w:firstLine="0"/>
              <w:jc w:val="center"/>
              <w:rPr>
                <w:rFonts w:hint="eastAsia" w:hAnsi="宋体"/>
                <w:color w:val="auto"/>
                <w:sz w:val="24"/>
                <w:szCs w:val="24"/>
                <w:highlight w:val="none"/>
                <w:lang w:eastAsia="zh-CN"/>
              </w:rPr>
            </w:pPr>
            <w:r>
              <w:rPr>
                <w:rFonts w:hint="eastAsia" w:hAnsi="宋体"/>
                <w:color w:val="auto"/>
                <w:sz w:val="24"/>
                <w:szCs w:val="24"/>
                <w:highlight w:val="none"/>
                <w:lang w:eastAsia="zh-CN"/>
              </w:rPr>
              <w:t>企业能力（</w:t>
            </w:r>
            <w:r>
              <w:rPr>
                <w:rFonts w:hint="eastAsia" w:hAnsi="宋体"/>
                <w:color w:val="auto"/>
                <w:sz w:val="24"/>
                <w:szCs w:val="24"/>
                <w:highlight w:val="none"/>
                <w:lang w:val="en-US" w:eastAsia="zh-CN"/>
              </w:rPr>
              <w:t>15分</w:t>
            </w:r>
            <w:r>
              <w:rPr>
                <w:rFonts w:hint="eastAsia" w:hAnsi="宋体"/>
                <w:color w:val="auto"/>
                <w:sz w:val="24"/>
                <w:szCs w:val="24"/>
                <w:highlight w:val="none"/>
                <w:lang w:eastAsia="zh-CN"/>
              </w:rPr>
              <w:t>）</w:t>
            </w:r>
          </w:p>
        </w:tc>
        <w:tc>
          <w:tcPr>
            <w:tcW w:w="3640" w:type="dxa"/>
            <w:noWrap/>
            <w:vAlign w:val="center"/>
          </w:tcPr>
          <w:p>
            <w:pPr>
              <w:pStyle w:val="3"/>
              <w:numPr>
                <w:ilvl w:val="0"/>
                <w:numId w:val="0"/>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被纳入工业和信息化部关于公布工业节能与绿色发展评价中心名单的得15分。</w:t>
            </w:r>
          </w:p>
        </w:tc>
        <w:tc>
          <w:tcPr>
            <w:tcW w:w="2446" w:type="dxa"/>
            <w:noWrap/>
            <w:vAlign w:val="center"/>
          </w:tcPr>
          <w:tbl>
            <w:tblPr>
              <w:tblStyle w:val="16"/>
              <w:tblW w:w="2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446" w:type="dxa"/>
                  <w:noWrap/>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提供在工业和信息化部关于公布工业节能与绿色发展评价中心名单</w:t>
                  </w:r>
                  <w:r>
                    <w:rPr>
                      <w:rFonts w:hint="eastAsia" w:ascii="宋体" w:hAnsi="宋体" w:eastAsia="宋体" w:cs="宋体"/>
                      <w:color w:val="auto"/>
                      <w:sz w:val="24"/>
                      <w:szCs w:val="24"/>
                      <w:highlight w:val="none"/>
                      <w:lang w:val="en-US" w:eastAsia="zh-CN"/>
                    </w:rPr>
                    <w:t>（网站截</w:t>
                  </w:r>
                  <w:r>
                    <w:rPr>
                      <w:rFonts w:hint="eastAsia" w:ascii="宋体" w:hAnsi="宋体" w:cs="宋体"/>
                      <w:color w:val="auto"/>
                      <w:sz w:val="24"/>
                      <w:szCs w:val="24"/>
                      <w:highlight w:val="none"/>
                      <w:lang w:val="en-US" w:eastAsia="zh-CN"/>
                    </w:rPr>
                    <w:t>图并加盖投标人单位公章即可</w:t>
                  </w:r>
                  <w:r>
                    <w:rPr>
                      <w:rFonts w:hint="eastAsia" w:ascii="宋体" w:hAnsi="宋体" w:eastAsia="宋体" w:cs="宋体"/>
                      <w:color w:val="auto"/>
                      <w:sz w:val="24"/>
                      <w:szCs w:val="24"/>
                      <w:highlight w:val="none"/>
                      <w:lang w:val="en-US" w:eastAsia="zh-CN"/>
                    </w:rPr>
                    <w:t>）</w:t>
                  </w:r>
                </w:p>
              </w:tc>
            </w:tr>
          </w:tbl>
          <w:p>
            <w:pPr>
              <w:spacing w:line="400" w:lineRule="exact"/>
              <w:rPr>
                <w:rFonts w:hint="eastAsia" w:ascii="宋体" w:hAnsi="宋体" w:eastAsia="宋体" w:cs="宋体"/>
                <w:color w:val="auto"/>
                <w:sz w:val="24"/>
                <w:szCs w:val="24"/>
                <w:highlight w:val="none"/>
              </w:rPr>
            </w:pPr>
          </w:p>
        </w:tc>
      </w:tr>
    </w:tbl>
    <w:p>
      <w:pPr>
        <w:snapToGrid w:val="0"/>
        <w:spacing w:line="360" w:lineRule="auto"/>
        <w:ind w:firstLine="465"/>
        <w:rPr>
          <w:rFonts w:hint="eastAsia" w:ascii="宋体" w:hAnsi="宋体" w:cs="宋体"/>
          <w:color w:val="auto"/>
          <w:sz w:val="24"/>
          <w:szCs w:val="24"/>
          <w:highlight w:val="none"/>
        </w:rPr>
      </w:pPr>
      <w:r>
        <w:rPr>
          <w:rFonts w:hint="eastAsia" w:ascii="宋体" w:hAnsi="宋体" w:cs="宋体"/>
          <w:color w:val="auto"/>
          <w:sz w:val="24"/>
          <w:szCs w:val="24"/>
          <w:highlight w:val="none"/>
        </w:rPr>
        <w:t>所有计算及得分保留至小数点后两位，小数点后第三位四舍五入。</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关于小微企业报价扣除比例说明</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三、无效响应</w:t>
      </w:r>
      <w:bookmarkEnd w:id="39"/>
    </w:p>
    <w:p>
      <w:pPr>
        <w:snapToGrid w:val="0"/>
        <w:spacing w:line="360" w:lineRule="auto"/>
        <w:ind w:firstLine="465"/>
        <w:rPr>
          <w:rFonts w:ascii="宋体" w:hAnsi="宋体" w:cs="宋体"/>
          <w:color w:val="auto"/>
          <w:sz w:val="24"/>
          <w:szCs w:val="24"/>
          <w:highlight w:val="none"/>
        </w:rPr>
      </w:pPr>
      <w:bookmarkStart w:id="40" w:name="_Toc54278998"/>
      <w:r>
        <w:rPr>
          <w:rFonts w:hint="eastAsia" w:ascii="宋体" w:hAnsi="宋体" w:cs="宋体"/>
          <w:color w:val="auto"/>
          <w:sz w:val="24"/>
          <w:szCs w:val="24"/>
          <w:highlight w:val="none"/>
        </w:rPr>
        <w:t>竞标人发生以下条款情况之一者，视为无效响应，其响应文件将被拒绝：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（一）竞标人不符合规定的基本资格条件或特定资格条件的；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（二）竞标人的法定代表人或其授权代表未参加磋商；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（三）竞标人未按照竞争性磋商文件的要求缴纳磋商保证金；</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（五）竞标人的最后报价超过采购预算的；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（九）竞标人响应文件内容有与国家现行法律法规相违背的内容，或附有采购人无法接受的条件。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（十）本磋商文件规定的其它情形。</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37"/>
      <w:bookmarkEnd w:id="38"/>
      <w:r>
        <w:rPr>
          <w:rFonts w:hint="eastAsia" w:ascii="宋体" w:hAnsi="宋体" w:cs="宋体"/>
          <w:color w:val="auto"/>
          <w:sz w:val="24"/>
          <w:szCs w:val="24"/>
          <w:highlight w:val="none"/>
        </w:rPr>
        <w:t>采购终止</w:t>
      </w:r>
      <w:bookmarkEnd w:id="40"/>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highlight w:val="none"/>
        </w:rPr>
        <w:sectPr>
          <w:footerReference r:id="rId7" w:type="default"/>
          <w:pgSz w:w="11907" w:h="16840"/>
          <w:pgMar w:top="1134" w:right="1191" w:bottom="1134" w:left="1304" w:header="964" w:footer="992" w:gutter="0"/>
          <w:pgNumType w:fmt="numberInDash"/>
          <w:cols w:space="720" w:num="1"/>
          <w:docGrid w:linePitch="312" w:charSpace="0"/>
        </w:sectPr>
      </w:pPr>
    </w:p>
    <w:p>
      <w:pPr>
        <w:pStyle w:val="4"/>
        <w:spacing w:line="312" w:lineRule="auto"/>
        <w:jc w:val="center"/>
        <w:rPr>
          <w:rFonts w:ascii="宋体" w:hAnsi="宋体" w:eastAsia="宋体" w:cs="宋体"/>
          <w:bCs/>
          <w:color w:val="auto"/>
          <w:szCs w:val="30"/>
          <w:highlight w:val="none"/>
        </w:rPr>
      </w:pPr>
      <w:bookmarkStart w:id="41" w:name="_Toc102227313"/>
      <w:bookmarkStart w:id="42" w:name="_Toc21400"/>
      <w:bookmarkStart w:id="43" w:name="_Toc25636"/>
      <w:bookmarkStart w:id="44" w:name="_Toc25652"/>
      <w:bookmarkStart w:id="45" w:name="_Toc12789059"/>
      <w:bookmarkStart w:id="46" w:name="_Toc11641055"/>
      <w:r>
        <w:rPr>
          <w:rFonts w:hint="eastAsia" w:ascii="宋体" w:hAnsi="宋体" w:eastAsia="宋体" w:cs="宋体"/>
          <w:bCs/>
          <w:color w:val="auto"/>
          <w:sz w:val="36"/>
          <w:szCs w:val="30"/>
          <w:highlight w:val="none"/>
        </w:rPr>
        <w:t>第五篇  供应商须知</w:t>
      </w:r>
      <w:bookmarkEnd w:id="41"/>
      <w:bookmarkEnd w:id="42"/>
      <w:bookmarkEnd w:id="43"/>
      <w:bookmarkEnd w:id="44"/>
    </w:p>
    <w:p>
      <w:pPr>
        <w:pStyle w:val="5"/>
        <w:spacing w:before="0" w:after="0" w:line="360" w:lineRule="auto"/>
        <w:rPr>
          <w:rFonts w:ascii="宋体" w:hAnsi="宋体" w:cs="宋体"/>
          <w:color w:val="auto"/>
          <w:sz w:val="24"/>
          <w:szCs w:val="24"/>
          <w:highlight w:val="none"/>
        </w:rPr>
      </w:pPr>
      <w:bookmarkStart w:id="47" w:name="_Toc465"/>
      <w:bookmarkStart w:id="48" w:name="_Toc342913389"/>
      <w:bookmarkStart w:id="49" w:name="_Toc24338"/>
      <w:bookmarkStart w:id="50" w:name="_Toc18058"/>
      <w:r>
        <w:rPr>
          <w:rFonts w:hint="eastAsia" w:ascii="宋体" w:hAnsi="宋体" w:cs="宋体"/>
          <w:color w:val="auto"/>
          <w:sz w:val="24"/>
          <w:szCs w:val="24"/>
          <w:highlight w:val="none"/>
        </w:rPr>
        <w:t>一、磋商费用</w:t>
      </w:r>
      <w:bookmarkEnd w:id="47"/>
      <w:bookmarkEnd w:id="48"/>
      <w:bookmarkEnd w:id="49"/>
      <w:bookmarkEnd w:id="50"/>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5"/>
        <w:tabs>
          <w:tab w:val="left" w:pos="2640"/>
        </w:tabs>
        <w:spacing w:before="0" w:after="0" w:line="360" w:lineRule="auto"/>
        <w:rPr>
          <w:rFonts w:ascii="宋体" w:hAnsi="宋体" w:cs="宋体"/>
          <w:color w:val="auto"/>
          <w:sz w:val="24"/>
          <w:szCs w:val="24"/>
          <w:highlight w:val="none"/>
        </w:rPr>
      </w:pPr>
      <w:bookmarkStart w:id="51" w:name="_Toc889"/>
      <w:bookmarkStart w:id="52" w:name="_Toc29852"/>
      <w:bookmarkStart w:id="53" w:name="_Toc9574"/>
      <w:bookmarkStart w:id="54" w:name="_Toc342913391"/>
      <w:r>
        <w:rPr>
          <w:rFonts w:hint="eastAsia" w:ascii="宋体" w:hAnsi="宋体" w:cs="宋体"/>
          <w:color w:val="auto"/>
          <w:sz w:val="24"/>
          <w:szCs w:val="24"/>
          <w:highlight w:val="none"/>
        </w:rPr>
        <w:t>二、磋商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w:t>
      </w:r>
      <w:bookmarkEnd w:id="51"/>
      <w:bookmarkEnd w:id="52"/>
      <w:bookmarkEnd w:id="53"/>
      <w:bookmarkEnd w:id="54"/>
    </w:p>
    <w:p>
      <w:pPr>
        <w:pStyle w:val="5"/>
        <w:spacing w:before="0" w:after="0" w:line="360" w:lineRule="auto"/>
        <w:ind w:firstLine="480" w:firstLineChars="200"/>
        <w:rPr>
          <w:rFonts w:ascii="宋体" w:hAnsi="宋体" w:cs="宋体"/>
          <w:b w:val="0"/>
          <w:color w:val="auto"/>
          <w:sz w:val="24"/>
          <w:szCs w:val="24"/>
          <w:highlight w:val="none"/>
        </w:rPr>
      </w:pPr>
      <w:bookmarkStart w:id="55" w:name="_Toc1269"/>
      <w:bookmarkStart w:id="56" w:name="_Toc102227318"/>
      <w:bookmarkStart w:id="57" w:name="_Toc179714297"/>
      <w:bookmarkStart w:id="58" w:name="_Toc16134"/>
      <w:bookmarkStart w:id="59" w:name="_Toc342913392"/>
      <w:bookmarkStart w:id="60" w:name="_Toc19161"/>
      <w:r>
        <w:rPr>
          <w:rFonts w:hint="eastAsia" w:ascii="宋体" w:hAnsi="宋体" w:cs="宋体"/>
          <w:b w:val="0"/>
          <w:color w:val="auto"/>
          <w:sz w:val="24"/>
          <w:szCs w:val="24"/>
          <w:highlight w:val="none"/>
        </w:rPr>
        <w:t>（一）竞争性磋商文件由采购邀请书、项目服务需求、供应商须知、项目商务需求、磋商程序及方法、评审标准、无效响应和采购终止、供应商须知、政府采购合同、响应文件编制要求七部分组成。</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（二）采购人所作的一切有效的书面通知、修改及补充，都是竞争性磋商文件不可分割的部分。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（三）竞争性磋商文件的解释</w:t>
      </w:r>
    </w:p>
    <w:p>
      <w:pPr>
        <w:pStyle w:val="5"/>
        <w:spacing w:before="0" w:after="0" w:line="360"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（四）本竞争性磋商文件中，磋商小组根据与供应商进行磋商可能实质性变动的内容为竞争性磋商文件第二、三、六篇全部内容。</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（五）评审的依据为竞争性磋商文件和响应文件（含有效的书面承诺）。磋商小组判断响应文件对竞争性磋商文件的响应，仅基于响应文件本身而不靠外部证据。</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三、磋商要求</w:t>
      </w:r>
      <w:bookmarkEnd w:id="55"/>
      <w:bookmarkEnd w:id="56"/>
      <w:bookmarkEnd w:id="57"/>
      <w:bookmarkEnd w:id="58"/>
      <w:bookmarkEnd w:id="59"/>
      <w:bookmarkEnd w:id="6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bookmarkStart w:id="61" w:name="_Toc13950"/>
      <w:bookmarkStart w:id="62" w:name="_Toc18360"/>
      <w:bookmarkStart w:id="63" w:name="_Toc1096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（二）磋商有效期：响应文件及有关承诺文件有效期为提交响应文件截止时间起90天。</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（三）修正错误</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1.若供应商所递交的响应文件或最后报价中的价格出现大写金额和小写金额不一致的错误，以大写金额修正为准。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（四）提交响应文件的份数和签署</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1.响应文件一式两份，其中正本一份，副本一份；副本可为正本的复印件，应与正本一致，如出现不一致情况以正本为准。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2.响应文件按竞争性磋商文件“第七篇响应文件编制要求”要求签署或盖章。</w:t>
      </w:r>
    </w:p>
    <w:p>
      <w:pPr>
        <w:pStyle w:val="5"/>
        <w:spacing w:before="0" w:after="0" w:line="360" w:lineRule="auto"/>
        <w:ind w:firstLine="240" w:firstLineChars="100"/>
        <w:rPr>
          <w:rFonts w:ascii="宋体" w:hAnsi="宋体" w:cs="宋体"/>
          <w:b w:val="0"/>
          <w:color w:val="auto"/>
          <w:sz w:val="24"/>
          <w:szCs w:val="24"/>
          <w:highlight w:val="none"/>
        </w:rPr>
      </w:pPr>
      <w:r>
        <w:rPr>
          <w:rFonts w:hint="eastAsia" w:ascii="宋体" w:hAnsi="宋体" w:cs="宋体"/>
          <w:b w:val="0"/>
          <w:color w:val="auto"/>
          <w:sz w:val="24"/>
          <w:szCs w:val="24"/>
          <w:highlight w:val="none"/>
        </w:rPr>
        <w:t>（五）响应文件的递交</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响应文件的正本、副本均应密封送达磋商地点，应在封套上注明磋商项目名称、供应商名称。若正本、副本分别进行密封的，还应在封套上注明“正本”、“副本”字样。</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（六）供应商参与人员</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各个供应商应当派1-2名代表参与磋商，至少1人应为法定代表人（或其授权代表）或自然人（供应商为自然人）。</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四、成交供应商的确认和变更</w:t>
      </w:r>
      <w:bookmarkEnd w:id="61"/>
      <w:bookmarkEnd w:id="62"/>
      <w:bookmarkEnd w:id="63"/>
    </w:p>
    <w:p>
      <w:pPr>
        <w:pStyle w:val="5"/>
        <w:spacing w:before="0" w:after="0" w:line="360" w:lineRule="auto"/>
        <w:ind w:firstLine="480" w:firstLineChars="200"/>
        <w:rPr>
          <w:rFonts w:ascii="宋体" w:hAnsi="宋体" w:cs="宋体"/>
          <w:b w:val="0"/>
          <w:color w:val="auto"/>
          <w:sz w:val="24"/>
          <w:szCs w:val="24"/>
          <w:highlight w:val="none"/>
        </w:rPr>
      </w:pPr>
      <w:bookmarkStart w:id="64" w:name="_Toc9338"/>
      <w:bookmarkStart w:id="65" w:name="_Toc16678"/>
      <w:bookmarkStart w:id="66" w:name="_Toc342913395"/>
      <w:bookmarkStart w:id="67" w:name="_Toc12171"/>
      <w:bookmarkStart w:id="68" w:name="_Toc102227321"/>
      <w:r>
        <w:rPr>
          <w:rFonts w:hint="eastAsia" w:ascii="宋体" w:hAnsi="宋体" w:cs="宋体"/>
          <w:b w:val="0"/>
          <w:color w:val="auto"/>
          <w:sz w:val="24"/>
          <w:szCs w:val="24"/>
          <w:highlight w:val="none"/>
        </w:rPr>
        <w:t>（一）成交供应商的确认</w:t>
      </w:r>
    </w:p>
    <w:p>
      <w:pPr>
        <w:pStyle w:val="5"/>
        <w:spacing w:before="0" w:after="0" w:line="360" w:lineRule="auto"/>
        <w:ind w:firstLine="480" w:firstLineChars="200"/>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（二）成交供应商的变更</w:t>
      </w:r>
    </w:p>
    <w:p>
      <w:pPr>
        <w:pStyle w:val="5"/>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成交供应商拒绝与采购人签订合同的，采购人可以按照评标报告推荐的成交候选供应商顺序，确定排名下一位的候选人为成交供应商，也可以重新开展政府采购活动。</w:t>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五、成交通知</w:t>
      </w:r>
      <w:bookmarkEnd w:id="64"/>
      <w:bookmarkEnd w:id="65"/>
      <w:bookmarkEnd w:id="66"/>
      <w:bookmarkEnd w:id="67"/>
      <w:bookmarkEnd w:id="6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5"/>
        <w:spacing w:before="0" w:after="0" w:line="360" w:lineRule="auto"/>
        <w:rPr>
          <w:rFonts w:ascii="宋体" w:hAnsi="宋体" w:cs="宋体"/>
          <w:color w:val="auto"/>
          <w:sz w:val="24"/>
          <w:szCs w:val="24"/>
          <w:highlight w:val="none"/>
        </w:rPr>
      </w:pPr>
      <w:bookmarkStart w:id="69" w:name="_Toc14603"/>
      <w:bookmarkStart w:id="70" w:name="_Toc1331"/>
      <w:bookmarkStart w:id="71" w:name="_Toc4498"/>
      <w:r>
        <w:rPr>
          <w:rFonts w:hint="eastAsia" w:ascii="宋体" w:hAnsi="宋体" w:cs="宋体"/>
          <w:color w:val="auto"/>
          <w:sz w:val="24"/>
          <w:szCs w:val="24"/>
          <w:highlight w:val="none"/>
        </w:rPr>
        <w:t>六、关于咨询</w:t>
      </w:r>
      <w:bookmarkEnd w:id="69"/>
      <w:bookmarkEnd w:id="70"/>
      <w:bookmarkEnd w:id="7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1.质疑时限、内容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1.2.1供应商的姓名或者名称、地址、邮编、联系人及联系电话；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1.2.2质疑项目的名称、项目号以及磋商项目编号；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1.2.3具体、明确的质疑事项和与质疑事项相关的请求；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1.2.4事实依据；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1.2.5必要的法律依据；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1.2.6提出质疑的日期；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2.质疑答复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3.其他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3.2质疑函范本可在财政部门户网站和中国政府采购网下载。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5"/>
        <w:spacing w:before="0" w:after="0" w:line="360" w:lineRule="auto"/>
        <w:rPr>
          <w:rFonts w:ascii="宋体" w:hAnsi="宋体" w:cs="宋体"/>
          <w:color w:val="auto"/>
          <w:sz w:val="24"/>
          <w:szCs w:val="24"/>
          <w:highlight w:val="none"/>
        </w:rPr>
      </w:pPr>
      <w:bookmarkStart w:id="72" w:name="_Toc102227322"/>
      <w:bookmarkStart w:id="73" w:name="_Toc9382"/>
      <w:bookmarkStart w:id="74" w:name="_Toc9092"/>
      <w:bookmarkStart w:id="75" w:name="_Toc3254"/>
      <w:bookmarkStart w:id="76" w:name="_Toc342913396"/>
      <w:r>
        <w:rPr>
          <w:rFonts w:hint="eastAsia" w:ascii="宋体" w:hAnsi="宋体" w:cs="宋体"/>
          <w:color w:val="auto"/>
          <w:sz w:val="24"/>
          <w:szCs w:val="24"/>
          <w:highlight w:val="none"/>
        </w:rPr>
        <w:t>七、签订</w:t>
      </w:r>
      <w:bookmarkEnd w:id="72"/>
      <w:r>
        <w:rPr>
          <w:rFonts w:hint="eastAsia" w:ascii="宋体" w:hAnsi="宋体" w:cs="宋体"/>
          <w:color w:val="auto"/>
          <w:sz w:val="24"/>
          <w:szCs w:val="24"/>
          <w:highlight w:val="none"/>
        </w:rPr>
        <w:t>合同</w:t>
      </w:r>
      <w:bookmarkEnd w:id="73"/>
      <w:bookmarkEnd w:id="74"/>
      <w:bookmarkEnd w:id="75"/>
      <w:bookmarkEnd w:id="76"/>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14"/>
        <w:tabs>
          <w:tab w:val="left" w:pos="1260"/>
          <w:tab w:val="left" w:pos="1685"/>
          <w:tab w:val="right" w:leader="dot" w:pos="8400"/>
        </w:tabs>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八、政府采购信用融资</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4"/>
        <w:spacing w:line="360" w:lineRule="auto"/>
        <w:jc w:val="both"/>
        <w:rPr>
          <w:rFonts w:ascii="宋体" w:hAnsi="宋体" w:eastAsia="宋体" w:cs="宋体"/>
          <w:b w:val="0"/>
          <w:color w:val="auto"/>
          <w:sz w:val="36"/>
          <w:szCs w:val="30"/>
          <w:highlight w:val="none"/>
        </w:rPr>
      </w:pPr>
      <w:r>
        <w:rPr>
          <w:rFonts w:hint="eastAsia" w:ascii="宋体" w:hAnsi="宋体" w:eastAsia="宋体" w:cs="宋体"/>
          <w:b w:val="0"/>
          <w:color w:val="auto"/>
          <w:kern w:val="2"/>
          <w:sz w:val="24"/>
          <w:szCs w:val="24"/>
          <w:highlight w:val="none"/>
          <w:lang w:val="en-US" w:eastAsia="zh-CN" w:bidi="ar-SA"/>
        </w:rPr>
        <w:t>18580766891。</w:t>
      </w:r>
      <w:r>
        <w:rPr>
          <w:rFonts w:hint="eastAsia" w:ascii="宋体" w:hAnsi="宋体" w:eastAsia="宋体" w:cs="宋体"/>
          <w:color w:val="auto"/>
          <w:sz w:val="36"/>
          <w:szCs w:val="30"/>
          <w:highlight w:val="none"/>
        </w:rPr>
        <w:br w:type="page"/>
      </w:r>
      <w:bookmarkStart w:id="77" w:name="_Toc54279010"/>
      <w:r>
        <w:rPr>
          <w:rFonts w:hint="eastAsia" w:ascii="宋体" w:hAnsi="宋体" w:eastAsia="宋体" w:cs="宋体"/>
          <w:b w:val="0"/>
          <w:color w:val="auto"/>
          <w:sz w:val="36"/>
          <w:szCs w:val="30"/>
          <w:highlight w:val="none"/>
        </w:rPr>
        <w:t xml:space="preserve">第六篇  </w:t>
      </w:r>
      <w:bookmarkEnd w:id="45"/>
      <w:bookmarkEnd w:id="46"/>
      <w:r>
        <w:rPr>
          <w:rFonts w:hint="eastAsia" w:ascii="宋体" w:hAnsi="宋体" w:eastAsia="宋体" w:cs="宋体"/>
          <w:b w:val="0"/>
          <w:color w:val="auto"/>
          <w:sz w:val="36"/>
          <w:szCs w:val="30"/>
          <w:highlight w:val="none"/>
        </w:rPr>
        <w:t>合同</w:t>
      </w:r>
      <w:bookmarkEnd w:id="77"/>
    </w:p>
    <w:p>
      <w:pPr>
        <w:tabs>
          <w:tab w:val="left" w:pos="9000"/>
        </w:tabs>
        <w:spacing w:line="360" w:lineRule="auto"/>
        <w:jc w:val="center"/>
        <w:rPr>
          <w:rFonts w:ascii="宋体" w:hAnsi="宋体" w:cs="宋体"/>
          <w:color w:val="auto"/>
          <w:sz w:val="21"/>
          <w:szCs w:val="21"/>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highlight w:val="none"/>
        </w:rPr>
        <w:t>格式自拟</w:t>
      </w:r>
    </w:p>
    <w:p>
      <w:pPr>
        <w:pStyle w:val="4"/>
        <w:spacing w:before="0" w:after="0" w:line="312" w:lineRule="auto"/>
        <w:jc w:val="center"/>
        <w:rPr>
          <w:rFonts w:ascii="宋体" w:hAnsi="宋体" w:eastAsia="宋体" w:cs="宋体"/>
          <w:bCs/>
          <w:color w:val="auto"/>
          <w:sz w:val="36"/>
          <w:szCs w:val="30"/>
          <w:highlight w:val="none"/>
        </w:rPr>
      </w:pPr>
      <w:bookmarkStart w:id="78" w:name="_Hlt41879464"/>
      <w:bookmarkEnd w:id="78"/>
      <w:bookmarkStart w:id="79" w:name="_Toc12789072"/>
      <w:bookmarkStart w:id="80" w:name="_Toc3907"/>
      <w:bookmarkStart w:id="81" w:name="_Toc29402"/>
      <w:bookmarkStart w:id="82" w:name="_Toc32160"/>
      <w:bookmarkStart w:id="83" w:name="_Toc342913419"/>
      <w:bookmarkStart w:id="84" w:name="_Toc313888360"/>
      <w:bookmarkStart w:id="85" w:name="_Toc313008356"/>
      <w:bookmarkStart w:id="86" w:name="_Toc54279012"/>
      <w:bookmarkStart w:id="87" w:name="_Toc12789073"/>
      <w:bookmarkStart w:id="88" w:name="_Toc283382454"/>
      <w:r>
        <w:rPr>
          <w:rFonts w:hint="eastAsia" w:ascii="宋体" w:hAnsi="宋体" w:eastAsia="宋体" w:cs="宋体"/>
          <w:bCs/>
          <w:color w:val="auto"/>
          <w:sz w:val="36"/>
          <w:szCs w:val="30"/>
          <w:highlight w:val="none"/>
        </w:rPr>
        <w:t xml:space="preserve">第七篇  </w:t>
      </w:r>
      <w:bookmarkEnd w:id="79"/>
      <w:r>
        <w:rPr>
          <w:rFonts w:hint="eastAsia" w:ascii="宋体" w:hAnsi="宋体" w:eastAsia="宋体" w:cs="宋体"/>
          <w:bCs/>
          <w:color w:val="auto"/>
          <w:sz w:val="36"/>
          <w:szCs w:val="30"/>
          <w:highlight w:val="none"/>
        </w:rPr>
        <w:t>响应文件编制要求</w:t>
      </w:r>
      <w:bookmarkEnd w:id="80"/>
      <w:bookmarkEnd w:id="81"/>
      <w:bookmarkEnd w:id="82"/>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5"/>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hint="eastAsia"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一、经济部分</w:t>
      </w:r>
      <w:bookmarkEnd w:id="83"/>
      <w:bookmarkEnd w:id="84"/>
      <w:bookmarkEnd w:id="85"/>
      <w:bookmarkEnd w:id="86"/>
    </w:p>
    <w:bookmarkEnd w:id="87"/>
    <w:bookmarkEnd w:id="88"/>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jc w:val="center"/>
        <w:rPr>
          <w:rFonts w:ascii="宋体" w:hAnsi="宋体" w:cs="宋体"/>
          <w:b/>
          <w:color w:val="auto"/>
          <w:szCs w:val="28"/>
          <w:highlight w:val="none"/>
        </w:rPr>
      </w:pPr>
      <w:r>
        <w:rPr>
          <w:rFonts w:hint="eastAsia" w:ascii="宋体" w:hAnsi="宋体" w:cs="宋体"/>
          <w:b/>
          <w:color w:val="auto"/>
          <w:szCs w:val="28"/>
          <w:highlight w:val="none"/>
        </w:rPr>
        <w:t>竞争性磋商报价函</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（采购人名称）</w:t>
      </w:r>
      <w:r>
        <w:rPr>
          <w:rFonts w:hint="eastAsia" w:ascii="宋体" w:hAnsi="宋体" w:cs="宋体"/>
          <w:color w:val="auto"/>
          <w:sz w:val="24"/>
          <w:szCs w:val="24"/>
          <w:highlight w:val="none"/>
        </w:rPr>
        <w:t>：</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1、愿意按照竞争性磋商文件中的一切要求，提供本项目的服务费初始报价为人民币：</w:t>
      </w:r>
      <w:r>
        <w:rPr>
          <w:rFonts w:hint="eastAsia" w:ascii="宋体" w:hAnsi="宋体" w:cs="宋体"/>
          <w:color w:val="auto"/>
          <w:sz w:val="24"/>
          <w:szCs w:val="24"/>
          <w:highlight w:val="none"/>
          <w:u w:val="none"/>
        </w:rPr>
        <w:t xml:space="preserve">   </w:t>
      </w:r>
      <w:r>
        <w:rPr>
          <w:rFonts w:hint="eastAsia" w:ascii="宋体" w:hAnsi="宋体" w:cs="宋体"/>
          <w:color w:val="auto"/>
          <w:sz w:val="24"/>
          <w:szCs w:val="24"/>
          <w:highlight w:val="none"/>
        </w:rPr>
        <w:t>元</w:t>
      </w:r>
      <w:r>
        <w:rPr>
          <w:rFonts w:hint="eastAsia" w:ascii="宋体" w:hAnsi="宋体" w:cs="宋体"/>
          <w:color w:val="auto"/>
          <w:sz w:val="24"/>
          <w:szCs w:val="24"/>
          <w:highlight w:val="none"/>
          <w:lang w:eastAsia="zh-CN"/>
        </w:rPr>
        <w:t>，大写：</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。以我公司最后报价为准。</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竞标人（公章）：</w:t>
      </w:r>
    </w:p>
    <w:p>
      <w:pPr>
        <w:snapToGrid w:val="0"/>
        <w:spacing w:line="312" w:lineRule="auto"/>
        <w:ind w:firstLine="480" w:firstLineChars="200"/>
        <w:rPr>
          <w:rFonts w:ascii="宋体" w:hAnsi="宋体" w:cs="宋体"/>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 xml:space="preserve">                                                  年   月  日</w:t>
      </w:r>
    </w:p>
    <w:p>
      <w:pPr>
        <w:pStyle w:val="5"/>
        <w:spacing w:before="0" w:after="0" w:line="312" w:lineRule="auto"/>
        <w:rPr>
          <w:rFonts w:ascii="宋体" w:hAnsi="宋体" w:cs="宋体"/>
          <w:color w:val="auto"/>
          <w:sz w:val="24"/>
          <w:szCs w:val="24"/>
          <w:highlight w:val="none"/>
        </w:rPr>
      </w:pPr>
      <w:bookmarkStart w:id="89" w:name="_Toc313888361"/>
      <w:bookmarkStart w:id="90" w:name="_Toc9573"/>
      <w:bookmarkStart w:id="91" w:name="_Toc313008357"/>
      <w:bookmarkStart w:id="92" w:name="_Toc24044"/>
      <w:bookmarkStart w:id="93" w:name="_Toc342913420"/>
      <w:bookmarkStart w:id="94" w:name="_Toc5448"/>
      <w:r>
        <w:rPr>
          <w:rFonts w:hint="eastAsia" w:ascii="宋体" w:hAnsi="宋体" w:cs="宋体"/>
          <w:color w:val="auto"/>
          <w:sz w:val="24"/>
          <w:szCs w:val="24"/>
          <w:highlight w:val="none"/>
        </w:rPr>
        <w:t>二、服务部分</w:t>
      </w:r>
      <w:bookmarkEnd w:id="89"/>
      <w:bookmarkEnd w:id="90"/>
      <w:bookmarkEnd w:id="91"/>
      <w:bookmarkEnd w:id="92"/>
      <w:bookmarkEnd w:id="93"/>
      <w:bookmarkEnd w:id="94"/>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10"/>
        <w:tabs>
          <w:tab w:val="left" w:pos="6300"/>
        </w:tabs>
        <w:snapToGrid w:val="0"/>
        <w:spacing w:line="312" w:lineRule="auto"/>
        <w:ind w:firstLine="480" w:firstLineChars="200"/>
        <w:outlineLvl w:val="0"/>
        <w:rPr>
          <w:rFonts w:ascii="宋体" w:hAnsi="宋体" w:cs="宋体"/>
          <w:color w:val="auto"/>
          <w:sz w:val="24"/>
          <w:highlight w:val="none"/>
        </w:rPr>
      </w:pPr>
    </w:p>
    <w:p>
      <w:pPr>
        <w:pStyle w:val="10"/>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w:t>
      </w:r>
      <w:r>
        <w:rPr>
          <w:rFonts w:hint="eastAsia" w:ascii="宋体" w:hAnsi="宋体" w:cs="宋体"/>
          <w:color w:val="auto"/>
          <w:sz w:val="24"/>
          <w:highlight w:val="none"/>
          <w:lang w:eastAsia="zh-CN"/>
        </w:rPr>
        <w:t>服务</w:t>
      </w:r>
      <w:r>
        <w:rPr>
          <w:rFonts w:hint="eastAsia" w:ascii="宋体" w:hAnsi="宋体" w:cs="宋体"/>
          <w:color w:val="auto"/>
          <w:sz w:val="24"/>
          <w:highlight w:val="none"/>
        </w:rPr>
        <w:t>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5"/>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b w:val="0"/>
          <w:color w:val="auto"/>
          <w:highlight w:val="none"/>
        </w:rPr>
      </w:pPr>
    </w:p>
    <w:p>
      <w:pPr>
        <w:pStyle w:val="5"/>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95" w:name="_Toc342913421"/>
      <w:bookmarkStart w:id="96" w:name="_Toc5445"/>
      <w:bookmarkStart w:id="97" w:name="_Toc313008358"/>
      <w:bookmarkStart w:id="98" w:name="_Toc30652"/>
      <w:bookmarkStart w:id="99" w:name="_Toc9361"/>
      <w:bookmarkStart w:id="100" w:name="_Toc313888362"/>
      <w:r>
        <w:rPr>
          <w:rFonts w:hint="eastAsia" w:ascii="宋体" w:hAnsi="宋体" w:cs="宋体"/>
          <w:color w:val="auto"/>
          <w:sz w:val="24"/>
          <w:szCs w:val="24"/>
          <w:highlight w:val="none"/>
        </w:rPr>
        <w:t>三、商务部分</w:t>
      </w:r>
      <w:bookmarkEnd w:id="95"/>
      <w:bookmarkEnd w:id="96"/>
      <w:bookmarkEnd w:id="97"/>
      <w:bookmarkEnd w:id="98"/>
      <w:bookmarkEnd w:id="99"/>
      <w:bookmarkEnd w:id="100"/>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101"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5"/>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101"/>
      <w:bookmarkStart w:id="102" w:name="_Toc13012"/>
      <w:bookmarkStart w:id="103" w:name="_Toc313888363"/>
      <w:bookmarkStart w:id="104" w:name="_Toc10102"/>
      <w:bookmarkStart w:id="105" w:name="_Toc5971"/>
      <w:bookmarkStart w:id="106" w:name="_Toc313008359"/>
      <w:bookmarkStart w:id="107" w:name="_Toc342913422"/>
      <w:r>
        <w:rPr>
          <w:rFonts w:hint="eastAsia" w:ascii="宋体" w:hAnsi="宋体" w:cs="宋体"/>
          <w:color w:val="auto"/>
          <w:sz w:val="24"/>
          <w:szCs w:val="24"/>
          <w:highlight w:val="none"/>
        </w:rPr>
        <w:t>四、资格条件及其他</w:t>
      </w:r>
      <w:bookmarkEnd w:id="102"/>
      <w:bookmarkEnd w:id="103"/>
      <w:bookmarkEnd w:id="104"/>
      <w:bookmarkEnd w:id="105"/>
      <w:bookmarkEnd w:id="106"/>
      <w:bookmarkEnd w:id="107"/>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hint="eastAsia" w:ascii="宋体" w:hAnsi="宋体" w:eastAsia="宋体" w:cs="宋体"/>
          <w:color w:val="auto"/>
          <w:sz w:val="24"/>
          <w:szCs w:val="24"/>
          <w:highlight w:val="none"/>
          <w:lang w:eastAsia="zh-CN"/>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4"/>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8" w:name="_Toc106030910"/>
      <w:bookmarkStart w:id="109" w:name="_Toc76462354"/>
      <w:bookmarkStart w:id="110" w:name="_Toc14422"/>
      <w:r>
        <w:rPr>
          <w:rFonts w:hint="eastAsia" w:asciiTheme="minorEastAsia" w:hAnsiTheme="minorEastAsia" w:eastAsiaTheme="minorEastAsia" w:cstheme="minorEastAsia"/>
          <w:color w:val="auto"/>
          <w:sz w:val="24"/>
          <w:highlight w:val="none"/>
        </w:rPr>
        <w:t>五、其他资料</w:t>
      </w:r>
      <w:bookmarkEnd w:id="108"/>
      <w:bookmarkEnd w:id="109"/>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ascii="方正仿宋_GBK" w:hAnsi="宋体" w:eastAsia="方正仿宋_GBK" w:cs="宋体"/>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4.本声明函“企业名称（盖章）”处为供应商盖章</w:t>
      </w:r>
      <w:r>
        <w:rPr>
          <w:rFonts w:hint="eastAsia" w:ascii="方正仿宋_GBK" w:hAnsi="宋体" w:eastAsia="方正仿宋_GBK" w:cs="宋体"/>
          <w:b/>
          <w:color w:val="auto"/>
          <w:kern w:val="0"/>
          <w:sz w:val="21"/>
          <w:szCs w:val="21"/>
          <w:highlight w:val="none"/>
        </w:rPr>
        <w:t>。</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bookmarkEnd w:id="110"/>
    <w:p>
      <w:pPr>
        <w:spacing w:line="312" w:lineRule="auto"/>
        <w:ind w:firstLine="3840" w:firstLineChars="1600"/>
        <w:rPr>
          <w:color w:val="auto"/>
          <w:highlight w:val="none"/>
        </w:rPr>
      </w:pPr>
      <w:r>
        <w:rPr>
          <w:rFonts w:hint="eastAsia" w:ascii="宋体" w:hAnsi="宋体" w:cs="宋体"/>
          <w:color w:val="auto"/>
          <w:sz w:val="24"/>
          <w:szCs w:val="24"/>
          <w:highlight w:val="none"/>
        </w:rPr>
        <w:t>（结束）</w:t>
      </w:r>
    </w:p>
    <w:p>
      <w:pPr>
        <w:rPr>
          <w:color w:val="auto"/>
          <w:highlight w:val="none"/>
        </w:rPr>
      </w:pPr>
    </w:p>
    <w:p>
      <w:pPr>
        <w:rPr>
          <w:color w:val="auto"/>
          <w:highlight w:val="none"/>
        </w:rPr>
      </w:pPr>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18"/>
        <w:rFonts w:ascii="宋体"/>
        <w:sz w:val="21"/>
        <w:szCs w:val="21"/>
      </w:rPr>
    </w:pPr>
    <w:r>
      <w:rPr>
        <w:rFonts w:ascii="宋体"/>
        <w:sz w:val="21"/>
        <w:szCs w:val="21"/>
      </w:rPr>
      <w:fldChar w:fldCharType="begin"/>
    </w:r>
    <w:r>
      <w:rPr>
        <w:rStyle w:val="18"/>
        <w:rFonts w:ascii="宋体"/>
        <w:sz w:val="21"/>
        <w:szCs w:val="21"/>
      </w:rPr>
      <w:instrText xml:space="preserve">PAGE  </w:instrText>
    </w:r>
    <w:r>
      <w:rPr>
        <w:rFonts w:ascii="宋体"/>
        <w:sz w:val="21"/>
        <w:szCs w:val="21"/>
      </w:rPr>
      <w:fldChar w:fldCharType="separate"/>
    </w:r>
    <w:r>
      <w:rPr>
        <w:rStyle w:val="18"/>
        <w:rFonts w:ascii="宋体"/>
        <w:sz w:val="21"/>
        <w:szCs w:val="21"/>
      </w:rPr>
      <w:t>- 3 -</w:t>
    </w:r>
    <w:r>
      <w:rPr>
        <w:rFonts w:ascii="宋体"/>
        <w:sz w:val="21"/>
        <w:szCs w:val="21"/>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p>
  <w:p>
    <w:pPr>
      <w:pStyle w:val="1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3C0B3"/>
    <w:multiLevelType w:val="singleLevel"/>
    <w:tmpl w:val="C383C0B3"/>
    <w:lvl w:ilvl="0" w:tentative="0">
      <w:start w:val="1"/>
      <w:numFmt w:val="decimal"/>
      <w:suff w:val="nothing"/>
      <w:lvlText w:val="%1、"/>
      <w:lvlJc w:val="left"/>
    </w:lvl>
  </w:abstractNum>
  <w:abstractNum w:abstractNumId="1">
    <w:nsid w:val="6AD80A59"/>
    <w:multiLevelType w:val="singleLevel"/>
    <w:tmpl w:val="6AD80A5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GM5ZDNlNWNkOWVkZjVhMTI5YWFkNzhkMjdjZDEifQ=="/>
  </w:docVars>
  <w:rsids>
    <w:rsidRoot w:val="3FE663C7"/>
    <w:rsid w:val="00510AE7"/>
    <w:rsid w:val="00D9023A"/>
    <w:rsid w:val="02173D49"/>
    <w:rsid w:val="025828F3"/>
    <w:rsid w:val="027F234E"/>
    <w:rsid w:val="02FA59F0"/>
    <w:rsid w:val="046E7FAC"/>
    <w:rsid w:val="054F22FD"/>
    <w:rsid w:val="061411D5"/>
    <w:rsid w:val="06402E70"/>
    <w:rsid w:val="068F4DD4"/>
    <w:rsid w:val="06BB50B8"/>
    <w:rsid w:val="06D40DEC"/>
    <w:rsid w:val="07AC2A56"/>
    <w:rsid w:val="081D7F8F"/>
    <w:rsid w:val="08320A0B"/>
    <w:rsid w:val="08541EE3"/>
    <w:rsid w:val="08EC72F8"/>
    <w:rsid w:val="08FE19B7"/>
    <w:rsid w:val="09046B22"/>
    <w:rsid w:val="098111A3"/>
    <w:rsid w:val="09C319E0"/>
    <w:rsid w:val="0A6C5FB1"/>
    <w:rsid w:val="0AB0077E"/>
    <w:rsid w:val="0AEB21A9"/>
    <w:rsid w:val="0BCD42E5"/>
    <w:rsid w:val="0C10190A"/>
    <w:rsid w:val="0C346CEE"/>
    <w:rsid w:val="0C7D5D71"/>
    <w:rsid w:val="0CA4428C"/>
    <w:rsid w:val="0CB66CCE"/>
    <w:rsid w:val="0CE312F6"/>
    <w:rsid w:val="0E212C21"/>
    <w:rsid w:val="0E5D0A0F"/>
    <w:rsid w:val="0E624708"/>
    <w:rsid w:val="0E745939"/>
    <w:rsid w:val="0F0E3557"/>
    <w:rsid w:val="0F381EC5"/>
    <w:rsid w:val="0FE469B6"/>
    <w:rsid w:val="101374AB"/>
    <w:rsid w:val="11137389"/>
    <w:rsid w:val="119A0C5A"/>
    <w:rsid w:val="119B6D6F"/>
    <w:rsid w:val="121E647A"/>
    <w:rsid w:val="121F69B6"/>
    <w:rsid w:val="12735DA7"/>
    <w:rsid w:val="133B5E92"/>
    <w:rsid w:val="14023132"/>
    <w:rsid w:val="14853B3D"/>
    <w:rsid w:val="14D92215"/>
    <w:rsid w:val="155F35CB"/>
    <w:rsid w:val="15DB0C2C"/>
    <w:rsid w:val="15EB2ED4"/>
    <w:rsid w:val="16365169"/>
    <w:rsid w:val="16367CB4"/>
    <w:rsid w:val="168D1C7B"/>
    <w:rsid w:val="171B64D3"/>
    <w:rsid w:val="17CB4B3A"/>
    <w:rsid w:val="18440FFA"/>
    <w:rsid w:val="18A6446B"/>
    <w:rsid w:val="19C21B12"/>
    <w:rsid w:val="19F623AF"/>
    <w:rsid w:val="1A532509"/>
    <w:rsid w:val="1ACE6650"/>
    <w:rsid w:val="1AEB6444"/>
    <w:rsid w:val="1B11314B"/>
    <w:rsid w:val="1B357510"/>
    <w:rsid w:val="1B702BAB"/>
    <w:rsid w:val="1BB31687"/>
    <w:rsid w:val="1CB33AD0"/>
    <w:rsid w:val="1DB960DF"/>
    <w:rsid w:val="1E43205F"/>
    <w:rsid w:val="1E7E6C25"/>
    <w:rsid w:val="1E8F4F49"/>
    <w:rsid w:val="1EE600CD"/>
    <w:rsid w:val="20305BE3"/>
    <w:rsid w:val="2190071D"/>
    <w:rsid w:val="219036FE"/>
    <w:rsid w:val="227C53B6"/>
    <w:rsid w:val="22E93E60"/>
    <w:rsid w:val="231465E6"/>
    <w:rsid w:val="23587CF6"/>
    <w:rsid w:val="237128B3"/>
    <w:rsid w:val="2446697F"/>
    <w:rsid w:val="2491107A"/>
    <w:rsid w:val="24BA3E6E"/>
    <w:rsid w:val="252D4F1C"/>
    <w:rsid w:val="25C871EC"/>
    <w:rsid w:val="26492FB4"/>
    <w:rsid w:val="28F012C3"/>
    <w:rsid w:val="291213A2"/>
    <w:rsid w:val="291742E7"/>
    <w:rsid w:val="29E4152C"/>
    <w:rsid w:val="2A4C17B6"/>
    <w:rsid w:val="2A4C60B2"/>
    <w:rsid w:val="2ADC0E0A"/>
    <w:rsid w:val="2B081480"/>
    <w:rsid w:val="2B110BFC"/>
    <w:rsid w:val="2BD732FC"/>
    <w:rsid w:val="2C335F5B"/>
    <w:rsid w:val="2C944CDB"/>
    <w:rsid w:val="2CD119A7"/>
    <w:rsid w:val="2D4D1BE6"/>
    <w:rsid w:val="2E1060C8"/>
    <w:rsid w:val="2E98041D"/>
    <w:rsid w:val="2EDF3614"/>
    <w:rsid w:val="2EE75977"/>
    <w:rsid w:val="30271A27"/>
    <w:rsid w:val="30617EF3"/>
    <w:rsid w:val="309732B2"/>
    <w:rsid w:val="31D83660"/>
    <w:rsid w:val="32D66581"/>
    <w:rsid w:val="338D7E74"/>
    <w:rsid w:val="33BA3212"/>
    <w:rsid w:val="33C51A98"/>
    <w:rsid w:val="33E641FE"/>
    <w:rsid w:val="340A3CB9"/>
    <w:rsid w:val="34557310"/>
    <w:rsid w:val="358A0B91"/>
    <w:rsid w:val="35FC71D6"/>
    <w:rsid w:val="36BA2BA0"/>
    <w:rsid w:val="36E130CD"/>
    <w:rsid w:val="36FC1341"/>
    <w:rsid w:val="36FE3A29"/>
    <w:rsid w:val="3790790B"/>
    <w:rsid w:val="37C947C0"/>
    <w:rsid w:val="384C440B"/>
    <w:rsid w:val="386D16BE"/>
    <w:rsid w:val="38777F82"/>
    <w:rsid w:val="38EF73C8"/>
    <w:rsid w:val="3AE969C9"/>
    <w:rsid w:val="3B167F90"/>
    <w:rsid w:val="3B203C72"/>
    <w:rsid w:val="3B3F3788"/>
    <w:rsid w:val="3B6C2AD2"/>
    <w:rsid w:val="3BA96A31"/>
    <w:rsid w:val="3C080AB6"/>
    <w:rsid w:val="3D184A34"/>
    <w:rsid w:val="3E2C3B8F"/>
    <w:rsid w:val="3EBD5FFF"/>
    <w:rsid w:val="3FD6577A"/>
    <w:rsid w:val="3FE663C7"/>
    <w:rsid w:val="40D37C6F"/>
    <w:rsid w:val="412B1CEF"/>
    <w:rsid w:val="419F5F96"/>
    <w:rsid w:val="42003B53"/>
    <w:rsid w:val="42A5248A"/>
    <w:rsid w:val="4498681E"/>
    <w:rsid w:val="450B5D74"/>
    <w:rsid w:val="463B2020"/>
    <w:rsid w:val="46463889"/>
    <w:rsid w:val="46772A10"/>
    <w:rsid w:val="46941653"/>
    <w:rsid w:val="46C16077"/>
    <w:rsid w:val="47F9451B"/>
    <w:rsid w:val="489E5A2C"/>
    <w:rsid w:val="491F5BE9"/>
    <w:rsid w:val="49291524"/>
    <w:rsid w:val="495028B5"/>
    <w:rsid w:val="49BF32F6"/>
    <w:rsid w:val="4A421AD5"/>
    <w:rsid w:val="4A5E13BE"/>
    <w:rsid w:val="4A7456CE"/>
    <w:rsid w:val="4AF92FBF"/>
    <w:rsid w:val="4B01531A"/>
    <w:rsid w:val="4B1C5459"/>
    <w:rsid w:val="4B880892"/>
    <w:rsid w:val="4BBF4062"/>
    <w:rsid w:val="4C774AA9"/>
    <w:rsid w:val="4CE515FF"/>
    <w:rsid w:val="4D995517"/>
    <w:rsid w:val="4E1F752C"/>
    <w:rsid w:val="4ECE2572"/>
    <w:rsid w:val="4EE11829"/>
    <w:rsid w:val="4EE9537E"/>
    <w:rsid w:val="4FE54153"/>
    <w:rsid w:val="508D625F"/>
    <w:rsid w:val="51420F3F"/>
    <w:rsid w:val="51740B4D"/>
    <w:rsid w:val="518221E5"/>
    <w:rsid w:val="51D52F65"/>
    <w:rsid w:val="52274105"/>
    <w:rsid w:val="531207D0"/>
    <w:rsid w:val="537865A9"/>
    <w:rsid w:val="53A56A01"/>
    <w:rsid w:val="54D179B9"/>
    <w:rsid w:val="54F351AA"/>
    <w:rsid w:val="55A619C0"/>
    <w:rsid w:val="55A81F32"/>
    <w:rsid w:val="55C2709C"/>
    <w:rsid w:val="56490C9C"/>
    <w:rsid w:val="56543844"/>
    <w:rsid w:val="56942B05"/>
    <w:rsid w:val="56F646C9"/>
    <w:rsid w:val="57143C78"/>
    <w:rsid w:val="57206A31"/>
    <w:rsid w:val="5825531E"/>
    <w:rsid w:val="587C469C"/>
    <w:rsid w:val="59891475"/>
    <w:rsid w:val="5AC829A9"/>
    <w:rsid w:val="5ADD5AAD"/>
    <w:rsid w:val="5AEF4847"/>
    <w:rsid w:val="5AF96F5B"/>
    <w:rsid w:val="5B3434B5"/>
    <w:rsid w:val="5B965758"/>
    <w:rsid w:val="5BBC0BFE"/>
    <w:rsid w:val="5C1F6DF0"/>
    <w:rsid w:val="5C735CD4"/>
    <w:rsid w:val="5DC50B19"/>
    <w:rsid w:val="5E370BAB"/>
    <w:rsid w:val="5FB72F1A"/>
    <w:rsid w:val="600E137C"/>
    <w:rsid w:val="60333267"/>
    <w:rsid w:val="603850D2"/>
    <w:rsid w:val="608203A4"/>
    <w:rsid w:val="609751E2"/>
    <w:rsid w:val="60B41A34"/>
    <w:rsid w:val="60C40834"/>
    <w:rsid w:val="60E62998"/>
    <w:rsid w:val="617960C2"/>
    <w:rsid w:val="61901438"/>
    <w:rsid w:val="619E5B8C"/>
    <w:rsid w:val="62626A23"/>
    <w:rsid w:val="628C2888"/>
    <w:rsid w:val="62B21225"/>
    <w:rsid w:val="62C93060"/>
    <w:rsid w:val="637B185B"/>
    <w:rsid w:val="637D2031"/>
    <w:rsid w:val="63CD6E2D"/>
    <w:rsid w:val="63F12F63"/>
    <w:rsid w:val="64090DE6"/>
    <w:rsid w:val="648A6DFB"/>
    <w:rsid w:val="64E9390C"/>
    <w:rsid w:val="64FC1EEA"/>
    <w:rsid w:val="653621E5"/>
    <w:rsid w:val="65C728DA"/>
    <w:rsid w:val="65E825DF"/>
    <w:rsid w:val="67A453B9"/>
    <w:rsid w:val="67B571B1"/>
    <w:rsid w:val="67B64D55"/>
    <w:rsid w:val="67E77C6A"/>
    <w:rsid w:val="684047D2"/>
    <w:rsid w:val="688E31DD"/>
    <w:rsid w:val="68D93B18"/>
    <w:rsid w:val="68F37107"/>
    <w:rsid w:val="691511B7"/>
    <w:rsid w:val="69672D80"/>
    <w:rsid w:val="69E33B3D"/>
    <w:rsid w:val="69FA2D6A"/>
    <w:rsid w:val="6ADC0910"/>
    <w:rsid w:val="6BE449EA"/>
    <w:rsid w:val="6C3B3B45"/>
    <w:rsid w:val="6C3B4E88"/>
    <w:rsid w:val="6CB2125D"/>
    <w:rsid w:val="6D3B2B00"/>
    <w:rsid w:val="6D4E71F0"/>
    <w:rsid w:val="6D7F4CB1"/>
    <w:rsid w:val="6DB00FD2"/>
    <w:rsid w:val="6FA379D5"/>
    <w:rsid w:val="71016CAF"/>
    <w:rsid w:val="71061C27"/>
    <w:rsid w:val="711523DB"/>
    <w:rsid w:val="7209259B"/>
    <w:rsid w:val="725D7ED0"/>
    <w:rsid w:val="72C4347F"/>
    <w:rsid w:val="72DA578D"/>
    <w:rsid w:val="739F5740"/>
    <w:rsid w:val="74AF1F46"/>
    <w:rsid w:val="74CB6CA1"/>
    <w:rsid w:val="754D218B"/>
    <w:rsid w:val="757038F5"/>
    <w:rsid w:val="75892B3B"/>
    <w:rsid w:val="75C81B92"/>
    <w:rsid w:val="75E6156F"/>
    <w:rsid w:val="75F6357C"/>
    <w:rsid w:val="7668303D"/>
    <w:rsid w:val="76FC2C27"/>
    <w:rsid w:val="7733710C"/>
    <w:rsid w:val="77852C76"/>
    <w:rsid w:val="77BB5C7F"/>
    <w:rsid w:val="78D76CC2"/>
    <w:rsid w:val="78DE38D0"/>
    <w:rsid w:val="791653AF"/>
    <w:rsid w:val="79652CF1"/>
    <w:rsid w:val="796A6CE4"/>
    <w:rsid w:val="79BF7ABD"/>
    <w:rsid w:val="79C46836"/>
    <w:rsid w:val="79FD6005"/>
    <w:rsid w:val="7B8231F1"/>
    <w:rsid w:val="7BBF7A98"/>
    <w:rsid w:val="7BE16971"/>
    <w:rsid w:val="7CF67812"/>
    <w:rsid w:val="7DCC21EE"/>
    <w:rsid w:val="7EBC7CEB"/>
    <w:rsid w:val="7EC56554"/>
    <w:rsid w:val="7F051082"/>
    <w:rsid w:val="7FBA49FE"/>
    <w:rsid w:val="7FCC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5">
    <w:name w:val="heading 3"/>
    <w:basedOn w:val="1"/>
    <w:next w:val="1"/>
    <w:qFormat/>
    <w:uiPriority w:val="0"/>
    <w:pPr>
      <w:keepNext/>
      <w:keepLines/>
      <w:spacing w:line="413" w:lineRule="auto"/>
      <w:outlineLvl w:val="2"/>
    </w:pPr>
    <w:rPr>
      <w:b/>
      <w:sz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pPr>
    <w:rPr>
      <w:rFonts w:ascii="宋体" w:hAnsi="宋体"/>
      <w:sz w:val="24"/>
    </w:rPr>
  </w:style>
  <w:style w:type="paragraph" w:styleId="3">
    <w:name w:val="Body Text"/>
    <w:basedOn w:val="1"/>
    <w:next w:val="1"/>
    <w:qFormat/>
    <w:uiPriority w:val="0"/>
    <w:rPr>
      <w:rFonts w:ascii="仿宋_GB2312" w:eastAsia="仿宋_GB2312"/>
      <w:sz w:val="32"/>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toc 5"/>
    <w:basedOn w:val="1"/>
    <w:next w:val="1"/>
    <w:qFormat/>
    <w:uiPriority w:val="0"/>
    <w:pPr>
      <w:ind w:left="1680" w:leftChars="800"/>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rPr>
      <w:rFonts w:ascii="Calibri" w:hAnsi="Calibri"/>
      <w:kern w:val="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before="120" w:after="120"/>
      <w:jc w:val="left"/>
    </w:pPr>
    <w:rPr>
      <w:caps/>
      <w:sz w:val="20"/>
    </w:rPr>
  </w:style>
  <w:style w:type="paragraph" w:styleId="15">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1"/>
    <w:basedOn w:val="1"/>
    <w:next w:val="9"/>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16823</Words>
  <Characters>17829</Characters>
  <Lines>0</Lines>
  <Paragraphs>0</Paragraphs>
  <TotalTime>2</TotalTime>
  <ScaleCrop>false</ScaleCrop>
  <LinksUpToDate>false</LinksUpToDate>
  <CharactersWithSpaces>18839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2023-04-06T07:30:00Z</dcterms:created>
  <dc:creator>王小勇</dc:creator>
  <cp:lastModifiedBy>肖良萍</cp:lastModifiedBy>
  <cp:lastPrinted>2023-08-17T06:13:00Z</cp:lastPrinted>
  <dcterms:modified xsi:type="dcterms:W3CDTF">2023-08-30T01:37:56Z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B24FE80903FD484CB7EC01A6A7E99F07_12</vt:lpwstr>
  </property>
</Properties>
</file>