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color w:val="auto"/>
          <w:highlight w:val="none"/>
          <w:lang w:val="en-US" w:eastAsia="zh-CN"/>
        </w:rPr>
      </w:pPr>
    </w:p>
    <w:p>
      <w:pPr>
        <w:jc w:val="center"/>
        <w:rPr>
          <w:rFonts w:ascii="宋体" w:hAnsi="宋体" w:cs="宋体"/>
          <w:color w:val="auto"/>
          <w:highlight w:val="none"/>
        </w:rPr>
      </w:pPr>
    </w:p>
    <w:p>
      <w:pPr>
        <w:jc w:val="center"/>
        <w:rPr>
          <w:rFonts w:ascii="宋体" w:hAnsi="宋体" w:cs="宋体"/>
          <w:color w:val="auto"/>
          <w:highlight w:val="none"/>
        </w:rPr>
      </w:pPr>
    </w:p>
    <w:p>
      <w:pPr>
        <w:jc w:val="center"/>
        <w:rPr>
          <w:rFonts w:ascii="宋体" w:hAnsi="宋体" w:cs="宋体"/>
          <w:color w:val="auto"/>
          <w:sz w:val="84"/>
          <w:szCs w:val="84"/>
          <w:highlight w:val="none"/>
        </w:rPr>
      </w:pPr>
    </w:p>
    <w:p>
      <w:pPr>
        <w:jc w:val="center"/>
        <w:rPr>
          <w:rFonts w:ascii="宋体" w:hAnsi="宋体" w:cs="宋体"/>
          <w:color w:val="auto"/>
          <w:sz w:val="84"/>
          <w:szCs w:val="84"/>
          <w:highlight w:val="none"/>
        </w:rPr>
      </w:pPr>
      <w:r>
        <w:rPr>
          <w:rFonts w:hint="eastAsia" w:ascii="宋体" w:hAnsi="宋体" w:cs="宋体"/>
          <w:color w:val="auto"/>
          <w:sz w:val="84"/>
          <w:szCs w:val="84"/>
          <w:highlight w:val="none"/>
        </w:rPr>
        <w:t>竞争性磋商文件</w:t>
      </w:r>
    </w:p>
    <w:p>
      <w:pPr>
        <w:spacing w:line="700" w:lineRule="exact"/>
        <w:jc w:val="center"/>
        <w:rPr>
          <w:rFonts w:ascii="宋体" w:hAnsi="宋体" w:cs="宋体"/>
          <w:color w:val="auto"/>
          <w:sz w:val="32"/>
          <w:highlight w:val="none"/>
        </w:rPr>
      </w:pPr>
    </w:p>
    <w:p>
      <w:pPr>
        <w:spacing w:line="700" w:lineRule="exact"/>
        <w:jc w:val="center"/>
        <w:rPr>
          <w:rFonts w:hint="eastAsia" w:ascii="宋体" w:hAnsi="宋体" w:eastAsia="宋体" w:cs="宋体"/>
          <w:color w:val="auto"/>
          <w:sz w:val="32"/>
          <w:highlight w:val="none"/>
          <w:lang w:eastAsia="zh-CN"/>
        </w:rPr>
      </w:pPr>
    </w:p>
    <w:p>
      <w:pPr>
        <w:spacing w:line="700" w:lineRule="exact"/>
        <w:jc w:val="center"/>
        <w:rPr>
          <w:rFonts w:ascii="宋体" w:hAnsi="宋体" w:cs="宋体"/>
          <w:color w:val="auto"/>
          <w:sz w:val="32"/>
          <w:highlight w:val="none"/>
        </w:rPr>
      </w:pPr>
    </w:p>
    <w:p>
      <w:pPr>
        <w:spacing w:line="700" w:lineRule="exact"/>
        <w:jc w:val="center"/>
        <w:rPr>
          <w:rFonts w:ascii="宋体" w:hAnsi="宋体" w:cs="宋体"/>
          <w:color w:val="auto"/>
          <w:sz w:val="32"/>
          <w:highlight w:val="none"/>
        </w:rPr>
      </w:pPr>
    </w:p>
    <w:p>
      <w:pPr>
        <w:spacing w:line="700" w:lineRule="exact"/>
        <w:ind w:left="3595" w:leftChars="384" w:hanging="2520" w:hangingChars="700"/>
        <w:rPr>
          <w:rFonts w:hint="eastAsia" w:ascii="宋体" w:hAnsi="宋体" w:eastAsia="宋体" w:cs="宋体"/>
          <w:color w:val="auto"/>
          <w:sz w:val="36"/>
          <w:szCs w:val="30"/>
          <w:highlight w:val="none"/>
          <w:lang w:val="en-US" w:eastAsia="zh-CN"/>
        </w:rPr>
      </w:pPr>
      <w:r>
        <w:rPr>
          <w:rFonts w:hint="eastAsia" w:ascii="宋体" w:hAnsi="宋体" w:cs="宋体"/>
          <w:color w:val="auto"/>
          <w:sz w:val="36"/>
          <w:szCs w:val="30"/>
          <w:highlight w:val="none"/>
        </w:rPr>
        <w:t>磋商项目名称：</w:t>
      </w:r>
      <w:r>
        <w:rPr>
          <w:rFonts w:hint="eastAsia" w:ascii="宋体" w:hAnsi="宋体" w:cs="宋体"/>
          <w:color w:val="auto"/>
          <w:sz w:val="36"/>
          <w:szCs w:val="30"/>
          <w:highlight w:val="none"/>
          <w:lang w:eastAsia="zh-CN"/>
        </w:rPr>
        <w:t>绿色工业园区评价报告编制项目采购</w:t>
      </w:r>
      <w:r>
        <w:rPr>
          <w:rFonts w:hint="eastAsia" w:ascii="宋体" w:hAnsi="宋体" w:cs="宋体"/>
          <w:color w:val="auto"/>
          <w:sz w:val="36"/>
          <w:szCs w:val="30"/>
          <w:highlight w:val="none"/>
          <w:lang w:val="en-US" w:eastAsia="zh-CN"/>
        </w:rPr>
        <w:t>(第二次）</w:t>
      </w:r>
    </w:p>
    <w:p>
      <w:pPr>
        <w:spacing w:line="700" w:lineRule="exact"/>
        <w:ind w:firstLine="1749" w:firstLineChars="486"/>
        <w:rPr>
          <w:rFonts w:ascii="宋体" w:hAnsi="宋体" w:cs="宋体"/>
          <w:color w:val="auto"/>
          <w:sz w:val="36"/>
          <w:szCs w:val="30"/>
          <w:highlight w:val="none"/>
        </w:rPr>
      </w:pPr>
    </w:p>
    <w:p>
      <w:pPr>
        <w:spacing w:line="700" w:lineRule="exact"/>
        <w:ind w:firstLine="1749" w:firstLineChars="486"/>
        <w:rPr>
          <w:rFonts w:ascii="宋体" w:hAnsi="宋体" w:cs="宋体"/>
          <w:color w:val="auto"/>
          <w:sz w:val="36"/>
          <w:szCs w:val="30"/>
          <w:highlight w:val="none"/>
        </w:rPr>
      </w:pPr>
    </w:p>
    <w:p>
      <w:pPr>
        <w:spacing w:line="700" w:lineRule="exact"/>
        <w:jc w:val="center"/>
        <w:rPr>
          <w:rFonts w:ascii="宋体" w:hAnsi="宋体" w:cs="宋体"/>
          <w:b/>
          <w:color w:val="auto"/>
          <w:sz w:val="30"/>
          <w:szCs w:val="30"/>
          <w:highlight w:val="none"/>
        </w:rPr>
      </w:pPr>
    </w:p>
    <w:p>
      <w:pPr>
        <w:spacing w:line="700" w:lineRule="exact"/>
        <w:ind w:left="2514" w:leftChars="512" w:hanging="1080" w:hangingChars="300"/>
        <w:rPr>
          <w:rFonts w:hint="eastAsia" w:ascii="宋体" w:hAnsi="宋体" w:eastAsia="宋体" w:cs="宋体"/>
          <w:color w:val="auto"/>
          <w:sz w:val="36"/>
          <w:szCs w:val="30"/>
          <w:highlight w:val="none"/>
        </w:rPr>
      </w:pPr>
      <w:r>
        <w:rPr>
          <w:rFonts w:hint="eastAsia" w:ascii="宋体" w:hAnsi="宋体" w:eastAsia="宋体" w:cs="宋体"/>
          <w:color w:val="auto"/>
          <w:sz w:val="36"/>
          <w:szCs w:val="30"/>
          <w:highlight w:val="none"/>
        </w:rPr>
        <w:t>采   购   人：重庆建桥实业发展有限公司</w:t>
      </w:r>
    </w:p>
    <w:p>
      <w:pPr>
        <w:spacing w:line="720" w:lineRule="exact"/>
        <w:jc w:val="center"/>
        <w:outlineLvl w:val="0"/>
        <w:rPr>
          <w:rFonts w:ascii="宋体" w:hAnsi="宋体" w:cs="宋体"/>
          <w:color w:val="auto"/>
          <w:sz w:val="36"/>
          <w:szCs w:val="30"/>
          <w:highlight w:val="none"/>
        </w:rPr>
      </w:pPr>
    </w:p>
    <w:p>
      <w:pPr>
        <w:spacing w:line="720" w:lineRule="exact"/>
        <w:jc w:val="center"/>
        <w:outlineLvl w:val="0"/>
        <w:rPr>
          <w:rFonts w:ascii="宋体" w:hAnsi="宋体" w:cs="宋体"/>
          <w:color w:val="auto"/>
          <w:sz w:val="36"/>
          <w:szCs w:val="30"/>
          <w:highlight w:val="none"/>
        </w:rPr>
      </w:pPr>
      <w:r>
        <w:rPr>
          <w:rFonts w:hint="eastAsia" w:ascii="宋体" w:hAnsi="宋体" w:cs="宋体"/>
          <w:color w:val="auto"/>
          <w:sz w:val="36"/>
          <w:szCs w:val="30"/>
          <w:highlight w:val="none"/>
        </w:rPr>
        <w:t>二〇二</w:t>
      </w:r>
      <w:r>
        <w:rPr>
          <w:rFonts w:hint="eastAsia" w:ascii="宋体" w:hAnsi="宋体" w:cs="宋体"/>
          <w:color w:val="auto"/>
          <w:sz w:val="36"/>
          <w:szCs w:val="30"/>
          <w:highlight w:val="none"/>
          <w:lang w:eastAsia="zh-CN"/>
        </w:rPr>
        <w:t>三</w:t>
      </w:r>
      <w:r>
        <w:rPr>
          <w:rFonts w:hint="eastAsia" w:ascii="宋体" w:hAnsi="宋体" w:cs="宋体"/>
          <w:color w:val="auto"/>
          <w:sz w:val="36"/>
          <w:szCs w:val="30"/>
          <w:highlight w:val="none"/>
        </w:rPr>
        <w:t>年</w:t>
      </w:r>
      <w:r>
        <w:rPr>
          <w:rFonts w:hint="eastAsia" w:ascii="宋体" w:hAnsi="宋体" w:cs="宋体"/>
          <w:color w:val="auto"/>
          <w:sz w:val="36"/>
          <w:szCs w:val="30"/>
          <w:highlight w:val="none"/>
          <w:lang w:eastAsia="zh-CN"/>
        </w:rPr>
        <w:t>八</w:t>
      </w:r>
      <w:r>
        <w:rPr>
          <w:rFonts w:hint="eastAsia" w:ascii="宋体" w:hAnsi="宋体" w:cs="宋体"/>
          <w:color w:val="auto"/>
          <w:sz w:val="36"/>
          <w:szCs w:val="30"/>
          <w:highlight w:val="none"/>
        </w:rPr>
        <w:t>月</w:t>
      </w:r>
    </w:p>
    <w:p>
      <w:pPr>
        <w:spacing w:line="480" w:lineRule="exact"/>
        <w:jc w:val="center"/>
        <w:outlineLvl w:val="0"/>
        <w:rPr>
          <w:rFonts w:ascii="宋体" w:hAnsi="宋体" w:cs="宋体"/>
          <w:color w:val="auto"/>
          <w:sz w:val="44"/>
          <w:szCs w:val="28"/>
          <w:highlight w:val="none"/>
        </w:rPr>
      </w:pPr>
      <w:r>
        <w:rPr>
          <w:rFonts w:hint="eastAsia" w:ascii="宋体" w:hAnsi="宋体" w:cs="宋体"/>
          <w:color w:val="auto"/>
          <w:sz w:val="44"/>
          <w:szCs w:val="28"/>
          <w:highlight w:val="none"/>
        </w:rPr>
        <w:br w:type="page"/>
      </w:r>
      <w:r>
        <w:rPr>
          <w:rFonts w:hint="eastAsia" w:ascii="宋体" w:hAnsi="宋体" w:cs="宋体"/>
          <w:color w:val="auto"/>
          <w:sz w:val="44"/>
          <w:szCs w:val="28"/>
          <w:highlight w:val="none"/>
        </w:rPr>
        <w:t>目   录</w:t>
      </w:r>
    </w:p>
    <w:p>
      <w:pPr>
        <w:pStyle w:val="15"/>
        <w:tabs>
          <w:tab w:val="right" w:leader="dot" w:pos="9402"/>
        </w:tabs>
        <w:ind w:left="560"/>
        <w:rPr>
          <w:rFonts w:ascii="宋体" w:hAnsi="宋体" w:cs="宋体"/>
          <w:color w:val="auto"/>
          <w:sz w:val="21"/>
          <w:szCs w:val="22"/>
          <w:highlight w:val="none"/>
        </w:rPr>
      </w:pP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TOC \o "1-3" \h \z </w:instrText>
      </w:r>
      <w:r>
        <w:rPr>
          <w:rFonts w:hint="eastAsia" w:ascii="宋体" w:hAnsi="宋体" w:cs="宋体"/>
          <w:color w:val="auto"/>
          <w:sz w:val="21"/>
          <w:szCs w:val="21"/>
          <w:highlight w:val="none"/>
        </w:rPr>
        <w:fldChar w:fldCharType="separate"/>
      </w:r>
      <w:r>
        <w:rPr>
          <w:color w:val="auto"/>
          <w:highlight w:val="none"/>
        </w:rPr>
        <w:fldChar w:fldCharType="begin"/>
      </w:r>
      <w:r>
        <w:rPr>
          <w:color w:val="auto"/>
          <w:highlight w:val="none"/>
        </w:rPr>
        <w:instrText xml:space="preserve"> HYPERLINK \l "_Toc54278968" </w:instrText>
      </w:r>
      <w:r>
        <w:rPr>
          <w:color w:val="auto"/>
          <w:highlight w:val="none"/>
        </w:rPr>
        <w:fldChar w:fldCharType="separate"/>
      </w:r>
      <w:r>
        <w:rPr>
          <w:rStyle w:val="19"/>
          <w:rFonts w:hint="eastAsia" w:ascii="宋体" w:hAnsi="宋体" w:cs="宋体"/>
          <w:color w:val="auto"/>
          <w:highlight w:val="none"/>
        </w:rPr>
        <w:t>第一篇  采购邀请书</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_Toc54278968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"_Toc54278969" </w:instrText>
      </w:r>
      <w:r>
        <w:rPr>
          <w:color w:val="auto"/>
          <w:highlight w:val="none"/>
        </w:rPr>
        <w:fldChar w:fldCharType="separate"/>
      </w:r>
      <w:r>
        <w:rPr>
          <w:rStyle w:val="19"/>
          <w:rFonts w:hint="eastAsia" w:ascii="宋体" w:hAnsi="宋体" w:cs="宋体"/>
          <w:color w:val="auto"/>
          <w:highlight w:val="none"/>
        </w:rPr>
        <w:t>一、竞争性磋商内容</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_Toc54278969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"_Toc54278970" </w:instrText>
      </w:r>
      <w:r>
        <w:rPr>
          <w:color w:val="auto"/>
          <w:highlight w:val="none"/>
        </w:rPr>
        <w:fldChar w:fldCharType="separate"/>
      </w:r>
      <w:r>
        <w:rPr>
          <w:rStyle w:val="19"/>
          <w:rFonts w:hint="eastAsia" w:ascii="宋体" w:hAnsi="宋体" w:cs="宋体"/>
          <w:color w:val="auto"/>
          <w:highlight w:val="none"/>
        </w:rPr>
        <w:t>二、资金来源</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_Toc54278970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"_Toc54278971" </w:instrText>
      </w:r>
      <w:r>
        <w:rPr>
          <w:color w:val="auto"/>
          <w:highlight w:val="none"/>
        </w:rPr>
        <w:fldChar w:fldCharType="separate"/>
      </w:r>
      <w:r>
        <w:rPr>
          <w:rStyle w:val="19"/>
          <w:rFonts w:hint="eastAsia" w:ascii="宋体" w:hAnsi="宋体" w:cs="宋体"/>
          <w:color w:val="auto"/>
          <w:highlight w:val="none"/>
        </w:rPr>
        <w:t>三、供应商资格条件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_Toc54278971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Style w:val="19"/>
          <w:rFonts w:ascii="宋体" w:hAnsi="宋体" w:cs="宋体"/>
          <w:color w:val="auto"/>
          <w:highlight w:val="none"/>
        </w:rPr>
      </w:pPr>
      <w:r>
        <w:rPr>
          <w:color w:val="auto"/>
          <w:highlight w:val="none"/>
        </w:rPr>
        <w:fldChar w:fldCharType="begin"/>
      </w:r>
      <w:r>
        <w:rPr>
          <w:color w:val="auto"/>
          <w:highlight w:val="none"/>
        </w:rPr>
        <w:instrText xml:space="preserve"> HYPERLINK \l "_Toc54278972" </w:instrText>
      </w:r>
      <w:r>
        <w:rPr>
          <w:color w:val="auto"/>
          <w:highlight w:val="none"/>
        </w:rPr>
        <w:fldChar w:fldCharType="separate"/>
      </w:r>
      <w:r>
        <w:rPr>
          <w:rStyle w:val="19"/>
          <w:rFonts w:hint="eastAsia" w:ascii="宋体" w:hAnsi="宋体" w:cs="宋体"/>
          <w:color w:val="auto"/>
          <w:highlight w:val="none"/>
        </w:rPr>
        <w:t>四、磋商有关说明</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_Toc54278972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Style w:val="19"/>
          <w:rFonts w:ascii="宋体" w:hAnsi="宋体" w:cs="宋体"/>
          <w:color w:val="auto"/>
          <w:highlight w:val="none"/>
        </w:rPr>
      </w:pPr>
      <w:r>
        <w:rPr>
          <w:color w:val="auto"/>
          <w:highlight w:val="none"/>
        </w:rPr>
        <w:fldChar w:fldCharType="begin"/>
      </w:r>
      <w:r>
        <w:rPr>
          <w:color w:val="auto"/>
          <w:highlight w:val="none"/>
        </w:rPr>
        <w:instrText xml:space="preserve"> HYPERLINK \l "_Toc54278972" </w:instrText>
      </w:r>
      <w:r>
        <w:rPr>
          <w:color w:val="auto"/>
          <w:highlight w:val="none"/>
        </w:rPr>
        <w:fldChar w:fldCharType="separate"/>
      </w:r>
      <w:r>
        <w:rPr>
          <w:rStyle w:val="19"/>
          <w:rFonts w:hint="eastAsia" w:ascii="宋体" w:hAnsi="宋体" w:cs="宋体"/>
          <w:color w:val="auto"/>
          <w:highlight w:val="none"/>
        </w:rPr>
        <w:t>五、磋商保证金</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_Toc54278972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highlight w:val="none"/>
          <w:u w:val="single"/>
        </w:rPr>
      </w:pPr>
      <w:r>
        <w:rPr>
          <w:color w:val="auto"/>
          <w:highlight w:val="none"/>
        </w:rPr>
        <w:fldChar w:fldCharType="begin"/>
      </w:r>
      <w:r>
        <w:rPr>
          <w:color w:val="auto"/>
          <w:highlight w:val="none"/>
        </w:rPr>
        <w:instrText xml:space="preserve"> HYPERLINK \l "_Toc54278972" </w:instrText>
      </w:r>
      <w:r>
        <w:rPr>
          <w:color w:val="auto"/>
          <w:highlight w:val="none"/>
        </w:rPr>
        <w:fldChar w:fldCharType="separate"/>
      </w:r>
      <w:r>
        <w:rPr>
          <w:rStyle w:val="19"/>
          <w:rFonts w:hint="eastAsia" w:ascii="宋体" w:hAnsi="宋体" w:cs="宋体"/>
          <w:color w:val="auto"/>
          <w:highlight w:val="none"/>
        </w:rPr>
        <w:t>六、履约保证金</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_Toc54278972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"_Toc54278973" </w:instrText>
      </w:r>
      <w:r>
        <w:rPr>
          <w:color w:val="auto"/>
          <w:highlight w:val="none"/>
        </w:rPr>
        <w:fldChar w:fldCharType="separate"/>
      </w:r>
      <w:r>
        <w:rPr>
          <w:rStyle w:val="19"/>
          <w:rFonts w:hint="eastAsia" w:ascii="宋体" w:hAnsi="宋体" w:cs="宋体"/>
          <w:color w:val="auto"/>
          <w:highlight w:val="none"/>
        </w:rPr>
        <w:t>七、采购项目需落实的政府采购政策</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_Toc54278973 \h </w:instrText>
      </w:r>
      <w:r>
        <w:rPr>
          <w:rFonts w:hint="eastAsia" w:ascii="宋体" w:hAnsi="宋体" w:cs="宋体"/>
          <w:color w:val="auto"/>
          <w:highlight w:val="none"/>
        </w:rPr>
        <w:fldChar w:fldCharType="separate"/>
      </w:r>
      <w:r>
        <w:rPr>
          <w:rFonts w:hint="eastAsia" w:ascii="宋体" w:hAnsi="宋体" w:cs="宋体"/>
          <w:color w:val="auto"/>
          <w:highlight w:val="none"/>
        </w:rPr>
        <w:t>- 5 -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"_Toc54278974" </w:instrText>
      </w:r>
      <w:r>
        <w:rPr>
          <w:color w:val="auto"/>
          <w:highlight w:val="none"/>
        </w:rPr>
        <w:fldChar w:fldCharType="separate"/>
      </w:r>
      <w:r>
        <w:rPr>
          <w:rStyle w:val="19"/>
          <w:rFonts w:hint="eastAsia" w:ascii="宋体" w:hAnsi="宋体" w:cs="宋体"/>
          <w:color w:val="auto"/>
          <w:highlight w:val="none"/>
        </w:rPr>
        <w:t>八、其它有关规定</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_Toc54278974 \h </w:instrText>
      </w:r>
      <w:r>
        <w:rPr>
          <w:rFonts w:hint="eastAsia" w:ascii="宋体" w:hAnsi="宋体" w:cs="宋体"/>
          <w:color w:val="auto"/>
          <w:highlight w:val="none"/>
        </w:rPr>
        <w:fldChar w:fldCharType="separate"/>
      </w:r>
      <w:r>
        <w:rPr>
          <w:rFonts w:hint="eastAsia" w:ascii="宋体" w:hAnsi="宋体" w:cs="宋体"/>
          <w:color w:val="auto"/>
          <w:highlight w:val="none"/>
        </w:rPr>
        <w:t>- 6 -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"_Toc54278975" </w:instrText>
      </w:r>
      <w:r>
        <w:rPr>
          <w:color w:val="auto"/>
          <w:highlight w:val="none"/>
        </w:rPr>
        <w:fldChar w:fldCharType="separate"/>
      </w:r>
      <w:r>
        <w:rPr>
          <w:rStyle w:val="19"/>
          <w:rFonts w:hint="eastAsia" w:ascii="宋体" w:hAnsi="宋体" w:cs="宋体"/>
          <w:color w:val="auto"/>
          <w:highlight w:val="none"/>
        </w:rPr>
        <w:t>九、联系方式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_Toc54278975 \h </w:instrText>
      </w:r>
      <w:r>
        <w:rPr>
          <w:rFonts w:hint="eastAsia" w:ascii="宋体" w:hAnsi="宋体" w:cs="宋体"/>
          <w:color w:val="auto"/>
          <w:highlight w:val="none"/>
        </w:rPr>
        <w:fldChar w:fldCharType="separate"/>
      </w:r>
      <w:r>
        <w:rPr>
          <w:rFonts w:hint="eastAsia" w:ascii="宋体" w:hAnsi="宋体" w:cs="宋体"/>
          <w:color w:val="auto"/>
          <w:highlight w:val="none"/>
        </w:rPr>
        <w:t>- 6 -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"_Toc54278977" </w:instrText>
      </w:r>
      <w:r>
        <w:rPr>
          <w:color w:val="auto"/>
          <w:highlight w:val="none"/>
        </w:rPr>
        <w:fldChar w:fldCharType="separate"/>
      </w:r>
      <w:r>
        <w:rPr>
          <w:rStyle w:val="19"/>
          <w:rFonts w:hint="eastAsia" w:ascii="宋体" w:hAnsi="宋体" w:cs="宋体"/>
          <w:color w:val="auto"/>
          <w:highlight w:val="none"/>
        </w:rPr>
        <w:t>第二篇  项目服务需求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_Toc54278977 \h </w:instrText>
      </w:r>
      <w:r>
        <w:rPr>
          <w:rFonts w:hint="eastAsia" w:ascii="宋体" w:hAnsi="宋体" w:cs="宋体"/>
          <w:color w:val="auto"/>
          <w:highlight w:val="none"/>
        </w:rPr>
        <w:fldChar w:fldCharType="separate"/>
      </w:r>
      <w:r>
        <w:rPr>
          <w:rFonts w:hint="eastAsia" w:ascii="宋体" w:hAnsi="宋体" w:cs="宋体"/>
          <w:color w:val="auto"/>
          <w:highlight w:val="none"/>
        </w:rPr>
        <w:t>- 6 -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"_Toc54278978" </w:instrText>
      </w:r>
      <w:r>
        <w:rPr>
          <w:color w:val="auto"/>
          <w:highlight w:val="none"/>
        </w:rPr>
        <w:fldChar w:fldCharType="separate"/>
      </w:r>
      <w:r>
        <w:rPr>
          <w:rStyle w:val="19"/>
          <w:rFonts w:hint="eastAsia" w:ascii="宋体" w:hAnsi="宋体" w:cs="宋体"/>
          <w:color w:val="auto"/>
          <w:highlight w:val="none"/>
        </w:rPr>
        <w:t>一、建设地点</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_Toc54278977 \h </w:instrText>
      </w:r>
      <w:r>
        <w:rPr>
          <w:rFonts w:hint="eastAsia" w:ascii="宋体" w:hAnsi="宋体" w:cs="宋体"/>
          <w:color w:val="auto"/>
          <w:highlight w:val="none"/>
        </w:rPr>
        <w:fldChar w:fldCharType="separate"/>
      </w:r>
      <w:r>
        <w:rPr>
          <w:rFonts w:hint="eastAsia" w:ascii="宋体" w:hAnsi="宋体" w:cs="宋体"/>
          <w:color w:val="auto"/>
          <w:highlight w:val="none"/>
        </w:rPr>
        <w:t>- 6 -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"_Toc54278979" </w:instrText>
      </w:r>
      <w:r>
        <w:rPr>
          <w:color w:val="auto"/>
          <w:highlight w:val="none"/>
        </w:rPr>
        <w:fldChar w:fldCharType="separate"/>
      </w:r>
      <w:r>
        <w:rPr>
          <w:rStyle w:val="19"/>
          <w:rFonts w:hint="eastAsia" w:ascii="宋体" w:hAnsi="宋体" w:cs="宋体"/>
          <w:color w:val="auto"/>
          <w:highlight w:val="none"/>
        </w:rPr>
        <w:t>二、建设规模</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_Toc54278977 \h </w:instrText>
      </w:r>
      <w:r>
        <w:rPr>
          <w:rFonts w:hint="eastAsia" w:ascii="宋体" w:hAnsi="宋体" w:cs="宋体"/>
          <w:color w:val="auto"/>
          <w:highlight w:val="none"/>
        </w:rPr>
        <w:fldChar w:fldCharType="separate"/>
      </w:r>
      <w:r>
        <w:rPr>
          <w:rFonts w:hint="eastAsia" w:ascii="宋体" w:hAnsi="宋体" w:cs="宋体"/>
          <w:color w:val="auto"/>
          <w:highlight w:val="none"/>
        </w:rPr>
        <w:t>- 6 -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"_Toc54278984" </w:instrText>
      </w:r>
      <w:r>
        <w:rPr>
          <w:color w:val="auto"/>
          <w:highlight w:val="none"/>
        </w:rPr>
        <w:fldChar w:fldCharType="separate"/>
      </w:r>
      <w:r>
        <w:rPr>
          <w:rStyle w:val="19"/>
          <w:rFonts w:hint="eastAsia" w:ascii="宋体" w:hAnsi="宋体" w:cs="宋体"/>
          <w:color w:val="auto"/>
          <w:highlight w:val="none"/>
        </w:rPr>
        <w:t>第三篇  项目商务需求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_Toc54278984 \h </w:instrText>
      </w:r>
      <w:r>
        <w:rPr>
          <w:rFonts w:hint="eastAsia" w:ascii="宋体" w:hAnsi="宋体" w:cs="宋体"/>
          <w:color w:val="auto"/>
          <w:highlight w:val="none"/>
        </w:rPr>
        <w:fldChar w:fldCharType="separate"/>
      </w:r>
      <w:r>
        <w:rPr>
          <w:rFonts w:hint="eastAsia" w:ascii="宋体" w:hAnsi="宋体" w:cs="宋体"/>
          <w:color w:val="auto"/>
          <w:highlight w:val="none"/>
        </w:rPr>
        <w:t>- 7 -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"_Toc54278985" </w:instrText>
      </w:r>
      <w:r>
        <w:rPr>
          <w:color w:val="auto"/>
          <w:highlight w:val="none"/>
        </w:rPr>
        <w:fldChar w:fldCharType="separate"/>
      </w:r>
      <w:r>
        <w:rPr>
          <w:rStyle w:val="19"/>
          <w:rFonts w:hint="eastAsia" w:ascii="宋体" w:hAnsi="宋体" w:cs="宋体"/>
          <w:color w:val="auto"/>
          <w:highlight w:val="none"/>
        </w:rPr>
        <w:t>一、服务期、地点及验收方式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_Toc54278985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"_Toc54278986" </w:instrText>
      </w:r>
      <w:r>
        <w:rPr>
          <w:color w:val="auto"/>
          <w:highlight w:val="none"/>
        </w:rPr>
        <w:fldChar w:fldCharType="separate"/>
      </w:r>
      <w:r>
        <w:rPr>
          <w:rStyle w:val="19"/>
          <w:rFonts w:hint="eastAsia" w:ascii="宋体" w:hAnsi="宋体" w:cs="宋体"/>
          <w:color w:val="auto"/>
          <w:highlight w:val="none"/>
        </w:rPr>
        <w:t>二、报价要求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_Toc54278986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"_Toc54278987" </w:instrText>
      </w:r>
      <w:r>
        <w:rPr>
          <w:color w:val="auto"/>
          <w:highlight w:val="none"/>
        </w:rPr>
        <w:fldChar w:fldCharType="separate"/>
      </w:r>
      <w:r>
        <w:rPr>
          <w:rStyle w:val="19"/>
          <w:rFonts w:hint="eastAsia" w:ascii="宋体" w:hAnsi="宋体" w:cs="宋体"/>
          <w:color w:val="auto"/>
          <w:highlight w:val="none"/>
        </w:rPr>
        <w:t>三、结算原则</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_Toc54278987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"_Toc54278988" </w:instrText>
      </w:r>
      <w:r>
        <w:rPr>
          <w:color w:val="auto"/>
          <w:highlight w:val="none"/>
        </w:rPr>
        <w:fldChar w:fldCharType="separate"/>
      </w:r>
      <w:r>
        <w:rPr>
          <w:rStyle w:val="19"/>
          <w:rFonts w:hint="eastAsia" w:ascii="宋体" w:hAnsi="宋体" w:cs="宋体"/>
          <w:color w:val="auto"/>
          <w:highlight w:val="none"/>
        </w:rPr>
        <w:t>四、付款方式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_Toc54278987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"_Toc54278989" </w:instrText>
      </w:r>
      <w:r>
        <w:rPr>
          <w:color w:val="auto"/>
          <w:highlight w:val="none"/>
        </w:rPr>
        <w:fldChar w:fldCharType="separate"/>
      </w:r>
      <w:r>
        <w:rPr>
          <w:rStyle w:val="19"/>
          <w:rFonts w:hint="eastAsia" w:ascii="宋体" w:hAnsi="宋体" w:cs="宋体"/>
          <w:color w:val="auto"/>
          <w:highlight w:val="none"/>
        </w:rPr>
        <w:t>五、知识产权</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_Toc54278987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"_Toc54278991" </w:instrText>
      </w:r>
      <w:r>
        <w:rPr>
          <w:color w:val="auto"/>
          <w:highlight w:val="none"/>
        </w:rPr>
        <w:fldChar w:fldCharType="separate"/>
      </w:r>
      <w:r>
        <w:rPr>
          <w:rStyle w:val="19"/>
          <w:rFonts w:hint="eastAsia" w:ascii="宋体" w:hAnsi="宋体" w:cs="宋体"/>
          <w:color w:val="auto"/>
          <w:highlight w:val="none"/>
        </w:rPr>
        <w:t>六、其他</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_Toc54278987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"_Toc54278994" </w:instrText>
      </w:r>
      <w:r>
        <w:rPr>
          <w:color w:val="auto"/>
          <w:highlight w:val="none"/>
        </w:rPr>
        <w:fldChar w:fldCharType="separate"/>
      </w:r>
      <w:r>
        <w:rPr>
          <w:rStyle w:val="19"/>
          <w:rFonts w:hint="eastAsia" w:ascii="宋体" w:hAnsi="宋体" w:cs="宋体"/>
          <w:color w:val="auto"/>
          <w:highlight w:val="none"/>
        </w:rPr>
        <w:t>第四篇  磋商程序及方法、评审标准、无效响应和采购终止</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_Toc54278994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"_Toc54278995" </w:instrText>
      </w:r>
      <w:r>
        <w:rPr>
          <w:color w:val="auto"/>
          <w:highlight w:val="none"/>
        </w:rPr>
        <w:fldChar w:fldCharType="separate"/>
      </w:r>
      <w:r>
        <w:rPr>
          <w:rStyle w:val="19"/>
          <w:rFonts w:hint="eastAsia" w:ascii="宋体" w:hAnsi="宋体" w:cs="宋体"/>
          <w:color w:val="auto"/>
          <w:highlight w:val="none"/>
        </w:rPr>
        <w:t>一、磋商程序及方法</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_Toc54278995 \h </w:instrText>
      </w:r>
      <w:r>
        <w:rPr>
          <w:rFonts w:hint="eastAsia" w:ascii="宋体" w:hAnsi="宋体" w:cs="宋体"/>
          <w:color w:val="auto"/>
          <w:highlight w:val="none"/>
        </w:rPr>
        <w:fldChar w:fldCharType="separate"/>
      </w:r>
      <w:r>
        <w:rPr>
          <w:rFonts w:hint="eastAsia" w:ascii="宋体" w:hAnsi="宋体" w:cs="宋体"/>
          <w:color w:val="auto"/>
          <w:highlight w:val="none"/>
        </w:rPr>
        <w:t>- 11 -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"_Toc54278996" </w:instrText>
      </w:r>
      <w:r>
        <w:rPr>
          <w:color w:val="auto"/>
          <w:highlight w:val="none"/>
        </w:rPr>
        <w:fldChar w:fldCharType="separate"/>
      </w:r>
      <w:r>
        <w:rPr>
          <w:rStyle w:val="19"/>
          <w:rFonts w:hint="eastAsia" w:ascii="宋体" w:hAnsi="宋体" w:cs="宋体"/>
          <w:color w:val="auto"/>
          <w:highlight w:val="none"/>
        </w:rPr>
        <w:t>二、评审标准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_Toc54278996 \h </w:instrText>
      </w:r>
      <w:r>
        <w:rPr>
          <w:rFonts w:hint="eastAsia" w:ascii="宋体" w:hAnsi="宋体" w:cs="宋体"/>
          <w:color w:val="auto"/>
          <w:highlight w:val="none"/>
        </w:rPr>
        <w:fldChar w:fldCharType="separate"/>
      </w:r>
      <w:r>
        <w:rPr>
          <w:rFonts w:hint="eastAsia" w:ascii="宋体" w:hAnsi="宋体" w:cs="宋体"/>
          <w:color w:val="auto"/>
          <w:highlight w:val="none"/>
        </w:rPr>
        <w:t>- 13 -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"_Toc54278997" </w:instrText>
      </w:r>
      <w:r>
        <w:rPr>
          <w:color w:val="auto"/>
          <w:highlight w:val="none"/>
        </w:rPr>
        <w:fldChar w:fldCharType="separate"/>
      </w:r>
      <w:r>
        <w:rPr>
          <w:rStyle w:val="19"/>
          <w:rFonts w:hint="eastAsia" w:ascii="宋体" w:hAnsi="宋体" w:cs="宋体"/>
          <w:color w:val="auto"/>
          <w:highlight w:val="none"/>
        </w:rPr>
        <w:t>三、无效响应</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_Toc54278997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"_Toc54278998" </w:instrText>
      </w:r>
      <w:r>
        <w:rPr>
          <w:color w:val="auto"/>
          <w:highlight w:val="none"/>
        </w:rPr>
        <w:fldChar w:fldCharType="separate"/>
      </w:r>
      <w:r>
        <w:rPr>
          <w:rStyle w:val="19"/>
          <w:rFonts w:hint="eastAsia" w:ascii="宋体" w:hAnsi="宋体" w:cs="宋体"/>
          <w:color w:val="auto"/>
          <w:highlight w:val="none"/>
        </w:rPr>
        <w:t>四、采购终止</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"_Toc54278999" </w:instrText>
      </w:r>
      <w:r>
        <w:rPr>
          <w:color w:val="auto"/>
          <w:highlight w:val="none"/>
        </w:rPr>
        <w:fldChar w:fldCharType="separate"/>
      </w:r>
      <w:r>
        <w:rPr>
          <w:rStyle w:val="19"/>
          <w:rFonts w:hint="eastAsia" w:ascii="宋体" w:hAnsi="宋体" w:cs="宋体"/>
          <w:color w:val="auto"/>
          <w:highlight w:val="none"/>
        </w:rPr>
        <w:t>第五篇  供应商须知</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"_Toc54279000" </w:instrText>
      </w:r>
      <w:r>
        <w:rPr>
          <w:color w:val="auto"/>
          <w:highlight w:val="none"/>
        </w:rPr>
        <w:fldChar w:fldCharType="separate"/>
      </w:r>
      <w:r>
        <w:rPr>
          <w:rStyle w:val="19"/>
          <w:rFonts w:hint="eastAsia" w:ascii="宋体" w:hAnsi="宋体" w:cs="宋体"/>
          <w:color w:val="auto"/>
          <w:highlight w:val="none"/>
        </w:rPr>
        <w:t>一、磋商费用</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"_Toc54279001" </w:instrText>
      </w:r>
      <w:r>
        <w:rPr>
          <w:color w:val="auto"/>
          <w:highlight w:val="none"/>
        </w:rPr>
        <w:fldChar w:fldCharType="separate"/>
      </w:r>
      <w:r>
        <w:rPr>
          <w:rStyle w:val="19"/>
          <w:rFonts w:hint="eastAsia" w:ascii="宋体" w:hAnsi="宋体" w:cs="宋体"/>
          <w:color w:val="auto"/>
          <w:highlight w:val="none"/>
        </w:rPr>
        <w:t>二、竞争性磋商文件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"_Toc54279002" </w:instrText>
      </w:r>
      <w:r>
        <w:rPr>
          <w:color w:val="auto"/>
          <w:highlight w:val="none"/>
        </w:rPr>
        <w:fldChar w:fldCharType="separate"/>
      </w:r>
      <w:r>
        <w:rPr>
          <w:rStyle w:val="19"/>
          <w:rFonts w:hint="eastAsia" w:ascii="宋体" w:hAnsi="宋体" w:cs="宋体"/>
          <w:color w:val="auto"/>
          <w:highlight w:val="none"/>
        </w:rPr>
        <w:t>三、磋商要求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"_Toc54279003" </w:instrText>
      </w:r>
      <w:r>
        <w:rPr>
          <w:color w:val="auto"/>
          <w:highlight w:val="none"/>
        </w:rPr>
        <w:fldChar w:fldCharType="separate"/>
      </w:r>
      <w:r>
        <w:rPr>
          <w:rStyle w:val="19"/>
          <w:rFonts w:hint="eastAsia" w:ascii="宋体" w:hAnsi="宋体" w:cs="宋体"/>
          <w:color w:val="auto"/>
          <w:highlight w:val="none"/>
        </w:rPr>
        <w:t>四、成交供应商的确认和变更</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"_Toc54279004" </w:instrText>
      </w:r>
      <w:r>
        <w:rPr>
          <w:color w:val="auto"/>
          <w:highlight w:val="none"/>
        </w:rPr>
        <w:fldChar w:fldCharType="separate"/>
      </w:r>
      <w:r>
        <w:rPr>
          <w:rStyle w:val="19"/>
          <w:rFonts w:hint="eastAsia" w:ascii="宋体" w:hAnsi="宋体" w:cs="宋体"/>
          <w:color w:val="auto"/>
          <w:highlight w:val="none"/>
        </w:rPr>
        <w:t>五、成交通知</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"_Toc54279005" </w:instrText>
      </w:r>
      <w:r>
        <w:rPr>
          <w:color w:val="auto"/>
          <w:highlight w:val="none"/>
        </w:rPr>
        <w:fldChar w:fldCharType="separate"/>
      </w:r>
      <w:r>
        <w:rPr>
          <w:rStyle w:val="19"/>
          <w:rFonts w:hint="eastAsia" w:ascii="宋体" w:hAnsi="宋体" w:cs="宋体"/>
          <w:color w:val="auto"/>
          <w:highlight w:val="none"/>
        </w:rPr>
        <w:t>六、关于质疑和投诉</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"_Toc54279008" </w:instrText>
      </w:r>
      <w:r>
        <w:rPr>
          <w:color w:val="auto"/>
          <w:highlight w:val="none"/>
        </w:rPr>
        <w:fldChar w:fldCharType="separate"/>
      </w:r>
      <w:r>
        <w:rPr>
          <w:rStyle w:val="19"/>
          <w:rFonts w:hint="eastAsia" w:ascii="宋体" w:hAnsi="宋体" w:cs="宋体"/>
          <w:color w:val="auto"/>
          <w:highlight w:val="none"/>
        </w:rPr>
        <w:t>七、签订合同</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"_Toc54279009" </w:instrText>
      </w:r>
      <w:r>
        <w:rPr>
          <w:color w:val="auto"/>
          <w:highlight w:val="none"/>
        </w:rPr>
        <w:fldChar w:fldCharType="separate"/>
      </w:r>
      <w:r>
        <w:rPr>
          <w:rStyle w:val="19"/>
          <w:rFonts w:hint="eastAsia" w:ascii="宋体" w:hAnsi="宋体" w:cs="宋体"/>
          <w:color w:val="auto"/>
          <w:highlight w:val="none"/>
        </w:rPr>
        <w:t>八、政府采购信用融资</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"_Toc54279010" </w:instrText>
      </w:r>
      <w:r>
        <w:rPr>
          <w:color w:val="auto"/>
          <w:highlight w:val="none"/>
        </w:rPr>
        <w:fldChar w:fldCharType="separate"/>
      </w:r>
      <w:r>
        <w:rPr>
          <w:rStyle w:val="19"/>
          <w:rFonts w:hint="eastAsia" w:ascii="宋体" w:hAnsi="宋体" w:cs="宋体"/>
          <w:color w:val="auto"/>
          <w:highlight w:val="none"/>
        </w:rPr>
        <w:t>第六篇  政府采购合同</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_Toc54279010 \h </w:instrText>
      </w:r>
      <w:r>
        <w:rPr>
          <w:rFonts w:hint="eastAsia" w:ascii="宋体" w:hAnsi="宋体" w:cs="宋体"/>
          <w:color w:val="auto"/>
          <w:highlight w:val="none"/>
        </w:rPr>
        <w:fldChar w:fldCharType="separate"/>
      </w:r>
      <w:r>
        <w:rPr>
          <w:rFonts w:hint="eastAsia" w:ascii="宋体" w:hAnsi="宋体" w:cs="宋体"/>
          <w:color w:val="auto"/>
          <w:highlight w:val="none"/>
        </w:rPr>
        <w:t>- 21 -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"_Toc54279011" </w:instrText>
      </w:r>
      <w:r>
        <w:rPr>
          <w:color w:val="auto"/>
          <w:highlight w:val="none"/>
        </w:rPr>
        <w:fldChar w:fldCharType="separate"/>
      </w:r>
      <w:r>
        <w:rPr>
          <w:rStyle w:val="19"/>
          <w:rFonts w:hint="eastAsia" w:ascii="宋体" w:hAnsi="宋体" w:cs="宋体"/>
          <w:color w:val="auto"/>
          <w:highlight w:val="none"/>
        </w:rPr>
        <w:t>第七篇  响应文件编制要求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_Toc54279010 \h </w:instrText>
      </w:r>
      <w:r>
        <w:rPr>
          <w:rFonts w:hint="eastAsia" w:ascii="宋体" w:hAnsi="宋体" w:cs="宋体"/>
          <w:color w:val="auto"/>
          <w:highlight w:val="none"/>
        </w:rPr>
        <w:fldChar w:fldCharType="separate"/>
      </w:r>
      <w:r>
        <w:rPr>
          <w:rFonts w:hint="eastAsia" w:ascii="宋体" w:hAnsi="宋体" w:cs="宋体"/>
          <w:color w:val="auto"/>
          <w:highlight w:val="none"/>
        </w:rPr>
        <w:t>- 21 -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"_Toc54279012" </w:instrText>
      </w:r>
      <w:r>
        <w:rPr>
          <w:color w:val="auto"/>
          <w:highlight w:val="none"/>
        </w:rPr>
        <w:fldChar w:fldCharType="separate"/>
      </w:r>
      <w:r>
        <w:rPr>
          <w:rStyle w:val="19"/>
          <w:rFonts w:hint="eastAsia" w:ascii="宋体" w:hAnsi="宋体" w:cs="宋体"/>
          <w:color w:val="auto"/>
          <w:highlight w:val="none"/>
        </w:rPr>
        <w:t>一、经济部分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_Toc54279012 \h </w:instrText>
      </w:r>
      <w:r>
        <w:rPr>
          <w:rFonts w:hint="eastAsia" w:ascii="宋体" w:hAnsi="宋体" w:cs="宋体"/>
          <w:color w:val="auto"/>
          <w:highlight w:val="none"/>
        </w:rPr>
        <w:fldChar w:fldCharType="separate"/>
      </w:r>
      <w:r>
        <w:rPr>
          <w:rFonts w:hint="eastAsia" w:ascii="宋体" w:hAnsi="宋体" w:cs="宋体"/>
          <w:color w:val="auto"/>
          <w:highlight w:val="none"/>
        </w:rPr>
        <w:t>- 22 -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"_Toc54279013" </w:instrText>
      </w:r>
      <w:r>
        <w:rPr>
          <w:color w:val="auto"/>
          <w:highlight w:val="none"/>
        </w:rPr>
        <w:fldChar w:fldCharType="separate"/>
      </w:r>
      <w:r>
        <w:rPr>
          <w:rStyle w:val="19"/>
          <w:rFonts w:hint="eastAsia" w:ascii="宋体" w:hAnsi="宋体" w:cs="宋体"/>
          <w:color w:val="auto"/>
          <w:highlight w:val="none"/>
        </w:rPr>
        <w:t>二、服务部分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_Toc54279012 \h </w:instrText>
      </w:r>
      <w:r>
        <w:rPr>
          <w:rFonts w:hint="eastAsia" w:ascii="宋体" w:hAnsi="宋体" w:cs="宋体"/>
          <w:color w:val="auto"/>
          <w:highlight w:val="none"/>
        </w:rPr>
        <w:fldChar w:fldCharType="separate"/>
      </w:r>
      <w:r>
        <w:rPr>
          <w:rFonts w:hint="eastAsia" w:ascii="宋体" w:hAnsi="宋体" w:cs="宋体"/>
          <w:color w:val="auto"/>
          <w:highlight w:val="none"/>
        </w:rPr>
        <w:t>- 22 -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"_Toc54279014" </w:instrText>
      </w:r>
      <w:r>
        <w:rPr>
          <w:color w:val="auto"/>
          <w:highlight w:val="none"/>
        </w:rPr>
        <w:fldChar w:fldCharType="separate"/>
      </w:r>
      <w:r>
        <w:rPr>
          <w:rStyle w:val="19"/>
          <w:rFonts w:hint="eastAsia" w:ascii="宋体" w:hAnsi="宋体" w:cs="宋体"/>
          <w:color w:val="auto"/>
          <w:highlight w:val="none"/>
        </w:rPr>
        <w:t>三、商务部分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_Toc54279012 \h </w:instrText>
      </w:r>
      <w:r>
        <w:rPr>
          <w:rFonts w:hint="eastAsia" w:ascii="宋体" w:hAnsi="宋体" w:cs="宋体"/>
          <w:color w:val="auto"/>
          <w:highlight w:val="none"/>
        </w:rPr>
        <w:fldChar w:fldCharType="separate"/>
      </w:r>
      <w:r>
        <w:rPr>
          <w:rFonts w:hint="eastAsia" w:ascii="宋体" w:hAnsi="宋体" w:cs="宋体"/>
          <w:color w:val="auto"/>
          <w:highlight w:val="none"/>
        </w:rPr>
        <w:t>- 22 -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"_Toc54279015" </w:instrText>
      </w:r>
      <w:r>
        <w:rPr>
          <w:color w:val="auto"/>
          <w:highlight w:val="none"/>
        </w:rPr>
        <w:fldChar w:fldCharType="separate"/>
      </w:r>
      <w:r>
        <w:rPr>
          <w:rStyle w:val="19"/>
          <w:rFonts w:hint="eastAsia" w:ascii="宋体" w:hAnsi="宋体" w:cs="宋体"/>
          <w:color w:val="auto"/>
          <w:highlight w:val="none"/>
        </w:rPr>
        <w:t>四、资格条件及其他</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_Toc54279012 \h </w:instrText>
      </w:r>
      <w:r>
        <w:rPr>
          <w:rFonts w:hint="eastAsia" w:ascii="宋体" w:hAnsi="宋体" w:cs="宋体"/>
          <w:color w:val="auto"/>
          <w:highlight w:val="none"/>
        </w:rPr>
        <w:fldChar w:fldCharType="separate"/>
      </w:r>
      <w:r>
        <w:rPr>
          <w:rFonts w:hint="eastAsia" w:ascii="宋体" w:hAnsi="宋体" w:cs="宋体"/>
          <w:color w:val="auto"/>
          <w:highlight w:val="none"/>
        </w:rPr>
        <w:t>- 22 -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"_Toc54279016" </w:instrText>
      </w:r>
      <w:r>
        <w:rPr>
          <w:color w:val="auto"/>
          <w:highlight w:val="none"/>
        </w:rPr>
        <w:fldChar w:fldCharType="separate"/>
      </w:r>
      <w:r>
        <w:rPr>
          <w:rStyle w:val="19"/>
          <w:rFonts w:hint="eastAsia" w:ascii="宋体" w:hAnsi="宋体" w:cs="宋体"/>
          <w:color w:val="auto"/>
          <w:highlight w:val="none"/>
        </w:rPr>
        <w:t>五、其他资料</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_Toc54279012 \h </w:instrText>
      </w:r>
      <w:r>
        <w:rPr>
          <w:rFonts w:hint="eastAsia" w:ascii="宋体" w:hAnsi="宋体" w:cs="宋体"/>
          <w:color w:val="auto"/>
          <w:highlight w:val="none"/>
        </w:rPr>
        <w:fldChar w:fldCharType="separate"/>
      </w:r>
      <w:r>
        <w:rPr>
          <w:rFonts w:hint="eastAsia" w:ascii="宋体" w:hAnsi="宋体" w:cs="宋体"/>
          <w:color w:val="auto"/>
          <w:highlight w:val="none"/>
        </w:rPr>
        <w:t>- 22 -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spacing w:line="480" w:lineRule="exact"/>
        <w:ind w:left="560"/>
        <w:jc w:val="center"/>
        <w:rPr>
          <w:rFonts w:ascii="宋体" w:hAnsi="宋体" w:cs="宋体"/>
          <w:color w:val="auto"/>
          <w:sz w:val="18"/>
          <w:szCs w:val="22"/>
          <w:highlight w:val="none"/>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color w:val="auto"/>
          <w:szCs w:val="21"/>
          <w:highlight w:val="none"/>
        </w:rPr>
        <w:fldChar w:fldCharType="end"/>
      </w:r>
    </w:p>
    <w:p>
      <w:pPr>
        <w:pStyle w:val="4"/>
        <w:spacing w:line="360" w:lineRule="auto"/>
        <w:jc w:val="center"/>
        <w:rPr>
          <w:rFonts w:ascii="宋体" w:hAnsi="宋体" w:eastAsia="宋体" w:cs="宋体"/>
          <w:b w:val="0"/>
          <w:color w:val="auto"/>
          <w:szCs w:val="30"/>
          <w:highlight w:val="none"/>
        </w:rPr>
      </w:pPr>
      <w:bookmarkStart w:id="0" w:name="_Toc54278968"/>
      <w:bookmarkStart w:id="1" w:name="_Toc11641050"/>
      <w:bookmarkStart w:id="2" w:name="_Toc12789052"/>
      <w:r>
        <w:rPr>
          <w:rFonts w:hint="eastAsia" w:ascii="宋体" w:hAnsi="宋体" w:eastAsia="宋体" w:cs="宋体"/>
          <w:b w:val="0"/>
          <w:color w:val="auto"/>
          <w:sz w:val="36"/>
          <w:szCs w:val="30"/>
          <w:highlight w:val="none"/>
        </w:rPr>
        <w:t>第一篇  采购邀请书</w:t>
      </w:r>
      <w:bookmarkEnd w:id="0"/>
      <w:bookmarkEnd w:id="1"/>
      <w:bookmarkEnd w:id="2"/>
    </w:p>
    <w:p>
      <w:pPr>
        <w:pStyle w:val="5"/>
        <w:spacing w:line="360" w:lineRule="auto"/>
        <w:rPr>
          <w:rFonts w:ascii="宋体" w:hAnsi="宋体" w:cs="宋体"/>
          <w:color w:val="auto"/>
          <w:sz w:val="24"/>
          <w:szCs w:val="24"/>
          <w:highlight w:val="none"/>
        </w:rPr>
      </w:pPr>
      <w:bookmarkStart w:id="3" w:name="_Toc317775175"/>
      <w:bookmarkStart w:id="4" w:name="_Toc313893526"/>
      <w:bookmarkStart w:id="5" w:name="_Toc54278969"/>
      <w:r>
        <w:rPr>
          <w:rFonts w:hint="eastAsia" w:ascii="宋体" w:hAnsi="宋体" w:cs="宋体"/>
          <w:color w:val="auto"/>
          <w:sz w:val="24"/>
          <w:szCs w:val="24"/>
          <w:highlight w:val="none"/>
        </w:rPr>
        <w:t>一、竞争性磋商内容</w:t>
      </w:r>
      <w:bookmarkEnd w:id="3"/>
      <w:bookmarkEnd w:id="4"/>
      <w:bookmarkEnd w:id="5"/>
    </w:p>
    <w:tbl>
      <w:tblPr>
        <w:tblStyle w:val="16"/>
        <w:tblW w:w="8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9"/>
        <w:gridCol w:w="1375"/>
        <w:gridCol w:w="1901"/>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2509"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color w:val="auto"/>
                <w:kern w:val="0"/>
                <w:sz w:val="21"/>
                <w:szCs w:val="24"/>
                <w:highlight w:val="none"/>
              </w:rPr>
            </w:pPr>
            <w:bookmarkStart w:id="6" w:name="_Toc54278970"/>
            <w:bookmarkStart w:id="7" w:name="_Toc373860293"/>
            <w:bookmarkStart w:id="8" w:name="_Toc317775178"/>
            <w:r>
              <w:rPr>
                <w:rFonts w:hint="eastAsia" w:ascii="方正仿宋_GBK" w:hAnsi="宋体" w:eastAsia="方正仿宋_GBK" w:cs="宋体"/>
                <w:b/>
                <w:bCs/>
                <w:color w:val="auto"/>
                <w:kern w:val="0"/>
                <w:sz w:val="21"/>
                <w:szCs w:val="24"/>
                <w:highlight w:val="none"/>
              </w:rPr>
              <w:t>包号及名称</w:t>
            </w:r>
          </w:p>
        </w:tc>
        <w:tc>
          <w:tcPr>
            <w:tcW w:w="1375"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最高限价（</w:t>
            </w:r>
            <w:r>
              <w:rPr>
                <w:rFonts w:hint="eastAsia" w:ascii="方正仿宋_GBK" w:hAnsi="宋体" w:eastAsia="方正仿宋_GBK" w:cs="宋体"/>
                <w:b/>
                <w:bCs/>
                <w:color w:val="auto"/>
                <w:kern w:val="0"/>
                <w:sz w:val="21"/>
                <w:szCs w:val="24"/>
                <w:highlight w:val="none"/>
                <w:lang w:eastAsia="zh-CN"/>
              </w:rPr>
              <w:t>万</w:t>
            </w:r>
            <w:r>
              <w:rPr>
                <w:rFonts w:hint="eastAsia" w:ascii="方正仿宋_GBK" w:hAnsi="宋体" w:eastAsia="方正仿宋_GBK" w:cs="宋体"/>
                <w:b/>
                <w:bCs/>
                <w:color w:val="auto"/>
                <w:kern w:val="0"/>
                <w:sz w:val="21"/>
                <w:szCs w:val="24"/>
                <w:highlight w:val="none"/>
              </w:rPr>
              <w:t>元）</w:t>
            </w:r>
          </w:p>
        </w:tc>
        <w:tc>
          <w:tcPr>
            <w:tcW w:w="1901"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成交供应商数量（名）</w:t>
            </w:r>
          </w:p>
        </w:tc>
        <w:tc>
          <w:tcPr>
            <w:tcW w:w="2298"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5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color w:val="auto"/>
                <w:kern w:val="0"/>
                <w:sz w:val="21"/>
                <w:szCs w:val="24"/>
                <w:highlight w:val="none"/>
              </w:rPr>
            </w:pPr>
            <w:bookmarkStart w:id="9" w:name="_Hlk344477914"/>
            <w:r>
              <w:rPr>
                <w:rFonts w:hint="eastAsia" w:ascii="方正仿宋_GBK" w:hAnsi="宋体" w:eastAsia="方正仿宋_GBK" w:cs="宋体"/>
                <w:color w:val="auto"/>
                <w:kern w:val="0"/>
                <w:sz w:val="21"/>
                <w:szCs w:val="24"/>
                <w:highlight w:val="none"/>
                <w:lang w:eastAsia="zh-CN"/>
              </w:rPr>
              <w:t>绿色工业园区评价报告编制项目采购（第二次）</w:t>
            </w: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方正仿宋_GBK" w:hAnsi="宋体" w:eastAsia="方正仿宋_GBK"/>
                <w:color w:val="auto"/>
                <w:sz w:val="21"/>
                <w:szCs w:val="21"/>
                <w:highlight w:val="none"/>
                <w:lang w:val="en-US" w:eastAsia="zh-CN"/>
              </w:rPr>
            </w:pPr>
            <w:r>
              <w:rPr>
                <w:rFonts w:hint="eastAsia" w:ascii="方正仿宋_GBK" w:hAnsi="宋体" w:eastAsia="方正仿宋_GBK"/>
                <w:color w:val="auto"/>
                <w:sz w:val="21"/>
                <w:szCs w:val="21"/>
                <w:highlight w:val="none"/>
                <w:lang w:val="en-US" w:eastAsia="zh-CN"/>
              </w:rPr>
              <w:t>45</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1</w:t>
            </w:r>
          </w:p>
        </w:tc>
        <w:tc>
          <w:tcPr>
            <w:tcW w:w="2298" w:type="dxa"/>
            <w:tcBorders>
              <w:top w:val="single" w:color="auto" w:sz="4" w:space="0"/>
              <w:left w:val="single" w:color="auto" w:sz="4" w:space="0"/>
              <w:bottom w:val="single" w:color="auto" w:sz="4" w:space="0"/>
              <w:right w:val="single" w:color="auto" w:sz="4" w:space="0"/>
            </w:tcBorders>
            <w:vAlign w:val="center"/>
          </w:tcPr>
          <w:p>
            <w:pPr>
              <w:ind w:firstLine="211" w:firstLineChars="100"/>
              <w:jc w:val="left"/>
              <w:rPr>
                <w:rFonts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其他未列明行业</w:t>
            </w:r>
          </w:p>
        </w:tc>
      </w:tr>
      <w:bookmarkEnd w:id="9"/>
    </w:tbl>
    <w:p>
      <w:pPr>
        <w:pStyle w:val="5"/>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二、资金来源</w:t>
      </w:r>
      <w:bookmarkEnd w:id="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自筹资金，采购预算</w:t>
      </w:r>
      <w:r>
        <w:rPr>
          <w:rFonts w:hint="eastAsia" w:ascii="宋体" w:hAnsi="宋体" w:cs="宋体"/>
          <w:color w:val="auto"/>
          <w:sz w:val="24"/>
          <w:szCs w:val="24"/>
          <w:highlight w:val="none"/>
          <w:lang w:val="en-US" w:eastAsia="zh-CN"/>
        </w:rPr>
        <w:t>450000.00</w:t>
      </w:r>
      <w:r>
        <w:rPr>
          <w:rFonts w:hint="eastAsia" w:ascii="宋体" w:hAnsi="宋体" w:cs="宋体"/>
          <w:color w:val="auto"/>
          <w:sz w:val="24"/>
          <w:szCs w:val="24"/>
          <w:highlight w:val="none"/>
        </w:rPr>
        <w:t>元。</w:t>
      </w:r>
    </w:p>
    <w:p>
      <w:pPr>
        <w:pStyle w:val="5"/>
        <w:spacing w:line="360" w:lineRule="auto"/>
        <w:rPr>
          <w:rFonts w:ascii="宋体" w:hAnsi="宋体" w:cs="宋体"/>
          <w:color w:val="auto"/>
          <w:sz w:val="24"/>
          <w:szCs w:val="24"/>
          <w:highlight w:val="none"/>
        </w:rPr>
      </w:pPr>
      <w:bookmarkStart w:id="10" w:name="_Toc54278971"/>
      <w:r>
        <w:rPr>
          <w:rFonts w:hint="eastAsia" w:ascii="宋体" w:hAnsi="宋体" w:cs="宋体"/>
          <w:color w:val="auto"/>
          <w:sz w:val="24"/>
          <w:szCs w:val="24"/>
          <w:highlight w:val="none"/>
        </w:rPr>
        <w:t>三、供应商资格条件</w:t>
      </w:r>
      <w:bookmarkEnd w:id="10"/>
    </w:p>
    <w:p>
      <w:pPr>
        <w:spacing w:line="360" w:lineRule="auto"/>
        <w:ind w:firstLine="480" w:firstLineChars="200"/>
        <w:rPr>
          <w:rFonts w:ascii="宋体" w:hAnsi="宋体" w:cs="宋体"/>
          <w:color w:val="auto"/>
          <w:sz w:val="24"/>
          <w:szCs w:val="24"/>
          <w:highlight w:val="none"/>
        </w:rPr>
      </w:pPr>
      <w:bookmarkStart w:id="11" w:name="_Toc54278972"/>
      <w:r>
        <w:rPr>
          <w:rFonts w:hint="eastAsia" w:ascii="宋体" w:hAnsi="宋体" w:cs="宋体"/>
          <w:color w:val="auto"/>
          <w:sz w:val="24"/>
          <w:szCs w:val="24"/>
          <w:highlight w:val="none"/>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（一）基本资格条件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1.具有独立承担民事责任的能力；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2.具有良好的商业信誉和健全的财务会计制度；</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3.具有履行合同所必需的设备和专业技术能力；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4.有依法缴纳税收和社会保障资金的良好记录；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5.参加政府采购活动前三年内，在经营活动中没有重大违法记录；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6.法律、行政法规规定的其他条件。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（二）特定资格条件</w:t>
      </w:r>
    </w:p>
    <w:p>
      <w:pPr>
        <w:pStyle w:val="5"/>
        <w:spacing w:line="360" w:lineRule="auto"/>
        <w:ind w:firstLine="964" w:firstLineChars="4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无</w:t>
      </w:r>
    </w:p>
    <w:p>
      <w:pPr>
        <w:pStyle w:val="5"/>
        <w:numPr>
          <w:ilvl w:val="0"/>
          <w:numId w:val="0"/>
        </w:numPr>
        <w:spacing w:line="360" w:lineRule="auto"/>
        <w:ind w:leftChars="0"/>
        <w:jc w:val="left"/>
        <w:rPr>
          <w:rFonts w:ascii="宋体" w:hAnsi="宋体" w:cs="宋体"/>
          <w:color w:val="auto"/>
          <w:sz w:val="24"/>
          <w:szCs w:val="24"/>
          <w:highlight w:val="none"/>
        </w:rPr>
      </w:pPr>
      <w:r>
        <w:rPr>
          <w:rFonts w:hint="eastAsia" w:ascii="宋体" w:hAnsi="宋体" w:cs="宋体"/>
          <w:color w:val="auto"/>
          <w:sz w:val="24"/>
          <w:szCs w:val="24"/>
          <w:highlight w:val="none"/>
        </w:rPr>
        <w:t>四、磋商有关说明</w:t>
      </w:r>
      <w:bookmarkEnd w:id="7"/>
      <w:bookmarkEnd w:id="1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一</w:t>
      </w:r>
      <w:r>
        <w:rPr>
          <w:rFonts w:hint="eastAsia" w:ascii="宋体" w:hAnsi="宋体" w:cs="宋体"/>
          <w:color w:val="auto"/>
          <w:sz w:val="24"/>
          <w:szCs w:val="24"/>
          <w:highlight w:val="none"/>
        </w:rPr>
        <w:t>）凡有意参加磋商的供应商，请于公告发布之日（202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18</w:t>
      </w:r>
      <w:r>
        <w:rPr>
          <w:rFonts w:hint="eastAsia" w:ascii="宋体" w:hAnsi="宋体" w:cs="宋体"/>
          <w:color w:val="auto"/>
          <w:sz w:val="24"/>
          <w:szCs w:val="24"/>
          <w:highlight w:val="none"/>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二</w:t>
      </w:r>
      <w:r>
        <w:rPr>
          <w:rFonts w:hint="eastAsia" w:ascii="宋体" w:hAnsi="宋体" w:cs="宋体"/>
          <w:color w:val="auto"/>
          <w:sz w:val="24"/>
          <w:szCs w:val="24"/>
          <w:highlight w:val="none"/>
        </w:rPr>
        <w:t>）竞争性磋商公告期限：自采购公告发布之日（202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18</w:t>
      </w:r>
      <w:r>
        <w:rPr>
          <w:rFonts w:hint="eastAsia" w:ascii="宋体" w:hAnsi="宋体" w:cs="宋体"/>
          <w:color w:val="auto"/>
          <w:sz w:val="24"/>
          <w:szCs w:val="24"/>
          <w:highlight w:val="none"/>
        </w:rPr>
        <w:t>日）起三个工作日。</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三</w:t>
      </w:r>
      <w:r>
        <w:rPr>
          <w:rFonts w:hint="eastAsia" w:ascii="宋体" w:hAnsi="宋体" w:cs="宋体"/>
          <w:color w:val="auto"/>
          <w:sz w:val="24"/>
          <w:szCs w:val="24"/>
          <w:highlight w:val="none"/>
        </w:rPr>
        <w:t>）竞标人须满足以下三种要件，其响应文件才被接受：</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1、按磋商文件要求缴纳了竞标保证金；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2、按时递交了响应文件；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3、按时报名签到。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四</w:t>
      </w:r>
      <w:r>
        <w:rPr>
          <w:rFonts w:hint="eastAsia" w:ascii="宋体" w:hAnsi="宋体" w:cs="宋体"/>
          <w:color w:val="auto"/>
          <w:sz w:val="24"/>
          <w:szCs w:val="24"/>
          <w:highlight w:val="none"/>
        </w:rPr>
        <w:t>）递交响应文件地点：重庆建桥实业发展有限公司接标处（重庆市大渡口区田西路中冶熙城商街1号楼1楼）</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五</w:t>
      </w:r>
      <w:r>
        <w:rPr>
          <w:rFonts w:hint="eastAsia" w:ascii="宋体" w:hAnsi="宋体" w:cs="宋体"/>
          <w:color w:val="auto"/>
          <w:sz w:val="24"/>
          <w:szCs w:val="24"/>
          <w:highlight w:val="none"/>
        </w:rPr>
        <w:t>）响应文件递交时间：202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24</w:t>
      </w:r>
      <w:r>
        <w:rPr>
          <w:rFonts w:hint="eastAsia" w:ascii="宋体" w:hAnsi="宋体" w:cs="宋体"/>
          <w:color w:val="auto"/>
          <w:sz w:val="24"/>
          <w:szCs w:val="24"/>
          <w:highlight w:val="none"/>
        </w:rPr>
        <w:t>日北京时间14：00-14:30</w:t>
      </w:r>
    </w:p>
    <w:p>
      <w:pPr>
        <w:spacing w:line="360" w:lineRule="auto"/>
        <w:ind w:firstLine="1200" w:firstLineChars="500"/>
        <w:rPr>
          <w:rFonts w:ascii="宋体" w:hAnsi="宋体" w:cs="宋体"/>
          <w:color w:val="auto"/>
          <w:sz w:val="24"/>
          <w:szCs w:val="24"/>
          <w:highlight w:val="none"/>
        </w:rPr>
      </w:pPr>
      <w:r>
        <w:rPr>
          <w:rFonts w:hint="eastAsia" w:ascii="宋体" w:hAnsi="宋体" w:cs="宋体"/>
          <w:color w:val="auto"/>
          <w:sz w:val="24"/>
          <w:szCs w:val="24"/>
          <w:highlight w:val="none"/>
        </w:rPr>
        <w:t>截止时间：202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24</w:t>
      </w:r>
      <w:r>
        <w:rPr>
          <w:rFonts w:hint="eastAsia" w:ascii="宋体" w:hAnsi="宋体" w:cs="宋体"/>
          <w:color w:val="auto"/>
          <w:sz w:val="24"/>
          <w:szCs w:val="24"/>
          <w:highlight w:val="none"/>
        </w:rPr>
        <w:t>日北京时间14:30</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六</w:t>
      </w:r>
      <w:r>
        <w:rPr>
          <w:rFonts w:hint="eastAsia" w:ascii="宋体" w:hAnsi="宋体" w:cs="宋体"/>
          <w:color w:val="auto"/>
          <w:sz w:val="24"/>
          <w:szCs w:val="24"/>
          <w:highlight w:val="none"/>
        </w:rPr>
        <w:t>）磋商开始时间：202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24</w:t>
      </w:r>
      <w:r>
        <w:rPr>
          <w:rFonts w:hint="eastAsia" w:ascii="宋体" w:hAnsi="宋体" w:cs="宋体"/>
          <w:color w:val="auto"/>
          <w:sz w:val="24"/>
          <w:szCs w:val="24"/>
          <w:highlight w:val="none"/>
        </w:rPr>
        <w:t>日北京时间14:30</w:t>
      </w:r>
    </w:p>
    <w:p>
      <w:pPr>
        <w:pStyle w:val="5"/>
        <w:spacing w:line="360" w:lineRule="auto"/>
        <w:rPr>
          <w:rFonts w:ascii="宋体" w:hAnsi="宋体" w:cs="宋体"/>
          <w:color w:val="auto"/>
          <w:sz w:val="24"/>
          <w:szCs w:val="24"/>
          <w:highlight w:val="none"/>
        </w:rPr>
      </w:pPr>
      <w:bookmarkStart w:id="12" w:name="_Toc373860294"/>
      <w:bookmarkStart w:id="13" w:name="_Toc54278973"/>
      <w:r>
        <w:rPr>
          <w:rFonts w:hint="eastAsia" w:ascii="宋体" w:hAnsi="宋体" w:cs="宋体"/>
          <w:color w:val="auto"/>
          <w:sz w:val="24"/>
          <w:szCs w:val="24"/>
          <w:highlight w:val="none"/>
        </w:rPr>
        <w:t>五、磋商保证金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（一）保证金递交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1、竞标保证金交款形式及要求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竞标人从单位</w:t>
      </w:r>
      <w:r>
        <w:rPr>
          <w:rFonts w:hint="eastAsia" w:ascii="宋体" w:hAnsi="宋体" w:cs="宋体"/>
          <w:b/>
          <w:color w:val="auto"/>
          <w:sz w:val="24"/>
          <w:szCs w:val="24"/>
          <w:highlight w:val="none"/>
          <w:u w:val="single"/>
        </w:rPr>
        <w:t>基本银行账户</w:t>
      </w:r>
      <w:r>
        <w:rPr>
          <w:rFonts w:hint="eastAsia" w:ascii="宋体" w:hAnsi="宋体" w:cs="宋体"/>
          <w:color w:val="auto"/>
          <w:sz w:val="24"/>
          <w:szCs w:val="24"/>
          <w:highlight w:val="none"/>
        </w:rPr>
        <w:t>在</w:t>
      </w:r>
      <w:r>
        <w:rPr>
          <w:rFonts w:hint="eastAsia" w:ascii="宋体" w:hAnsi="宋体" w:cs="宋体"/>
          <w:b/>
          <w:color w:val="auto"/>
          <w:sz w:val="24"/>
          <w:szCs w:val="24"/>
          <w:highlight w:val="none"/>
          <w:u w:val="single"/>
        </w:rPr>
        <w:t>202</w:t>
      </w:r>
      <w:r>
        <w:rPr>
          <w:rFonts w:hint="eastAsia" w:ascii="宋体" w:hAnsi="宋体" w:cs="宋体"/>
          <w:b/>
          <w:color w:val="auto"/>
          <w:sz w:val="24"/>
          <w:szCs w:val="24"/>
          <w:highlight w:val="none"/>
          <w:u w:val="single"/>
          <w:lang w:val="en-US" w:eastAsia="zh-CN"/>
        </w:rPr>
        <w:t>3</w:t>
      </w:r>
      <w:r>
        <w:rPr>
          <w:rFonts w:hint="eastAsia" w:ascii="宋体" w:hAnsi="宋体" w:cs="宋体"/>
          <w:b/>
          <w:color w:val="auto"/>
          <w:sz w:val="24"/>
          <w:szCs w:val="24"/>
          <w:highlight w:val="none"/>
          <w:u w:val="single"/>
        </w:rPr>
        <w:t>年</w:t>
      </w:r>
      <w:r>
        <w:rPr>
          <w:rFonts w:hint="eastAsia" w:ascii="宋体" w:hAnsi="宋体" w:cs="宋体"/>
          <w:b/>
          <w:color w:val="auto"/>
          <w:sz w:val="24"/>
          <w:szCs w:val="24"/>
          <w:highlight w:val="none"/>
          <w:u w:val="single"/>
          <w:lang w:val="en-US" w:eastAsia="zh-CN"/>
        </w:rPr>
        <w:t>8</w:t>
      </w:r>
      <w:r>
        <w:rPr>
          <w:rFonts w:hint="eastAsia" w:ascii="宋体" w:hAnsi="宋体" w:cs="宋体"/>
          <w:b/>
          <w:color w:val="auto"/>
          <w:sz w:val="24"/>
          <w:szCs w:val="24"/>
          <w:highlight w:val="none"/>
          <w:u w:val="single"/>
        </w:rPr>
        <w:t>月</w:t>
      </w:r>
      <w:r>
        <w:rPr>
          <w:rFonts w:hint="eastAsia" w:ascii="宋体" w:hAnsi="宋体" w:cs="宋体"/>
          <w:b/>
          <w:color w:val="auto"/>
          <w:sz w:val="24"/>
          <w:szCs w:val="24"/>
          <w:highlight w:val="none"/>
          <w:u w:val="single"/>
          <w:lang w:val="en-US" w:eastAsia="zh-CN"/>
        </w:rPr>
        <w:t>23</w:t>
      </w:r>
      <w:r>
        <w:rPr>
          <w:rFonts w:hint="eastAsia" w:ascii="宋体" w:hAnsi="宋体" w:cs="宋体"/>
          <w:b/>
          <w:color w:val="auto"/>
          <w:sz w:val="24"/>
          <w:szCs w:val="24"/>
          <w:highlight w:val="none"/>
          <w:u w:val="single"/>
        </w:rPr>
        <w:t>日</w:t>
      </w:r>
      <w:r>
        <w:rPr>
          <w:rFonts w:hint="eastAsia" w:ascii="宋体" w:hAnsi="宋体" w:cs="宋体"/>
          <w:b/>
          <w:color w:val="auto"/>
          <w:sz w:val="24"/>
          <w:szCs w:val="24"/>
          <w:highlight w:val="none"/>
          <w:u w:val="single"/>
          <w:lang w:val="en-US" w:eastAsia="zh-CN"/>
        </w:rPr>
        <w:t>17</w:t>
      </w:r>
      <w:r>
        <w:rPr>
          <w:rFonts w:hint="eastAsia" w:ascii="宋体" w:hAnsi="宋体" w:cs="宋体"/>
          <w:b/>
          <w:color w:val="auto"/>
          <w:sz w:val="24"/>
          <w:szCs w:val="24"/>
          <w:highlight w:val="none"/>
          <w:u w:val="single"/>
        </w:rPr>
        <w:t>时00分（北京时间）前</w:t>
      </w:r>
      <w:r>
        <w:rPr>
          <w:rFonts w:hint="eastAsia" w:ascii="宋体" w:hAnsi="宋体" w:cs="宋体"/>
          <w:color w:val="auto"/>
          <w:sz w:val="24"/>
          <w:szCs w:val="24"/>
          <w:highlight w:val="none"/>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color w:val="auto"/>
          <w:sz w:val="24"/>
          <w:szCs w:val="24"/>
          <w:highlight w:val="none"/>
          <w:u w:val="single"/>
        </w:rPr>
      </w:pPr>
      <w:r>
        <w:rPr>
          <w:rFonts w:hint="eastAsia" w:ascii="宋体" w:hAnsi="宋体" w:cs="宋体"/>
          <w:color w:val="auto"/>
          <w:sz w:val="24"/>
          <w:szCs w:val="24"/>
          <w:highlight w:val="none"/>
        </w:rPr>
        <w:t>2、</w:t>
      </w:r>
      <w:r>
        <w:rPr>
          <w:rFonts w:hint="eastAsia" w:ascii="宋体" w:hAnsi="宋体" w:cs="宋体"/>
          <w:b/>
          <w:bCs/>
          <w:color w:val="auto"/>
          <w:sz w:val="24"/>
          <w:szCs w:val="24"/>
          <w:highlight w:val="none"/>
        </w:rPr>
        <w:t>竞标保证金的金额：人民币</w:t>
      </w:r>
      <w:r>
        <w:rPr>
          <w:rFonts w:hint="eastAsia" w:ascii="宋体" w:hAnsi="宋体" w:cs="宋体"/>
          <w:b/>
          <w:bCs/>
          <w:color w:val="auto"/>
          <w:sz w:val="24"/>
          <w:szCs w:val="24"/>
          <w:highlight w:val="none"/>
          <w:lang w:val="en-US" w:eastAsia="zh-CN"/>
        </w:rPr>
        <w:t>6000</w:t>
      </w:r>
      <w:r>
        <w:rPr>
          <w:rFonts w:hint="eastAsia" w:ascii="宋体" w:hAnsi="宋体" w:cs="宋体"/>
          <w:b/>
          <w:bCs/>
          <w:color w:val="auto"/>
          <w:sz w:val="24"/>
          <w:szCs w:val="24"/>
          <w:highlight w:val="none"/>
        </w:rPr>
        <w:t>元（大写：</w:t>
      </w:r>
      <w:r>
        <w:rPr>
          <w:rFonts w:hint="eastAsia" w:ascii="宋体" w:hAnsi="宋体" w:cs="宋体"/>
          <w:b/>
          <w:bCs/>
          <w:color w:val="auto"/>
          <w:sz w:val="24"/>
          <w:szCs w:val="24"/>
          <w:highlight w:val="none"/>
          <w:lang w:eastAsia="zh-CN"/>
        </w:rPr>
        <w:t>陆仟元整</w:t>
      </w:r>
      <w:r>
        <w:rPr>
          <w:rFonts w:hint="eastAsia" w:ascii="宋体" w:hAnsi="宋体" w:cs="宋体"/>
          <w:b/>
          <w:bCs/>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3、竞标保证金有效期等同竞标有效期。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4、未在指定时间内到账的竞标保证金为无效竞标保证金，当场退还其响应文件。</w:t>
      </w:r>
    </w:p>
    <w:p>
      <w:pPr>
        <w:spacing w:line="360" w:lineRule="auto"/>
        <w:ind w:firstLine="480" w:firstLineChars="200"/>
        <w:rPr>
          <w:color w:val="auto"/>
          <w:highlight w:val="none"/>
        </w:rPr>
      </w:pPr>
      <w:r>
        <w:rPr>
          <w:rFonts w:hint="eastAsia" w:ascii="宋体" w:hAnsi="宋体" w:cs="宋体"/>
          <w:color w:val="auto"/>
          <w:sz w:val="24"/>
          <w:szCs w:val="24"/>
          <w:highlight w:val="none"/>
        </w:rPr>
        <w:t>5、竞标人应将单位基本银行账户的开户许可证（或银行盖章的基本账户证明材料）和竞标保证金进账凭据带至现场查验(以上资料原件备验)。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（二）保证金退还方式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如因竞标人自身原因，竞标保证金未缴入本项目专用账户导致的竞标保证金退还延迟，由竞标人自行负责。</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保证金联系人：</w:t>
      </w:r>
      <w:r>
        <w:rPr>
          <w:rFonts w:hint="eastAsia" w:ascii="宋体" w:hAnsi="宋体" w:cs="宋体"/>
          <w:color w:val="auto"/>
          <w:sz w:val="24"/>
          <w:szCs w:val="24"/>
          <w:highlight w:val="none"/>
          <w:lang w:eastAsia="zh-CN"/>
        </w:rPr>
        <w:t>肖</w:t>
      </w:r>
      <w:r>
        <w:rPr>
          <w:rFonts w:hint="eastAsia" w:ascii="宋体" w:hAnsi="宋体" w:cs="宋体"/>
          <w:color w:val="auto"/>
          <w:sz w:val="24"/>
          <w:szCs w:val="24"/>
          <w:highlight w:val="none"/>
        </w:rPr>
        <w:t>老师；      咨询电话：023-68955002</w:t>
      </w:r>
    </w:p>
    <w:p>
      <w:pPr>
        <w:pStyle w:val="5"/>
        <w:spacing w:line="360" w:lineRule="auto"/>
        <w:rPr>
          <w:rFonts w:ascii="宋体" w:hAnsi="宋体" w:cs="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color w:val="auto"/>
          <w:sz w:val="24"/>
          <w:szCs w:val="24"/>
          <w:highlight w:val="none"/>
        </w:rPr>
        <w:t>、</w:t>
      </w:r>
      <w:bookmarkEnd w:id="8"/>
      <w:bookmarkEnd w:id="12"/>
      <w:bookmarkStart w:id="14" w:name="_Toc480466698"/>
      <w:bookmarkStart w:id="15" w:name="_Toc479668114"/>
      <w:r>
        <w:rPr>
          <w:rFonts w:hint="eastAsia" w:ascii="宋体" w:hAnsi="宋体" w:cs="宋体"/>
          <w:color w:val="auto"/>
          <w:sz w:val="24"/>
          <w:szCs w:val="24"/>
          <w:highlight w:val="none"/>
        </w:rPr>
        <w:t>采购项目需落实的政府采购政策</w:t>
      </w:r>
      <w:bookmarkEnd w:id="13"/>
      <w:bookmarkEnd w:id="14"/>
      <w:bookmarkEnd w:id="15"/>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（四）按照《三部门联合发布关于促进残疾人就业政府采购政策的通知》（财库〔2017〕 141号）的规定，落实支持残疾人福利性单位发展政策。</w:t>
      </w:r>
    </w:p>
    <w:p>
      <w:pPr>
        <w:pStyle w:val="5"/>
        <w:spacing w:line="360" w:lineRule="auto"/>
        <w:rPr>
          <w:rFonts w:ascii="宋体" w:hAnsi="宋体" w:cs="宋体"/>
          <w:color w:val="auto"/>
          <w:sz w:val="24"/>
          <w:szCs w:val="24"/>
          <w:highlight w:val="none"/>
        </w:rPr>
      </w:pPr>
      <w:bookmarkStart w:id="16" w:name="_Toc54278974"/>
      <w:bookmarkStart w:id="17" w:name="_Toc480466699"/>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、其它有关规定</w:t>
      </w:r>
      <w:bookmarkEnd w:id="16"/>
      <w:bookmarkEnd w:id="17"/>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（四）超过响应文件截止时间递交的响应文件，恕不接收。</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（五）磋商费用：无论磋商结果如何，供应商参与本项目磋商的所有费用均应由供应商自行承担。</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（六）</w:t>
      </w:r>
      <w:r>
        <w:rPr>
          <w:rFonts w:hint="eastAsia" w:ascii="宋体" w:hAnsi="宋体" w:cs="宋体"/>
          <w:b/>
          <w:color w:val="auto"/>
          <w:sz w:val="24"/>
          <w:szCs w:val="24"/>
          <w:highlight w:val="none"/>
        </w:rPr>
        <w:t>本项目不接受联合体参与磋商。</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（七）</w:t>
      </w:r>
      <w:bookmarkStart w:id="18" w:name="_Toc480466700"/>
      <w:r>
        <w:rPr>
          <w:rFonts w:hint="eastAsia" w:ascii="宋体" w:hAnsi="宋体" w:cs="宋体"/>
          <w:color w:val="auto"/>
          <w:sz w:val="24"/>
          <w:szCs w:val="24"/>
          <w:highlight w:val="none"/>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5"/>
        <w:spacing w:line="360" w:lineRule="auto"/>
        <w:rPr>
          <w:rFonts w:ascii="宋体" w:hAnsi="宋体" w:cs="宋体"/>
          <w:color w:val="auto"/>
          <w:sz w:val="24"/>
          <w:szCs w:val="24"/>
          <w:highlight w:val="none"/>
        </w:rPr>
      </w:pPr>
      <w:bookmarkStart w:id="19" w:name="_Toc54278975"/>
      <w:r>
        <w:rPr>
          <w:rFonts w:hint="eastAsia" w:ascii="宋体" w:hAnsi="宋体" w:cs="宋体"/>
          <w:color w:val="auto"/>
          <w:sz w:val="24"/>
          <w:szCs w:val="24"/>
          <w:highlight w:val="none"/>
          <w:lang w:eastAsia="zh-CN"/>
        </w:rPr>
        <w:t>八</w:t>
      </w:r>
      <w:r>
        <w:rPr>
          <w:rFonts w:hint="eastAsia" w:ascii="宋体" w:hAnsi="宋体" w:cs="宋体"/>
          <w:color w:val="auto"/>
          <w:sz w:val="24"/>
          <w:szCs w:val="24"/>
          <w:highlight w:val="none"/>
        </w:rPr>
        <w:t>、联系方式</w:t>
      </w:r>
      <w:bookmarkEnd w:id="18"/>
      <w:bookmarkEnd w:id="19"/>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 xml:space="preserve">采购人：重庆建桥实业发展有限公司 </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lang w:eastAsia="zh-CN"/>
        </w:rPr>
        <w:t>肖</w:t>
      </w:r>
      <w:r>
        <w:rPr>
          <w:rFonts w:hint="eastAsia" w:ascii="宋体" w:hAnsi="宋体" w:cs="宋体"/>
          <w:color w:val="auto"/>
          <w:sz w:val="24"/>
          <w:szCs w:val="24"/>
          <w:highlight w:val="none"/>
        </w:rPr>
        <w:t>老师</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电  话：023-68955002</w:t>
      </w:r>
      <w:bookmarkStart w:id="20" w:name="_Toc54278977"/>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地  址：重庆市大渡口区田西路中冶熙城商街1号楼1楼</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br w:type="page"/>
      </w:r>
    </w:p>
    <w:p>
      <w:pPr>
        <w:pStyle w:val="3"/>
        <w:rPr>
          <w:rFonts w:hint="eastAsia"/>
          <w:color w:val="auto"/>
          <w:highlight w:val="none"/>
        </w:rPr>
      </w:pPr>
    </w:p>
    <w:p>
      <w:pPr>
        <w:pStyle w:val="4"/>
        <w:spacing w:line="360" w:lineRule="auto"/>
        <w:jc w:val="center"/>
        <w:rPr>
          <w:rFonts w:ascii="宋体" w:hAnsi="宋体" w:eastAsia="宋体" w:cs="宋体"/>
          <w:b w:val="0"/>
          <w:color w:val="auto"/>
          <w:sz w:val="30"/>
          <w:szCs w:val="30"/>
          <w:highlight w:val="none"/>
        </w:rPr>
      </w:pPr>
      <w:r>
        <w:rPr>
          <w:rFonts w:hint="eastAsia" w:ascii="宋体" w:hAnsi="宋体" w:eastAsia="宋体" w:cs="宋体"/>
          <w:b w:val="0"/>
          <w:color w:val="auto"/>
          <w:sz w:val="36"/>
          <w:szCs w:val="30"/>
          <w:highlight w:val="none"/>
        </w:rPr>
        <w:t>第二篇  项目</w:t>
      </w:r>
      <w:r>
        <w:rPr>
          <w:rFonts w:hint="eastAsia" w:ascii="宋体" w:hAnsi="宋体" w:eastAsia="宋体" w:cs="宋体"/>
          <w:b w:val="0"/>
          <w:color w:val="auto"/>
          <w:sz w:val="36"/>
          <w:szCs w:val="30"/>
          <w:highlight w:val="none"/>
          <w:lang w:eastAsia="zh-CN"/>
        </w:rPr>
        <w:t>服务</w:t>
      </w:r>
      <w:r>
        <w:rPr>
          <w:rFonts w:hint="eastAsia" w:ascii="宋体" w:hAnsi="宋体" w:eastAsia="宋体" w:cs="宋体"/>
          <w:b w:val="0"/>
          <w:color w:val="auto"/>
          <w:sz w:val="36"/>
          <w:szCs w:val="30"/>
          <w:highlight w:val="none"/>
        </w:rPr>
        <w:t>需求</w:t>
      </w:r>
      <w:bookmarkEnd w:id="20"/>
    </w:p>
    <w:p>
      <w:pPr>
        <w:pStyle w:val="5"/>
        <w:adjustRightInd w:val="0"/>
        <w:snapToGrid w:val="0"/>
        <w:spacing w:before="0" w:after="0" w:line="400" w:lineRule="exact"/>
        <w:ind w:firstLine="480" w:firstLineChars="200"/>
        <w:rPr>
          <w:rFonts w:hint="eastAsia" w:ascii="宋体" w:hAnsi="宋体" w:eastAsia="宋体" w:cs="宋体"/>
          <w:b w:val="0"/>
          <w:color w:val="auto"/>
          <w:kern w:val="2"/>
          <w:sz w:val="24"/>
          <w:szCs w:val="24"/>
          <w:highlight w:val="none"/>
          <w:lang w:val="en-US" w:eastAsia="zh-CN" w:bidi="ar-SA"/>
        </w:rPr>
      </w:pPr>
      <w:bookmarkStart w:id="21" w:name="_Toc76462325"/>
      <w:bookmarkStart w:id="22" w:name="_Toc792"/>
      <w:bookmarkStart w:id="23" w:name="_Toc12789058"/>
      <w:bookmarkStart w:id="24" w:name="_Toc54278984"/>
      <w:r>
        <w:rPr>
          <w:rFonts w:hint="eastAsia" w:ascii="宋体" w:hAnsi="宋体" w:eastAsia="宋体" w:cs="宋体"/>
          <w:b w:val="0"/>
          <w:color w:val="auto"/>
          <w:kern w:val="2"/>
          <w:sz w:val="24"/>
          <w:szCs w:val="24"/>
          <w:highlight w:val="none"/>
          <w:lang w:val="en-US" w:eastAsia="zh-CN" w:bidi="ar-SA"/>
        </w:rPr>
        <w:t>一、项目基本概况</w:t>
      </w:r>
      <w:bookmarkEnd w:id="21"/>
      <w:bookmarkEnd w:id="22"/>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（一）项目名称：绿色工业园区评价报告编制项目采购</w:t>
      </w:r>
      <w:r>
        <w:rPr>
          <w:rFonts w:hint="eastAsia" w:ascii="宋体" w:hAnsi="宋体" w:cs="宋体"/>
          <w:b w:val="0"/>
          <w:color w:val="auto"/>
          <w:kern w:val="2"/>
          <w:sz w:val="24"/>
          <w:szCs w:val="24"/>
          <w:highlight w:val="none"/>
          <w:lang w:val="en-US" w:eastAsia="zh-CN" w:bidi="ar-SA"/>
        </w:rPr>
        <w:t>（第二次）</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二）项目概况：根据《工业和信息化部办公厅关于开展2023年度绿色制造名单推荐工作的通知》（工信厅节函〔2023〕202号）要求，全国各省市正组织开展2023年度绿色制造名单推荐工作，推荐对象有绿色工厂、绿色工业园区、绿色供应链管理企业。现为推动建桥工业园绿色制造体系建设，我司拟参与绿色工业园区（国家级）申报，需委托第三方评价机构编制评价报告。</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（三）采购范围：按照国家级绿色园区申报文件要求，对园区创建绿色园区进行培育指导以及独立开展第三方评价工作。</w:t>
      </w:r>
    </w:p>
    <w:p>
      <w:pPr>
        <w:pStyle w:val="5"/>
        <w:adjustRightInd w:val="0"/>
        <w:snapToGrid w:val="0"/>
        <w:spacing w:before="0" w:after="0" w:line="400" w:lineRule="exact"/>
        <w:ind w:firstLine="480" w:firstLineChars="200"/>
        <w:rPr>
          <w:rFonts w:hint="eastAsia" w:ascii="宋体" w:hAnsi="宋体" w:eastAsia="宋体" w:cs="宋体"/>
          <w:b w:val="0"/>
          <w:color w:val="auto"/>
          <w:kern w:val="2"/>
          <w:sz w:val="24"/>
          <w:szCs w:val="24"/>
          <w:highlight w:val="none"/>
          <w:lang w:val="en-US" w:eastAsia="zh-CN" w:bidi="ar-SA"/>
        </w:rPr>
      </w:pPr>
      <w:bookmarkStart w:id="25" w:name="_Toc22724"/>
      <w:r>
        <w:rPr>
          <w:rFonts w:hint="eastAsia" w:ascii="宋体" w:hAnsi="宋体" w:eastAsia="宋体" w:cs="宋体"/>
          <w:b w:val="0"/>
          <w:color w:val="auto"/>
          <w:kern w:val="2"/>
          <w:sz w:val="24"/>
          <w:szCs w:val="24"/>
          <w:highlight w:val="none"/>
          <w:lang w:val="en-US" w:eastAsia="zh-CN" w:bidi="ar-SA"/>
        </w:rPr>
        <w:t>二、项目服务技术需求</w:t>
      </w:r>
      <w:bookmarkEnd w:id="25"/>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参与绿色工业园区（国家级）申报，出具编制报告并通过国家工信部组织的专家评审并对社会公示。</w:t>
      </w:r>
    </w:p>
    <w:p>
      <w:pPr>
        <w:spacing w:line="540" w:lineRule="exact"/>
        <w:ind w:firstLine="470"/>
        <w:rPr>
          <w:rFonts w:hint="eastAsia" w:ascii="宋体" w:hAnsi="宋体" w:eastAsia="宋体" w:cs="宋体"/>
          <w:b w:val="0"/>
          <w:color w:val="auto"/>
          <w:kern w:val="2"/>
          <w:sz w:val="24"/>
          <w:szCs w:val="24"/>
          <w:highlight w:val="none"/>
          <w:lang w:val="en-US" w:eastAsia="zh-CN" w:bidi="ar-SA"/>
        </w:rPr>
      </w:pPr>
      <w:r>
        <w:rPr>
          <w:rFonts w:hint="eastAsia" w:ascii="宋体" w:hAnsi="宋体" w:cs="宋体"/>
          <w:b w:val="0"/>
          <w:color w:val="auto"/>
          <w:kern w:val="2"/>
          <w:sz w:val="24"/>
          <w:szCs w:val="24"/>
          <w:highlight w:val="none"/>
          <w:lang w:val="en-US" w:eastAsia="zh-CN" w:bidi="ar-SA"/>
        </w:rPr>
        <w:t>三</w:t>
      </w:r>
      <w:r>
        <w:rPr>
          <w:rFonts w:hint="eastAsia" w:ascii="宋体" w:hAnsi="宋体" w:eastAsia="宋体" w:cs="宋体"/>
          <w:b w:val="0"/>
          <w:color w:val="auto"/>
          <w:kern w:val="2"/>
          <w:sz w:val="24"/>
          <w:szCs w:val="24"/>
          <w:highlight w:val="none"/>
          <w:lang w:val="en-US" w:eastAsia="zh-CN" w:bidi="ar-SA"/>
        </w:rPr>
        <w:t>、其他</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（一）、现场踏勘：请供应商自行踏勘以充分了解</w:t>
      </w:r>
      <w:r>
        <w:rPr>
          <w:rFonts w:hint="eastAsia" w:ascii="宋体" w:hAnsi="宋体" w:cs="宋体"/>
          <w:b w:val="0"/>
          <w:color w:val="auto"/>
          <w:kern w:val="2"/>
          <w:sz w:val="24"/>
          <w:szCs w:val="24"/>
          <w:highlight w:val="none"/>
          <w:lang w:val="en-US" w:eastAsia="zh-CN" w:bidi="ar-SA"/>
        </w:rPr>
        <w:t>项目</w:t>
      </w:r>
      <w:r>
        <w:rPr>
          <w:rFonts w:hint="eastAsia" w:ascii="宋体" w:hAnsi="宋体" w:eastAsia="宋体" w:cs="宋体"/>
          <w:b w:val="0"/>
          <w:color w:val="auto"/>
          <w:kern w:val="2"/>
          <w:sz w:val="24"/>
          <w:szCs w:val="24"/>
          <w:highlight w:val="none"/>
          <w:lang w:val="en-US" w:eastAsia="zh-CN" w:bidi="ar-SA"/>
        </w:rPr>
        <w:t>位置、地质情况、进出场道路、储存空间、装卸限制、行车干扰及任何其它足以影响承包价格的情况，任何因忽视或误解工地情况而导致的索赔或工期延长申请将不获批准。开标时如未踏堪现场视为已踏堪，踏勘费用由供应商自行承担。</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二）、采购人将进一步核查供应商在响应文件中的提供的投标资料，若在评标期间有供应商投诉并经查实或评标委员会发现供应商提供了虚假资料，采购人将对供应商的响应文件作否决处理。采购人若在合同实施期间发现供应商提供虚假资料或以供应商承诺不相符合内容，采购人将从工程支付款扣除不超过签约合同价的10%的金额作为违约金，采购人将终止本合同。</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（三）、成交供应商在</w:t>
      </w:r>
      <w:r>
        <w:rPr>
          <w:rFonts w:hint="eastAsia" w:ascii="宋体" w:hAnsi="宋体" w:cs="宋体"/>
          <w:b w:val="0"/>
          <w:color w:val="auto"/>
          <w:kern w:val="2"/>
          <w:sz w:val="24"/>
          <w:szCs w:val="24"/>
          <w:highlight w:val="none"/>
          <w:lang w:val="en-US" w:eastAsia="zh-CN" w:bidi="ar-SA"/>
        </w:rPr>
        <w:t>服务</w:t>
      </w:r>
      <w:r>
        <w:rPr>
          <w:rFonts w:hint="eastAsia" w:ascii="宋体" w:hAnsi="宋体" w:eastAsia="宋体" w:cs="宋体"/>
          <w:b w:val="0"/>
          <w:color w:val="auto"/>
          <w:kern w:val="2"/>
          <w:sz w:val="24"/>
          <w:szCs w:val="24"/>
          <w:highlight w:val="none"/>
          <w:lang w:val="en-US" w:eastAsia="zh-CN" w:bidi="ar-SA"/>
        </w:rPr>
        <w:t>过程中不得损害业主的相关设施或妨碍辖区居民的正常生产工作秩序；</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（四）、服务所需设施、设备、用具等全部由成交供应商自行负责；</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（五）、服务过程中不能阻断交通，以及服务过程中的一切安全责任由成交供应商自行负责；</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（六）、服务过程中的用水、用电、临时占地和青苗补偿由成交供应商自行协调解决，并承担相应费用。</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w:t>
      </w:r>
      <w:r>
        <w:rPr>
          <w:rFonts w:hint="eastAsia" w:ascii="宋体" w:hAnsi="宋体" w:cs="宋体"/>
          <w:b w:val="0"/>
          <w:color w:val="auto"/>
          <w:kern w:val="2"/>
          <w:sz w:val="24"/>
          <w:szCs w:val="24"/>
          <w:highlight w:val="none"/>
          <w:lang w:val="en-US" w:eastAsia="zh-CN" w:bidi="ar-SA"/>
        </w:rPr>
        <w:t>七</w:t>
      </w:r>
      <w:r>
        <w:rPr>
          <w:rFonts w:hint="eastAsia" w:ascii="宋体" w:hAnsi="宋体" w:eastAsia="宋体" w:cs="宋体"/>
          <w:b w:val="0"/>
          <w:color w:val="auto"/>
          <w:kern w:val="2"/>
          <w:sz w:val="24"/>
          <w:szCs w:val="24"/>
          <w:highlight w:val="none"/>
          <w:lang w:val="en-US" w:eastAsia="zh-CN" w:bidi="ar-SA"/>
        </w:rPr>
        <w:t>）、承包人不得将合同的任何部分或采购方的任何权利、利益或责任转让、委派、许诺、安排给其他人；不得通过租用、借用他人资质证书承揽工程，承包人如有上述行为，发包人有权立即终止合同，承包人应承担由此引起的违约责任及相关法律法规责任。</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w:t>
      </w:r>
      <w:r>
        <w:rPr>
          <w:rFonts w:hint="eastAsia" w:ascii="宋体" w:hAnsi="宋体" w:cs="宋体"/>
          <w:b w:val="0"/>
          <w:color w:val="auto"/>
          <w:kern w:val="2"/>
          <w:sz w:val="24"/>
          <w:szCs w:val="24"/>
          <w:highlight w:val="none"/>
          <w:lang w:val="en-US" w:eastAsia="zh-CN" w:bidi="ar-SA"/>
        </w:rPr>
        <w:t>八</w:t>
      </w:r>
      <w:r>
        <w:rPr>
          <w:rFonts w:hint="eastAsia" w:ascii="宋体" w:hAnsi="宋体" w:eastAsia="宋体" w:cs="宋体"/>
          <w:b w:val="0"/>
          <w:color w:val="auto"/>
          <w:kern w:val="2"/>
          <w:sz w:val="24"/>
          <w:szCs w:val="24"/>
          <w:highlight w:val="none"/>
          <w:lang w:val="en-US" w:eastAsia="zh-CN" w:bidi="ar-SA"/>
        </w:rPr>
        <w:t>）、供应商必须在响应文件中对以上条款和服务承诺明确列出，承诺内容必须达到本篇及谈判文件其他条款的要求。</w:t>
      </w:r>
    </w:p>
    <w:p>
      <w:pPr>
        <w:pStyle w:val="4"/>
        <w:spacing w:line="360" w:lineRule="auto"/>
        <w:ind w:firstLine="480" w:firstLineChars="200"/>
        <w:jc w:val="left"/>
        <w:rPr>
          <w:rFonts w:hint="eastAsia" w:ascii="宋体" w:hAnsi="宋体" w:eastAsia="宋体" w:cs="宋体"/>
          <w:b w:val="0"/>
          <w:color w:val="auto"/>
          <w:kern w:val="2"/>
          <w:sz w:val="24"/>
          <w:szCs w:val="24"/>
          <w:highlight w:val="none"/>
          <w:lang w:val="en-US" w:eastAsia="zh-CN" w:bidi="ar-SA"/>
        </w:rPr>
      </w:pPr>
      <w:bookmarkStart w:id="26" w:name="_Toc21036"/>
      <w:bookmarkStart w:id="27" w:name="_Toc6700"/>
      <w:bookmarkStart w:id="28" w:name="_Toc16204"/>
      <w:r>
        <w:rPr>
          <w:rFonts w:hint="eastAsia" w:ascii="宋体" w:hAnsi="宋体" w:eastAsia="宋体" w:cs="宋体"/>
          <w:b w:val="0"/>
          <w:color w:val="auto"/>
          <w:kern w:val="2"/>
          <w:sz w:val="24"/>
          <w:szCs w:val="24"/>
          <w:highlight w:val="none"/>
          <w:lang w:val="en-US" w:eastAsia="zh-CN" w:bidi="ar-SA"/>
        </w:rPr>
        <w:t>（九）、其他未尽事宜由供需双方在采购合同中详细约定。</w:t>
      </w:r>
      <w:bookmarkEnd w:id="26"/>
      <w:bookmarkEnd w:id="27"/>
      <w:bookmarkEnd w:id="28"/>
    </w:p>
    <w:p>
      <w:pPr>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br w:type="page"/>
      </w:r>
    </w:p>
    <w:p>
      <w:pPr>
        <w:rPr>
          <w:rFonts w:hint="eastAsia"/>
          <w:color w:val="auto"/>
          <w:highlight w:val="none"/>
          <w:lang w:val="en-US" w:eastAsia="zh-CN"/>
        </w:rPr>
      </w:pPr>
    </w:p>
    <w:p>
      <w:pPr>
        <w:pStyle w:val="4"/>
        <w:spacing w:line="360" w:lineRule="auto"/>
        <w:jc w:val="center"/>
        <w:rPr>
          <w:rFonts w:ascii="宋体" w:hAnsi="宋体" w:eastAsia="宋体" w:cs="宋体"/>
          <w:b w:val="0"/>
          <w:color w:val="auto"/>
          <w:sz w:val="36"/>
          <w:szCs w:val="30"/>
          <w:highlight w:val="none"/>
        </w:rPr>
      </w:pPr>
      <w:r>
        <w:rPr>
          <w:rFonts w:hint="eastAsia" w:ascii="宋体" w:hAnsi="宋体" w:eastAsia="宋体" w:cs="宋体"/>
          <w:b w:val="0"/>
          <w:color w:val="auto"/>
          <w:sz w:val="36"/>
          <w:szCs w:val="30"/>
          <w:highlight w:val="none"/>
        </w:rPr>
        <w:t xml:space="preserve">第三篇  </w:t>
      </w:r>
      <w:bookmarkEnd w:id="23"/>
      <w:r>
        <w:rPr>
          <w:rFonts w:hint="eastAsia" w:ascii="宋体" w:hAnsi="宋体" w:eastAsia="宋体" w:cs="宋体"/>
          <w:b w:val="0"/>
          <w:color w:val="auto"/>
          <w:sz w:val="36"/>
          <w:szCs w:val="30"/>
          <w:highlight w:val="none"/>
        </w:rPr>
        <w:t>项目商务需求</w:t>
      </w:r>
      <w:bookmarkEnd w:id="24"/>
    </w:p>
    <w:p>
      <w:pPr>
        <w:pStyle w:val="5"/>
        <w:spacing w:line="440" w:lineRule="exact"/>
        <w:rPr>
          <w:rFonts w:ascii="宋体" w:hAnsi="宋体" w:cs="宋体"/>
          <w:color w:val="auto"/>
          <w:sz w:val="24"/>
          <w:szCs w:val="24"/>
          <w:highlight w:val="none"/>
        </w:rPr>
      </w:pPr>
      <w:bookmarkStart w:id="29" w:name="_Toc344475120"/>
      <w:bookmarkStart w:id="30" w:name="_Toc54278985"/>
      <w:r>
        <w:rPr>
          <w:rFonts w:hint="eastAsia" w:ascii="宋体" w:hAnsi="宋体" w:cs="宋体"/>
          <w:color w:val="auto"/>
          <w:sz w:val="24"/>
          <w:szCs w:val="24"/>
          <w:highlight w:val="none"/>
        </w:rPr>
        <w:t>一、服务期、</w:t>
      </w:r>
      <w:r>
        <w:rPr>
          <w:rFonts w:hint="eastAsia" w:ascii="宋体" w:hAnsi="宋体" w:cs="宋体"/>
          <w:color w:val="auto"/>
          <w:sz w:val="24"/>
          <w:szCs w:val="24"/>
          <w:highlight w:val="none"/>
          <w:lang w:eastAsia="zh-CN"/>
        </w:rPr>
        <w:t>服务内容、</w:t>
      </w:r>
      <w:r>
        <w:rPr>
          <w:rFonts w:hint="eastAsia" w:ascii="宋体" w:hAnsi="宋体" w:cs="宋体"/>
          <w:color w:val="auto"/>
          <w:sz w:val="24"/>
          <w:szCs w:val="24"/>
          <w:highlight w:val="none"/>
        </w:rPr>
        <w:t>地点及验收方式</w:t>
      </w:r>
      <w:bookmarkEnd w:id="29"/>
      <w:bookmarkEnd w:id="30"/>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（一）</w:t>
      </w:r>
      <w:r>
        <w:rPr>
          <w:rFonts w:hint="eastAsia" w:ascii="宋体" w:hAnsi="宋体" w:cs="宋体"/>
          <w:color w:val="auto"/>
          <w:sz w:val="24"/>
          <w:szCs w:val="24"/>
          <w:highlight w:val="none"/>
          <w:lang w:eastAsia="zh-CN"/>
        </w:rPr>
        <w:t>服务</w:t>
      </w:r>
      <w:r>
        <w:rPr>
          <w:rFonts w:hint="eastAsia" w:ascii="宋体" w:hAnsi="宋体" w:cs="宋体"/>
          <w:color w:val="auto"/>
          <w:sz w:val="24"/>
          <w:szCs w:val="24"/>
          <w:highlight w:val="none"/>
        </w:rPr>
        <w:t>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10</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日历天。</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w:t>
      </w:r>
      <w:r>
        <w:rPr>
          <w:rFonts w:hint="eastAsia" w:ascii="宋体" w:hAnsi="宋体" w:cs="宋体"/>
          <w:color w:val="auto"/>
          <w:sz w:val="24"/>
          <w:szCs w:val="24"/>
          <w:highlight w:val="none"/>
          <w:lang w:eastAsia="zh-CN"/>
        </w:rPr>
        <w:t>服务</w:t>
      </w:r>
      <w:r>
        <w:rPr>
          <w:rFonts w:hint="eastAsia" w:ascii="宋体" w:hAnsi="宋体" w:cs="宋体"/>
          <w:color w:val="auto"/>
          <w:sz w:val="24"/>
          <w:szCs w:val="24"/>
          <w:highlight w:val="none"/>
        </w:rPr>
        <w:t>地点：招标人指定地点</w:t>
      </w:r>
    </w:p>
    <w:p>
      <w:pPr>
        <w:spacing w:line="54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）验收方式及标准</w:t>
      </w:r>
      <w:bookmarkStart w:id="31" w:name="_Toc344475121"/>
      <w:bookmarkStart w:id="32" w:name="_Toc54278986"/>
    </w:p>
    <w:p>
      <w:pPr>
        <w:spacing w:line="540" w:lineRule="exact"/>
        <w:ind w:firstLine="720" w:firstLineChars="300"/>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由采购人自行验收</w:t>
      </w:r>
      <w:r>
        <w:rPr>
          <w:rFonts w:hint="eastAsia" w:ascii="宋体" w:hAnsi="宋体" w:cs="宋体"/>
          <w:color w:val="auto"/>
          <w:sz w:val="24"/>
          <w:szCs w:val="24"/>
          <w:highlight w:val="none"/>
          <w:lang w:eastAsia="zh-CN"/>
        </w:rPr>
        <w:t>。</w:t>
      </w:r>
      <w:r>
        <w:rPr>
          <w:rFonts w:hint="eastAsia" w:ascii="宋体" w:hAnsi="宋体" w:cs="宋体"/>
          <w:b w:val="0"/>
          <w:color w:val="auto"/>
          <w:kern w:val="2"/>
          <w:sz w:val="24"/>
          <w:szCs w:val="24"/>
          <w:highlight w:val="none"/>
          <w:lang w:val="en-US" w:eastAsia="zh-CN" w:bidi="ar-SA"/>
        </w:rPr>
        <w:t>编制完成重庆建桥工业园绿色园区第三方评价报告，并通过国家工信部组织的专家评审，进入国家工信部官方网站公示的绿色制造体系名单内，即为验收合格。</w:t>
      </w:r>
    </w:p>
    <w:p>
      <w:pPr>
        <w:pStyle w:val="5"/>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二、</w:t>
      </w:r>
      <w:bookmarkEnd w:id="31"/>
      <w:r>
        <w:rPr>
          <w:rFonts w:hint="eastAsia" w:ascii="宋体" w:hAnsi="宋体" w:cs="宋体"/>
          <w:color w:val="auto"/>
          <w:sz w:val="24"/>
          <w:szCs w:val="24"/>
          <w:highlight w:val="none"/>
        </w:rPr>
        <w:t>报价要求</w:t>
      </w:r>
      <w:bookmarkEnd w:id="32"/>
    </w:p>
    <w:p>
      <w:pPr>
        <w:pStyle w:val="11"/>
        <w:tabs>
          <w:tab w:val="left" w:pos="4905"/>
        </w:tabs>
        <w:spacing w:line="560" w:lineRule="exact"/>
        <w:ind w:firstLine="480" w:firstLineChars="200"/>
        <w:rPr>
          <w:rFonts w:ascii="方正仿宋_GBK" w:hAnsi="方正仿宋_GBK" w:eastAsia="方正仿宋_GBK" w:cs="方正仿宋_GBK"/>
          <w:color w:val="auto"/>
          <w:sz w:val="32"/>
          <w:szCs w:val="32"/>
          <w:highlight w:val="none"/>
        </w:rPr>
      </w:pPr>
      <w:bookmarkStart w:id="33" w:name="_Toc54278994"/>
      <w:r>
        <w:rPr>
          <w:rFonts w:hint="eastAsia" w:ascii="宋体" w:hAnsi="宋体" w:eastAsia="宋体" w:cs="宋体"/>
          <w:color w:val="auto"/>
          <w:kern w:val="2"/>
          <w:sz w:val="24"/>
          <w:szCs w:val="24"/>
          <w:highlight w:val="none"/>
          <w:lang w:val="en-US" w:eastAsia="zh-CN" w:bidi="ar-SA"/>
        </w:rPr>
        <w:t>供应商应当按照采购文件规定自主价格，本次报价为人民币报价，报价总金额不能超过限价标准，报价应包含创建全部过程的所有费用内容，若因供应商原因造成的漏报、错报而导致本项目无法履行的，由供应商负责，采购人不会承担任何责任。</w:t>
      </w:r>
    </w:p>
    <w:p>
      <w:pPr>
        <w:pStyle w:val="11"/>
        <w:tabs>
          <w:tab w:val="left" w:pos="4905"/>
        </w:tabs>
        <w:spacing w:line="560" w:lineRule="exact"/>
        <w:ind w:firstLine="480" w:firstLineChars="200"/>
        <w:rPr>
          <w:rFonts w:hint="eastAsia" w:ascii="宋体" w:hAnsi="宋体" w:eastAsia="宋体" w:cs="宋体"/>
          <w:color w:val="auto"/>
          <w:kern w:val="2"/>
          <w:sz w:val="24"/>
          <w:szCs w:val="24"/>
          <w:highlight w:val="none"/>
          <w:lang w:val="en-US" w:eastAsia="zh-CN" w:bidi="ar-SA"/>
        </w:rPr>
      </w:pPr>
      <w:bookmarkStart w:id="34" w:name="_Toc54278987"/>
      <w:r>
        <w:rPr>
          <w:rFonts w:hint="eastAsia" w:ascii="宋体" w:hAnsi="宋体" w:eastAsia="宋体" w:cs="宋体"/>
          <w:color w:val="auto"/>
          <w:kern w:val="2"/>
          <w:sz w:val="24"/>
          <w:szCs w:val="24"/>
          <w:highlight w:val="none"/>
          <w:lang w:val="en-US" w:eastAsia="zh-CN" w:bidi="ar-SA"/>
        </w:rPr>
        <w:t>本项目设最高限价为人民币: ￥ 450000.00 （大写： 肆拾伍万</w:t>
      </w:r>
      <w:r>
        <w:rPr>
          <w:rFonts w:hint="eastAsia" w:ascii="宋体" w:hAnsi="宋体" w:cs="宋体"/>
          <w:color w:val="auto"/>
          <w:kern w:val="2"/>
          <w:sz w:val="24"/>
          <w:szCs w:val="24"/>
          <w:highlight w:val="none"/>
          <w:lang w:val="en-US" w:eastAsia="zh-CN" w:bidi="ar-SA"/>
        </w:rPr>
        <w:t>元整</w:t>
      </w:r>
      <w:r>
        <w:rPr>
          <w:rFonts w:hint="eastAsia" w:ascii="宋体" w:hAnsi="宋体" w:eastAsia="宋体" w:cs="宋体"/>
          <w:color w:val="auto"/>
          <w:kern w:val="2"/>
          <w:sz w:val="24"/>
          <w:szCs w:val="24"/>
          <w:highlight w:val="none"/>
          <w:lang w:val="en-US" w:eastAsia="zh-CN" w:bidi="ar-SA"/>
        </w:rPr>
        <w:t>）。报价总价不得超过采购人发布的相应最高限价，否则按废标处理。</w:t>
      </w:r>
      <w:bookmarkEnd w:id="34"/>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三、结算原则</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合同结算金额=</w:t>
      </w:r>
      <w:r>
        <w:rPr>
          <w:rFonts w:hint="eastAsia" w:ascii="宋体" w:hAnsi="宋体" w:cs="宋体"/>
          <w:color w:val="auto"/>
          <w:sz w:val="24"/>
          <w:szCs w:val="24"/>
          <w:highlight w:val="none"/>
          <w:lang w:eastAsia="zh-CN"/>
        </w:rPr>
        <w:t>中标价</w:t>
      </w:r>
    </w:p>
    <w:p>
      <w:pPr>
        <w:numPr>
          <w:ilvl w:val="0"/>
          <w:numId w:val="1"/>
        </w:numPr>
        <w:spacing w:line="400" w:lineRule="exact"/>
        <w:rPr>
          <w:rFonts w:hint="eastAsia" w:ascii="宋体" w:hAnsi="宋体" w:cs="宋体"/>
          <w:b/>
          <w:color w:val="auto"/>
          <w:sz w:val="24"/>
          <w:szCs w:val="24"/>
          <w:highlight w:val="none"/>
        </w:rPr>
      </w:pPr>
      <w:r>
        <w:rPr>
          <w:rFonts w:hint="eastAsia" w:ascii="宋体" w:hAnsi="宋体" w:cs="宋体"/>
          <w:b/>
          <w:color w:val="auto"/>
          <w:sz w:val="24"/>
          <w:szCs w:val="24"/>
          <w:highlight w:val="none"/>
        </w:rPr>
        <w:t>付款方式</w:t>
      </w:r>
    </w:p>
    <w:p>
      <w:pPr>
        <w:spacing w:line="540" w:lineRule="exact"/>
        <w:ind w:firstLine="480" w:firstLineChars="20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报告完成后一个月内支付至合同金额的30%，若本次创建成功，则一次性支付剩余款项，若本次创建不成功，剩余款项待下次申报创建成功后支付。</w:t>
      </w:r>
    </w:p>
    <w:p>
      <w:pPr>
        <w:spacing w:line="540" w:lineRule="exact"/>
        <w:ind w:firstLine="480" w:firstLineChars="20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采购人在支付服务费前，中标人应开具足额的增值税专用发票，如中标人未按规定提交，造成的延期支付由中标人自行承担。</w:t>
      </w:r>
    </w:p>
    <w:p>
      <w:pPr>
        <w:spacing w:line="540" w:lineRule="exact"/>
        <w:jc w:val="left"/>
        <w:rPr>
          <w:rFonts w:ascii="宋体" w:hAnsi="宋体" w:cs="宋体"/>
          <w:b/>
          <w:color w:val="auto"/>
          <w:sz w:val="24"/>
          <w:szCs w:val="24"/>
          <w:highlight w:val="none"/>
        </w:rPr>
      </w:pPr>
      <w:r>
        <w:rPr>
          <w:rFonts w:hint="eastAsia" w:ascii="宋体" w:hAnsi="宋体" w:cs="宋体"/>
          <w:b/>
          <w:color w:val="auto"/>
          <w:sz w:val="24"/>
          <w:szCs w:val="24"/>
          <w:highlight w:val="none"/>
        </w:rPr>
        <w:t>五、知识产权</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(一)采购人在中华人民共和国境内使用成交竞标人提供的货物及服务时免受第三方提出的侵犯其专利权或其它知识产权的起诉。如果第三方提出侵权指控，成交竞标人应承担由此而引起的一切法律责任和费用。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（二）涉及软件开发等服务类项目知识产权的，知识产权归采购人所有。</w:t>
      </w:r>
    </w:p>
    <w:p>
      <w:pPr>
        <w:spacing w:line="540" w:lineRule="exact"/>
        <w:jc w:val="left"/>
        <w:rPr>
          <w:rFonts w:ascii="宋体" w:hAnsi="宋体" w:cs="宋体"/>
          <w:b/>
          <w:color w:val="auto"/>
          <w:sz w:val="24"/>
          <w:szCs w:val="24"/>
          <w:highlight w:val="none"/>
        </w:rPr>
      </w:pPr>
      <w:r>
        <w:rPr>
          <w:rFonts w:hint="eastAsia" w:ascii="宋体" w:hAnsi="宋体" w:cs="宋体"/>
          <w:b/>
          <w:color w:val="auto"/>
          <w:sz w:val="24"/>
          <w:szCs w:val="24"/>
          <w:highlight w:val="none"/>
        </w:rPr>
        <w:t>六、其他</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（一）竞标人必须在响应文件中对以上条款和服务承诺明确列出，承诺内容必须达到本篇及竞争性磋商文件其他条款的要求。</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（二）因</w:t>
      </w:r>
      <w:r>
        <w:rPr>
          <w:rFonts w:hint="eastAsia" w:ascii="宋体" w:hAnsi="宋体" w:cs="宋体"/>
          <w:color w:val="auto"/>
          <w:sz w:val="24"/>
          <w:szCs w:val="24"/>
          <w:highlight w:val="none"/>
          <w:lang w:eastAsia="zh-CN"/>
        </w:rPr>
        <w:t>中标人</w:t>
      </w:r>
      <w:r>
        <w:rPr>
          <w:rFonts w:hint="eastAsia" w:ascii="宋体" w:hAnsi="宋体" w:cs="宋体"/>
          <w:color w:val="auto"/>
          <w:sz w:val="24"/>
          <w:szCs w:val="24"/>
          <w:highlight w:val="none"/>
        </w:rPr>
        <w:t>原因，所提供的</w:t>
      </w:r>
      <w:r>
        <w:rPr>
          <w:rFonts w:hint="eastAsia" w:ascii="宋体" w:hAnsi="宋体" w:cs="宋体"/>
          <w:color w:val="auto"/>
          <w:sz w:val="24"/>
          <w:szCs w:val="24"/>
          <w:highlight w:val="none"/>
          <w:lang w:eastAsia="zh-CN"/>
        </w:rPr>
        <w:t>设备</w:t>
      </w:r>
      <w:r>
        <w:rPr>
          <w:rFonts w:hint="eastAsia" w:ascii="宋体" w:hAnsi="宋体" w:cs="宋体"/>
          <w:color w:val="auto"/>
          <w:sz w:val="24"/>
          <w:szCs w:val="24"/>
          <w:highlight w:val="none"/>
        </w:rPr>
        <w:t>不符合规范要求和有关规定，</w:t>
      </w:r>
      <w:r>
        <w:rPr>
          <w:rFonts w:hint="eastAsia" w:ascii="宋体" w:hAnsi="宋体" w:cs="宋体"/>
          <w:color w:val="auto"/>
          <w:sz w:val="24"/>
          <w:szCs w:val="24"/>
          <w:highlight w:val="none"/>
          <w:lang w:eastAsia="zh-CN"/>
        </w:rPr>
        <w:t>中标人</w:t>
      </w:r>
      <w:r>
        <w:rPr>
          <w:rFonts w:hint="eastAsia" w:ascii="宋体" w:hAnsi="宋体" w:cs="宋体"/>
          <w:color w:val="auto"/>
          <w:sz w:val="24"/>
          <w:szCs w:val="24"/>
          <w:highlight w:val="none"/>
        </w:rPr>
        <w:t>承担相应损失。</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（三）</w:t>
      </w:r>
      <w:r>
        <w:rPr>
          <w:rFonts w:hint="eastAsia" w:ascii="宋体" w:hAnsi="宋体" w:cs="宋体"/>
          <w:color w:val="auto"/>
          <w:sz w:val="24"/>
          <w:szCs w:val="24"/>
          <w:highlight w:val="none"/>
        </w:rPr>
        <w:t>中标</w:t>
      </w:r>
      <w:r>
        <w:rPr>
          <w:rFonts w:hint="eastAsia" w:ascii="宋体" w:hAnsi="宋体" w:cs="宋体"/>
          <w:color w:val="auto"/>
          <w:sz w:val="24"/>
          <w:szCs w:val="24"/>
          <w:highlight w:val="none"/>
          <w:lang w:eastAsia="zh-CN"/>
        </w:rPr>
        <w:t>人</w:t>
      </w:r>
      <w:r>
        <w:rPr>
          <w:rFonts w:hint="eastAsia" w:ascii="宋体" w:hAnsi="宋体" w:cs="宋体"/>
          <w:color w:val="auto"/>
          <w:sz w:val="24"/>
          <w:szCs w:val="24"/>
          <w:highlight w:val="none"/>
        </w:rPr>
        <w:t>如未按合同约定工期完工的（除不可抗力或经采购人同意），对中标</w:t>
      </w:r>
      <w:r>
        <w:rPr>
          <w:rFonts w:hint="eastAsia" w:ascii="宋体" w:hAnsi="宋体" w:cs="宋体"/>
          <w:color w:val="auto"/>
          <w:sz w:val="24"/>
          <w:szCs w:val="24"/>
          <w:highlight w:val="none"/>
          <w:lang w:eastAsia="zh-CN"/>
        </w:rPr>
        <w:t>人</w:t>
      </w:r>
      <w:r>
        <w:rPr>
          <w:rFonts w:hint="eastAsia" w:ascii="宋体" w:hAnsi="宋体" w:cs="宋体"/>
          <w:color w:val="auto"/>
          <w:sz w:val="24"/>
          <w:szCs w:val="24"/>
          <w:highlight w:val="none"/>
        </w:rPr>
        <w:t>处以万分之五/天的罚款。</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（四）</w:t>
      </w:r>
      <w:r>
        <w:rPr>
          <w:rFonts w:hint="eastAsia" w:ascii="宋体" w:hAnsi="宋体" w:cs="宋体"/>
          <w:color w:val="auto"/>
          <w:sz w:val="24"/>
          <w:szCs w:val="24"/>
          <w:highlight w:val="none"/>
        </w:rPr>
        <w:t>其他未尽事宜由供需双方在采购合同中详细约定。</w:t>
      </w:r>
    </w:p>
    <w:p>
      <w:pPr>
        <w:pStyle w:val="4"/>
        <w:pageBreakBefore/>
        <w:spacing w:line="360" w:lineRule="auto"/>
        <w:jc w:val="center"/>
        <w:rPr>
          <w:rFonts w:ascii="宋体" w:hAnsi="宋体" w:eastAsia="宋体" w:cs="宋体"/>
          <w:b w:val="0"/>
          <w:color w:val="auto"/>
          <w:sz w:val="36"/>
          <w:szCs w:val="30"/>
          <w:highlight w:val="none"/>
        </w:rPr>
      </w:pPr>
      <w:r>
        <w:rPr>
          <w:rFonts w:hint="eastAsia" w:ascii="宋体" w:hAnsi="宋体" w:eastAsia="宋体" w:cs="宋体"/>
          <w:b w:val="0"/>
          <w:color w:val="auto"/>
          <w:sz w:val="36"/>
          <w:szCs w:val="30"/>
          <w:highlight w:val="none"/>
        </w:rPr>
        <w:t>第四篇  磋商程序及方法、评审标准、无效响应和</w:t>
      </w:r>
      <w:r>
        <w:rPr>
          <w:rFonts w:hint="eastAsia" w:ascii="宋体" w:hAnsi="宋体" w:eastAsia="宋体" w:cs="宋体"/>
          <w:b w:val="0"/>
          <w:color w:val="auto"/>
          <w:sz w:val="36"/>
          <w:szCs w:val="36"/>
          <w:highlight w:val="none"/>
        </w:rPr>
        <w:t>采购终止</w:t>
      </w:r>
      <w:bookmarkEnd w:id="33"/>
    </w:p>
    <w:p>
      <w:pPr>
        <w:pStyle w:val="5"/>
        <w:spacing w:line="440" w:lineRule="exact"/>
        <w:rPr>
          <w:rFonts w:ascii="宋体" w:hAnsi="宋体" w:cs="宋体"/>
          <w:color w:val="auto"/>
          <w:sz w:val="24"/>
          <w:szCs w:val="24"/>
          <w:highlight w:val="none"/>
        </w:rPr>
      </w:pPr>
      <w:bookmarkStart w:id="35" w:name="_Toc54278995"/>
      <w:r>
        <w:rPr>
          <w:rFonts w:hint="eastAsia" w:ascii="宋体" w:hAnsi="宋体" w:cs="宋体"/>
          <w:color w:val="auto"/>
          <w:sz w:val="24"/>
          <w:szCs w:val="24"/>
          <w:highlight w:val="none"/>
        </w:rPr>
        <w:t>一、磋商程序及方法</w:t>
      </w:r>
      <w:bookmarkEnd w:id="35"/>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sz w:val="24"/>
          <w:szCs w:val="24"/>
          <w:highlight w:val="none"/>
        </w:rPr>
        <w:t>1.</w:t>
      </w:r>
      <w:r>
        <w:rPr>
          <w:rFonts w:hint="eastAsia" w:ascii="宋体" w:hAnsi="宋体" w:cs="宋体"/>
          <w:color w:val="auto"/>
          <w:kern w:val="0"/>
          <w:sz w:val="24"/>
          <w:szCs w:val="24"/>
          <w:highlight w:val="none"/>
        </w:rPr>
        <w:t>资格性检查。依据法律法规和竞争性磋商文件的规定，对响应文件中的资格证明、等进行审查，以确定供应商是否具备磋商资格。资格性检查资料表如下：</w:t>
      </w:r>
    </w:p>
    <w:tbl>
      <w:tblPr>
        <w:tblStyle w:val="1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676" w:type="dxa"/>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5388" w:type="dxa"/>
            <w:gridSpan w:val="2"/>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检查因素</w:t>
            </w:r>
          </w:p>
        </w:tc>
        <w:tc>
          <w:tcPr>
            <w:tcW w:w="3542" w:type="dxa"/>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2" w:hRule="atLeast"/>
        </w:trPr>
        <w:tc>
          <w:tcPr>
            <w:tcW w:w="676"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1</w:t>
            </w:r>
          </w:p>
          <w:p>
            <w:pPr>
              <w:jc w:val="center"/>
              <w:rPr>
                <w:rFonts w:ascii="宋体" w:hAnsi="宋体" w:cs="宋体"/>
                <w:color w:val="auto"/>
                <w:sz w:val="21"/>
                <w:szCs w:val="21"/>
                <w:highlight w:val="none"/>
              </w:rPr>
            </w:pPr>
          </w:p>
        </w:tc>
        <w:tc>
          <w:tcPr>
            <w:tcW w:w="709" w:type="dxa"/>
            <w:vMerge w:val="restart"/>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rPr>
              <w:t>供应商</w:t>
            </w:r>
            <w:r>
              <w:rPr>
                <w:rFonts w:hint="eastAsia" w:ascii="宋体" w:hAnsi="宋体" w:cs="宋体"/>
                <w:color w:val="auto"/>
                <w:sz w:val="21"/>
                <w:szCs w:val="21"/>
                <w:highlight w:val="none"/>
                <w:lang w:val="zh-CN"/>
              </w:rPr>
              <w:t>应符合的基本资格条件</w:t>
            </w:r>
          </w:p>
        </w:tc>
        <w:tc>
          <w:tcPr>
            <w:tcW w:w="4679"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（1）具有独立承担民事责任的能力</w:t>
            </w:r>
          </w:p>
        </w:tc>
        <w:tc>
          <w:tcPr>
            <w:tcW w:w="354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供应商法人营业执照（副本）或事业单位法人证书（副本）或个体工商户营业执照、组织机构代码证复印件（注</w:t>
            </w: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eq \o\ac(○,</w:instrText>
            </w:r>
            <w:r>
              <w:rPr>
                <w:rFonts w:hint="eastAsia" w:ascii="宋体" w:hAnsi="宋体" w:cs="宋体"/>
                <w:color w:val="auto"/>
                <w:kern w:val="0"/>
                <w:position w:val="3"/>
                <w:sz w:val="16"/>
                <w:szCs w:val="24"/>
                <w:highlight w:val="none"/>
              </w:rPr>
              <w:instrText xml:space="preserve">1</w:instrText>
            </w:r>
            <w:r>
              <w:rPr>
                <w:rFonts w:hint="eastAsia" w:ascii="宋体" w:hAnsi="宋体" w:cs="宋体"/>
                <w:color w:val="auto"/>
                <w:kern w:val="0"/>
                <w:sz w:val="24"/>
                <w:szCs w:val="24"/>
                <w:highlight w:val="none"/>
              </w:rPr>
              <w:instrText xml:space="preserve">)</w:instrText>
            </w:r>
            <w:r>
              <w:rPr>
                <w:rFonts w:hint="eastAsia" w:ascii="宋体" w:hAnsi="宋体" w:cs="宋体"/>
                <w:color w:val="auto"/>
                <w:kern w:val="0"/>
                <w:sz w:val="24"/>
                <w:szCs w:val="24"/>
                <w:highlight w:val="none"/>
              </w:rPr>
              <w:fldChar w:fldCharType="end"/>
            </w:r>
            <w:r>
              <w:rPr>
                <w:rFonts w:hint="eastAsia" w:ascii="宋体" w:hAnsi="宋体" w:cs="宋体"/>
                <w:color w:val="auto"/>
                <w:sz w:val="21"/>
                <w:szCs w:val="21"/>
                <w:highlight w:val="none"/>
              </w:rPr>
              <w:t xml:space="preserve">）； </w:t>
            </w:r>
          </w:p>
          <w:p>
            <w:pPr>
              <w:rPr>
                <w:rFonts w:ascii="宋体" w:hAnsi="宋体" w:cs="宋体"/>
                <w:color w:val="auto"/>
                <w:sz w:val="21"/>
                <w:szCs w:val="21"/>
                <w:highlight w:val="none"/>
              </w:rPr>
            </w:pPr>
            <w:r>
              <w:rPr>
                <w:rFonts w:hint="eastAsia" w:ascii="宋体" w:hAnsi="宋体" w:cs="宋体"/>
                <w:color w:val="auto"/>
                <w:sz w:val="21"/>
                <w:szCs w:val="21"/>
                <w:highlight w:val="none"/>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val="zh-CN"/>
              </w:rPr>
              <w:t>（2）</w:t>
            </w:r>
            <w:r>
              <w:rPr>
                <w:rFonts w:hint="eastAsia" w:ascii="宋体" w:hAnsi="宋体" w:cs="宋体"/>
                <w:color w:val="auto"/>
                <w:sz w:val="21"/>
                <w:szCs w:val="21"/>
                <w:highlight w:val="none"/>
              </w:rPr>
              <w:t>具有良好的商业信誉和健全的财务会计制度</w:t>
            </w:r>
          </w:p>
        </w:tc>
        <w:tc>
          <w:tcPr>
            <w:tcW w:w="3542" w:type="dxa"/>
            <w:vMerge w:val="restart"/>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（3）具有履行合同所必需的设备和专业技术能力</w:t>
            </w:r>
          </w:p>
        </w:tc>
        <w:tc>
          <w:tcPr>
            <w:tcW w:w="3542" w:type="dxa"/>
            <w:vMerge w:val="continue"/>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（4）有依法缴纳税收和社会保障金的良好记录</w:t>
            </w:r>
          </w:p>
        </w:tc>
        <w:tc>
          <w:tcPr>
            <w:tcW w:w="3542" w:type="dxa"/>
            <w:vMerge w:val="continue"/>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5"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rPr>
              <w:t>（5）参加政府采购活动前三年内，在经营活动中没有重大违法记录（注</w:t>
            </w: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eq \o\ac(○,2)</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w:t>
            </w:r>
          </w:p>
        </w:tc>
        <w:tc>
          <w:tcPr>
            <w:tcW w:w="3542" w:type="dxa"/>
            <w:vMerge w:val="continue"/>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（6）法律、行政法规规定的其他条件</w:t>
            </w:r>
          </w:p>
        </w:tc>
        <w:tc>
          <w:tcPr>
            <w:tcW w:w="3542" w:type="dxa"/>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color w:val="auto"/>
                <w:sz w:val="21"/>
                <w:szCs w:val="21"/>
                <w:highlight w:val="none"/>
              </w:rPr>
            </w:pPr>
          </w:p>
        </w:tc>
        <w:tc>
          <w:tcPr>
            <w:tcW w:w="709" w:type="dxa"/>
            <w:vAlign w:val="center"/>
          </w:tcPr>
          <w:p>
            <w:pPr>
              <w:tabs>
                <w:tab w:val="left" w:pos="1494"/>
              </w:tabs>
              <w:rPr>
                <w:rFonts w:ascii="宋体" w:hAnsi="宋体" w:cs="宋体"/>
                <w:color w:val="auto"/>
                <w:sz w:val="21"/>
                <w:szCs w:val="21"/>
                <w:highlight w:val="none"/>
              </w:rPr>
            </w:pPr>
          </w:p>
        </w:tc>
        <w:tc>
          <w:tcPr>
            <w:tcW w:w="4679" w:type="dxa"/>
            <w:vAlign w:val="center"/>
          </w:tcPr>
          <w:p>
            <w:pPr>
              <w:tabs>
                <w:tab w:val="left" w:pos="1494"/>
              </w:tabs>
              <w:rPr>
                <w:rFonts w:ascii="宋体" w:hAnsi="宋体" w:cs="宋体"/>
                <w:color w:val="auto"/>
                <w:sz w:val="21"/>
                <w:szCs w:val="21"/>
                <w:highlight w:val="none"/>
              </w:rPr>
            </w:pPr>
            <w:r>
              <w:rPr>
                <w:rFonts w:hint="eastAsia" w:ascii="宋体" w:hAnsi="宋体" w:cs="宋体"/>
                <w:color w:val="auto"/>
                <w:sz w:val="21"/>
                <w:szCs w:val="21"/>
                <w:highlight w:val="none"/>
              </w:rPr>
              <w:t>（7）特定资格条件</w:t>
            </w:r>
          </w:p>
        </w:tc>
        <w:tc>
          <w:tcPr>
            <w:tcW w:w="354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2</w:t>
            </w:r>
          </w:p>
        </w:tc>
        <w:tc>
          <w:tcPr>
            <w:tcW w:w="5388" w:type="dxa"/>
            <w:gridSpan w:val="2"/>
            <w:vAlign w:val="center"/>
          </w:tcPr>
          <w:p>
            <w:pPr>
              <w:tabs>
                <w:tab w:val="left" w:pos="1494"/>
              </w:tabs>
              <w:rPr>
                <w:rFonts w:ascii="宋体" w:hAnsi="宋体" w:cs="宋体"/>
                <w:color w:val="auto"/>
                <w:sz w:val="21"/>
                <w:szCs w:val="21"/>
                <w:highlight w:val="none"/>
              </w:rPr>
            </w:pPr>
            <w:r>
              <w:rPr>
                <w:rFonts w:hint="eastAsia" w:ascii="宋体" w:hAnsi="宋体" w:cs="宋体"/>
                <w:color w:val="auto"/>
                <w:sz w:val="21"/>
                <w:szCs w:val="21"/>
                <w:highlight w:val="none"/>
              </w:rPr>
              <w:t>落实政府采购政策需满足的资格要求</w:t>
            </w:r>
          </w:p>
        </w:tc>
        <w:tc>
          <w:tcPr>
            <w:tcW w:w="354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按“第一篇三、供应商资格要求（二）落实政府采购政策需满足的资格要求”的要求提交（如果有）。</w:t>
            </w:r>
          </w:p>
        </w:tc>
      </w:tr>
    </w:tbl>
    <w:p>
      <w:pPr>
        <w:snapToGrid w:val="0"/>
        <w:spacing w:line="312" w:lineRule="auto"/>
        <w:ind w:firstLine="420" w:firstLineChars="200"/>
        <w:rPr>
          <w:rFonts w:ascii="宋体" w:hAnsi="宋体" w:cs="宋体"/>
          <w:color w:val="auto"/>
          <w:kern w:val="0"/>
          <w:sz w:val="24"/>
          <w:szCs w:val="24"/>
          <w:highlight w:val="none"/>
        </w:rPr>
      </w:pPr>
      <w:r>
        <w:rPr>
          <w:rFonts w:hint="eastAsia" w:ascii="宋体" w:hAnsi="宋体" w:cs="宋体"/>
          <w:color w:val="auto"/>
          <w:sz w:val="21"/>
          <w:szCs w:val="21"/>
          <w:highlight w:val="none"/>
        </w:rPr>
        <w:t>注</w:t>
      </w: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eq \o\ac(○,1)</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：供</w:t>
      </w:r>
      <w:r>
        <w:rPr>
          <w:rFonts w:hint="eastAsia" w:ascii="宋体" w:hAnsi="宋体" w:cs="宋体"/>
          <w:color w:val="auto"/>
          <w:kern w:val="0"/>
          <w:sz w:val="24"/>
          <w:szCs w:val="24"/>
          <w:highlight w:val="none"/>
        </w:rPr>
        <w:t>应商按“三证合一”登记制度办理营业执照的，组织机构代码证和税务登记证（副本）以供应商所提供的营业执照（副本）复印件为准。</w:t>
      </w:r>
    </w:p>
    <w:p>
      <w:pPr>
        <w:snapToGrid w:val="0"/>
        <w:spacing w:line="312" w:lineRule="auto"/>
        <w:ind w:firstLine="420" w:firstLineChars="200"/>
        <w:rPr>
          <w:rFonts w:ascii="宋体" w:hAnsi="宋体" w:cs="宋体"/>
          <w:color w:val="auto"/>
          <w:kern w:val="0"/>
          <w:sz w:val="24"/>
          <w:szCs w:val="24"/>
          <w:highlight w:val="none"/>
        </w:rPr>
      </w:pPr>
      <w:r>
        <w:rPr>
          <w:rFonts w:hint="eastAsia" w:ascii="宋体" w:hAnsi="宋体" w:cs="宋体"/>
          <w:color w:val="auto"/>
          <w:sz w:val="21"/>
          <w:szCs w:val="21"/>
          <w:highlight w:val="none"/>
        </w:rPr>
        <w:t>注</w:t>
      </w: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eq \o\ac(○,2)</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w:t>
      </w:r>
      <w:r>
        <w:rPr>
          <w:rFonts w:hint="eastAsia" w:ascii="宋体" w:hAnsi="宋体" w:cs="宋体"/>
          <w:color w:val="auto"/>
          <w:kern w:val="0"/>
          <w:sz w:val="24"/>
          <w:szCs w:val="24"/>
          <w:highlight w:val="none"/>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312" w:lineRule="auto"/>
        <w:ind w:firstLine="480" w:firstLineChars="200"/>
        <w:rPr>
          <w:color w:val="auto"/>
          <w:highlight w:val="none"/>
        </w:rPr>
      </w:pPr>
      <w:r>
        <w:rPr>
          <w:rFonts w:hint="eastAsia" w:ascii="宋体" w:hAnsi="宋体" w:cs="宋体"/>
          <w:color w:val="auto"/>
          <w:kern w:val="0"/>
          <w:sz w:val="24"/>
          <w:szCs w:val="24"/>
          <w:highlight w:val="none"/>
        </w:rPr>
        <w:t>2、符合性检查。依据磋商</w:t>
      </w:r>
      <w:r>
        <w:rPr>
          <w:rFonts w:ascii="宋体" w:hAnsi="宋体" w:cs="宋体"/>
          <w:color w:val="auto"/>
          <w:kern w:val="0"/>
          <w:sz w:val="24"/>
          <w:szCs w:val="24"/>
          <w:highlight w:val="none"/>
        </w:rPr>
        <w:t>采购</w:t>
      </w:r>
      <w:r>
        <w:rPr>
          <w:rFonts w:hint="eastAsia" w:ascii="宋体" w:hAnsi="宋体" w:cs="宋体"/>
          <w:color w:val="auto"/>
          <w:kern w:val="0"/>
          <w:sz w:val="24"/>
          <w:szCs w:val="24"/>
          <w:highlight w:val="none"/>
        </w:rPr>
        <w:t>文件的规定，从响应文件的有效性、完整性和对磋商</w:t>
      </w:r>
      <w:r>
        <w:rPr>
          <w:rFonts w:ascii="宋体" w:hAnsi="宋体" w:cs="宋体"/>
          <w:color w:val="auto"/>
          <w:kern w:val="0"/>
          <w:sz w:val="24"/>
          <w:szCs w:val="24"/>
          <w:highlight w:val="none"/>
        </w:rPr>
        <w:t>采购</w:t>
      </w:r>
      <w:r>
        <w:rPr>
          <w:rFonts w:hint="eastAsia" w:ascii="宋体" w:hAnsi="宋体" w:cs="宋体"/>
          <w:color w:val="auto"/>
          <w:kern w:val="0"/>
          <w:sz w:val="24"/>
          <w:szCs w:val="24"/>
          <w:highlight w:val="none"/>
        </w:rPr>
        <w:t>文件的响应程度进行审查，以确定是否对磋商</w:t>
      </w:r>
      <w:r>
        <w:rPr>
          <w:rFonts w:ascii="宋体" w:hAnsi="宋体" w:cs="宋体"/>
          <w:color w:val="auto"/>
          <w:kern w:val="0"/>
          <w:sz w:val="24"/>
          <w:szCs w:val="24"/>
          <w:highlight w:val="none"/>
        </w:rPr>
        <w:t>采购</w:t>
      </w:r>
      <w:r>
        <w:rPr>
          <w:rFonts w:hint="eastAsia" w:ascii="宋体" w:hAnsi="宋体" w:cs="宋体"/>
          <w:color w:val="auto"/>
          <w:kern w:val="0"/>
          <w:sz w:val="24"/>
          <w:szCs w:val="24"/>
          <w:highlight w:val="none"/>
        </w:rPr>
        <w:t>文件的实质性要求作出响应。符合性检查资料表如下：</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3544" w:type="dxa"/>
            <w:gridSpan w:val="2"/>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评审因素</w:t>
            </w:r>
          </w:p>
        </w:tc>
        <w:tc>
          <w:tcPr>
            <w:tcW w:w="5409" w:type="dxa"/>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560" w:type="dxa"/>
            <w:vMerge w:val="restart"/>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有效性审查</w:t>
            </w: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响应文件签署</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kern w:val="0"/>
                <w:sz w:val="21"/>
                <w:szCs w:val="21"/>
                <w:highlight w:val="none"/>
              </w:rPr>
            </w:pPr>
          </w:p>
        </w:tc>
        <w:tc>
          <w:tcPr>
            <w:tcW w:w="1984"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法定代表人身份证明及授权委托书</w:t>
            </w:r>
          </w:p>
        </w:tc>
        <w:tc>
          <w:tcPr>
            <w:tcW w:w="5409"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kern w:val="0"/>
                <w:sz w:val="21"/>
                <w:szCs w:val="21"/>
                <w:highlight w:val="none"/>
              </w:rPr>
            </w:pPr>
          </w:p>
        </w:tc>
        <w:tc>
          <w:tcPr>
            <w:tcW w:w="1984"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方案</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lang w:val="zh-CN"/>
              </w:rPr>
              <w:t>每个分包只能有一个</w:t>
            </w: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kern w:val="0"/>
                <w:sz w:val="21"/>
                <w:szCs w:val="21"/>
                <w:highlight w:val="none"/>
              </w:rPr>
            </w:pPr>
          </w:p>
        </w:tc>
        <w:tc>
          <w:tcPr>
            <w:tcW w:w="1984"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rPr>
              <w:t>报价唯一</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560"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完整性审查</w:t>
            </w: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文件份数</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文件正、副本数量（含电子文档）符合</w:t>
            </w:r>
            <w:r>
              <w:rPr>
                <w:rFonts w:hint="eastAsia" w:ascii="宋体" w:hAnsi="宋体" w:cs="宋体"/>
                <w:color w:val="auto"/>
                <w:sz w:val="21"/>
                <w:szCs w:val="21"/>
                <w:highlight w:val="none"/>
              </w:rPr>
              <w:t>竞争性磋商</w:t>
            </w:r>
            <w:r>
              <w:rPr>
                <w:rFonts w:hint="eastAsia" w:ascii="宋体" w:hAnsi="宋体" w:cs="宋体"/>
                <w:color w:val="auto"/>
                <w:sz w:val="21"/>
                <w:szCs w:val="21"/>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560" w:type="dxa"/>
            <w:vMerge w:val="restart"/>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kern w:val="0"/>
                <w:sz w:val="21"/>
                <w:szCs w:val="21"/>
                <w:highlight w:val="none"/>
              </w:rPr>
              <w:t>竞争性磋商文件的响应程度审查</w:t>
            </w: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响应文件内容</w:t>
            </w:r>
          </w:p>
        </w:tc>
        <w:tc>
          <w:tcPr>
            <w:tcW w:w="5409" w:type="dxa"/>
            <w:noWrap/>
            <w:vAlign w:val="center"/>
          </w:tcPr>
          <w:p>
            <w:pPr>
              <w:pStyle w:val="10"/>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sz w:val="21"/>
                <w:szCs w:val="21"/>
                <w:highlight w:val="none"/>
                <w:lang w:val="zh-CN"/>
              </w:rPr>
            </w:pP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磋商有效期</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满足磋商文件</w:t>
            </w:r>
            <w:r>
              <w:rPr>
                <w:rFonts w:hint="eastAsia" w:ascii="宋体" w:hAnsi="宋体" w:cs="宋体"/>
                <w:color w:val="auto"/>
                <w:sz w:val="21"/>
                <w:szCs w:val="21"/>
                <w:highlight w:val="none"/>
                <w:lang w:val="zh-CN"/>
              </w:rPr>
              <w:t>规定。</w:t>
            </w:r>
          </w:p>
        </w:tc>
      </w:tr>
    </w:tbl>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（五）在磋商过程中磋商的任何一方不得向他人透露与磋商有关的服务资料、价格或其他信息。</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（七）供应商在磋商时作出的所有书面承诺须由法定代表人或其授权代表签字。</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（九）磋商小组采用综合评分法对提交最后报价的供应商的响应文件和最后报价（含有效书面承诺）进行综合评分。</w:t>
      </w:r>
      <w:r>
        <w:rPr>
          <w:rFonts w:hint="eastAsia" w:ascii="宋体" w:hAnsi="宋体" w:cs="宋体"/>
          <w:color w:val="auto"/>
          <w:kern w:val="0"/>
          <w:sz w:val="24"/>
          <w:szCs w:val="24"/>
          <w:highlight w:val="none"/>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w:t>
      </w:r>
      <w:r>
        <w:rPr>
          <w:rFonts w:hint="eastAsia" w:ascii="宋体" w:hAnsi="宋体" w:cs="宋体"/>
          <w:color w:val="auto"/>
          <w:kern w:val="0"/>
          <w:sz w:val="24"/>
          <w:szCs w:val="24"/>
          <w:highlight w:val="none"/>
          <w:lang w:val="en-US" w:eastAsia="zh-CN"/>
        </w:rPr>
        <w:t>0</w:t>
      </w:r>
      <w:r>
        <w:rPr>
          <w:rFonts w:hint="eastAsia" w:ascii="宋体" w:hAnsi="宋体" w:cs="宋体"/>
          <w:color w:val="auto"/>
          <w:kern w:val="0"/>
          <w:sz w:val="24"/>
          <w:szCs w:val="24"/>
          <w:highlight w:val="none"/>
        </w:rPr>
        <w:t>分</w:t>
      </w:r>
      <w:r>
        <w:rPr>
          <w:rFonts w:hint="eastAsia" w:ascii="宋体" w:hAnsi="宋体" w:cs="宋体"/>
          <w:color w:val="auto"/>
          <w:sz w:val="24"/>
          <w:szCs w:val="24"/>
          <w:highlight w:val="none"/>
        </w:rPr>
        <w:t>。（详见评审标准）。</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（十）磋商小组各成员独立对每个有效响应（通过资格性检查、</w:t>
      </w:r>
      <w:r>
        <w:rPr>
          <w:rFonts w:hint="eastAsia" w:ascii="宋体" w:hAnsi="宋体" w:cs="宋体"/>
          <w:color w:val="auto"/>
          <w:kern w:val="0"/>
          <w:sz w:val="24"/>
          <w:szCs w:val="24"/>
          <w:highlight w:val="none"/>
        </w:rPr>
        <w:t>符合性检查的供应商</w:t>
      </w:r>
      <w:r>
        <w:rPr>
          <w:rFonts w:hint="eastAsia" w:ascii="宋体" w:hAnsi="宋体" w:cs="宋体"/>
          <w:color w:val="auto"/>
          <w:sz w:val="24"/>
          <w:szCs w:val="24"/>
          <w:highlight w:val="none"/>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5"/>
        <w:spacing w:line="440" w:lineRule="exact"/>
        <w:rPr>
          <w:rFonts w:ascii="宋体" w:hAnsi="宋体" w:cs="宋体"/>
          <w:color w:val="auto"/>
          <w:sz w:val="24"/>
          <w:szCs w:val="24"/>
          <w:highlight w:val="none"/>
        </w:rPr>
      </w:pPr>
      <w:bookmarkStart w:id="36" w:name="_Toc54278996"/>
      <w:r>
        <w:rPr>
          <w:rFonts w:hint="eastAsia" w:ascii="宋体" w:hAnsi="宋体" w:cs="宋体"/>
          <w:color w:val="auto"/>
          <w:sz w:val="24"/>
          <w:szCs w:val="24"/>
          <w:highlight w:val="none"/>
        </w:rPr>
        <w:t>二、</w:t>
      </w:r>
      <w:bookmarkStart w:id="37" w:name="_Toc102227320"/>
      <w:bookmarkStart w:id="38" w:name="_Toc342913394"/>
      <w:r>
        <w:rPr>
          <w:rFonts w:hint="eastAsia" w:ascii="宋体" w:hAnsi="宋体" w:cs="宋体"/>
          <w:color w:val="auto"/>
          <w:sz w:val="24"/>
          <w:szCs w:val="24"/>
          <w:highlight w:val="none"/>
        </w:rPr>
        <w:t>评审标准</w:t>
      </w:r>
      <w:bookmarkEnd w:id="36"/>
      <w:r>
        <w:rPr>
          <w:rFonts w:hint="eastAsia" w:ascii="宋体" w:hAnsi="宋体" w:cs="宋体"/>
          <w:color w:val="auto"/>
          <w:sz w:val="24"/>
          <w:szCs w:val="24"/>
          <w:highlight w:val="none"/>
        </w:rPr>
        <w:t>注</w:t>
      </w:r>
    </w:p>
    <w:tbl>
      <w:tblPr>
        <w:tblStyle w:val="16"/>
        <w:tblW w:w="9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47"/>
        <w:gridCol w:w="2098"/>
        <w:gridCol w:w="364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600"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47"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评分权重</w:t>
            </w:r>
          </w:p>
        </w:tc>
        <w:tc>
          <w:tcPr>
            <w:tcW w:w="2098"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分值</w:t>
            </w:r>
          </w:p>
        </w:tc>
        <w:tc>
          <w:tcPr>
            <w:tcW w:w="3640"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评分标准</w:t>
            </w:r>
          </w:p>
        </w:tc>
        <w:tc>
          <w:tcPr>
            <w:tcW w:w="2446"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600" w:type="dxa"/>
            <w:noWrap/>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947" w:type="dxa"/>
            <w:noWrap/>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lang w:eastAsia="zh-CN"/>
              </w:rPr>
              <w:t>经济部分</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w:t>
            </w:r>
          </w:p>
        </w:tc>
        <w:tc>
          <w:tcPr>
            <w:tcW w:w="2098" w:type="dxa"/>
            <w:noWrap/>
            <w:vAlign w:val="center"/>
          </w:tcPr>
          <w:p>
            <w:pPr>
              <w:spacing w:line="40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投标报价</w:t>
            </w:r>
          </w:p>
          <w:p>
            <w:pPr>
              <w:spacing w:line="40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分</w:t>
            </w:r>
            <w:r>
              <w:rPr>
                <w:rFonts w:hint="eastAsia" w:ascii="宋体" w:hAnsi="宋体" w:cs="宋体"/>
                <w:color w:val="auto"/>
                <w:sz w:val="24"/>
                <w:szCs w:val="24"/>
                <w:highlight w:val="none"/>
                <w:lang w:eastAsia="zh-CN"/>
              </w:rPr>
              <w:t>）</w:t>
            </w:r>
          </w:p>
        </w:tc>
        <w:tc>
          <w:tcPr>
            <w:tcW w:w="3640" w:type="dxa"/>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24"/>
                <w:szCs w:val="24"/>
                <w:highlight w:val="none"/>
              </w:rPr>
            </w:pPr>
            <w:r>
              <w:rPr>
                <w:rFonts w:hint="eastAsia" w:ascii="宋体" w:hAnsi="宋体" w:cs="宋体"/>
                <w:color w:val="auto"/>
                <w:sz w:val="24"/>
                <w:szCs w:val="24"/>
                <w:highlight w:val="none"/>
              </w:rPr>
              <w:t>有效的投标报价中的最低价为评标基准价，按照下列公式计算每个投标人的投标价格得分。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24"/>
                <w:szCs w:val="24"/>
                <w:highlight w:val="none"/>
              </w:rPr>
            </w:pPr>
            <w:r>
              <w:rPr>
                <w:rFonts w:hint="eastAsia" w:ascii="宋体" w:hAnsi="宋体" w:cs="宋体"/>
                <w:color w:val="auto"/>
                <w:sz w:val="24"/>
                <w:szCs w:val="24"/>
                <w:highlight w:val="none"/>
              </w:rPr>
              <w:t>投标报价得分＝（评标基准价/投标报价）×价格权重×100，得数保留至小数点后两位。</w:t>
            </w:r>
          </w:p>
        </w:tc>
        <w:tc>
          <w:tcPr>
            <w:tcW w:w="2446" w:type="dxa"/>
            <w:noWrap/>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投标报价不得高于最高限价，否则作废标处理。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0" w:type="dxa"/>
            <w:noWrap/>
            <w:vAlign w:val="center"/>
          </w:tcPr>
          <w:p>
            <w:pPr>
              <w:spacing w:line="400" w:lineRule="exac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947" w:type="dxa"/>
            <w:noWrap/>
            <w:vAlign w:val="center"/>
          </w:tcPr>
          <w:p>
            <w:pPr>
              <w:spacing w:line="400" w:lineRule="exac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技术部分</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25</w:t>
            </w:r>
            <w:r>
              <w:rPr>
                <w:rFonts w:hint="eastAsia" w:ascii="宋体" w:hAnsi="宋体" w:cs="宋体"/>
                <w:color w:val="auto"/>
                <w:sz w:val="24"/>
                <w:szCs w:val="24"/>
                <w:highlight w:val="none"/>
              </w:rPr>
              <w:t>%）</w:t>
            </w:r>
          </w:p>
        </w:tc>
        <w:tc>
          <w:tcPr>
            <w:tcW w:w="2098" w:type="dxa"/>
            <w:noWrap/>
            <w:vAlign w:val="center"/>
          </w:tcPr>
          <w:p>
            <w:pPr>
              <w:tabs>
                <w:tab w:val="left" w:pos="1050"/>
              </w:tabs>
              <w:spacing w:line="24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服务方案</w:t>
            </w:r>
          </w:p>
          <w:p>
            <w:pPr>
              <w:tabs>
                <w:tab w:val="left" w:pos="1050"/>
              </w:tabs>
              <w:spacing w:line="24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5）</w:t>
            </w:r>
          </w:p>
        </w:tc>
        <w:tc>
          <w:tcPr>
            <w:tcW w:w="3640" w:type="dxa"/>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范围与目标清晰明确得0-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机构配备完整,分工明确,岗位职责及制度健全得0-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、合同、信息管理方案合理得0-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、组织协调管理内容合理得0-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、对本</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关键问题的理解分析合理得0-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2446" w:type="dxa"/>
            <w:noWrap/>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评审</w:t>
            </w:r>
            <w:r>
              <w:rPr>
                <w:rFonts w:hint="eastAsia" w:ascii="宋体" w:hAnsi="宋体" w:eastAsia="宋体" w:cs="宋体"/>
                <w:color w:val="auto"/>
                <w:sz w:val="24"/>
                <w:szCs w:val="24"/>
                <w:highlight w:val="none"/>
              </w:rPr>
              <w:t>小组按各项评审因素设定的分值评分。</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中设有服务方案评审的，</w:t>
            </w:r>
            <w:r>
              <w:rPr>
                <w:rFonts w:hint="eastAsia" w:ascii="宋体" w:hAnsi="宋体" w:eastAsia="宋体" w:cs="宋体"/>
                <w:color w:val="auto"/>
                <w:sz w:val="24"/>
                <w:szCs w:val="24"/>
                <w:highlight w:val="none"/>
                <w:lang w:val="en-US" w:eastAsia="zh-CN"/>
              </w:rPr>
              <w:t>评审</w:t>
            </w:r>
            <w:r>
              <w:rPr>
                <w:rFonts w:hint="eastAsia" w:ascii="宋体" w:hAnsi="宋体" w:eastAsia="宋体" w:cs="宋体"/>
                <w:color w:val="auto"/>
                <w:sz w:val="24"/>
                <w:szCs w:val="24"/>
                <w:highlight w:val="none"/>
              </w:rPr>
              <w:t>小组全体成员对服务方案进行评审，供应商服务方案得分取所有</w:t>
            </w:r>
            <w:r>
              <w:rPr>
                <w:rFonts w:hint="eastAsia" w:ascii="宋体" w:hAnsi="宋体" w:eastAsia="宋体" w:cs="宋体"/>
                <w:color w:val="auto"/>
                <w:sz w:val="24"/>
                <w:szCs w:val="24"/>
                <w:highlight w:val="none"/>
                <w:lang w:val="en-US" w:eastAsia="zh-CN"/>
              </w:rPr>
              <w:t>评审</w:t>
            </w:r>
            <w:r>
              <w:rPr>
                <w:rFonts w:hint="eastAsia" w:ascii="宋体" w:hAnsi="宋体" w:eastAsia="宋体" w:cs="宋体"/>
                <w:color w:val="auto"/>
                <w:sz w:val="24"/>
                <w:szCs w:val="24"/>
                <w:highlight w:val="none"/>
              </w:rPr>
              <w:t>小组成员评分的算术平均值。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6" w:hRule="atLeast"/>
          <w:jc w:val="center"/>
        </w:trPr>
        <w:tc>
          <w:tcPr>
            <w:tcW w:w="600" w:type="dxa"/>
            <w:vMerge w:val="restart"/>
            <w:noWrap/>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947" w:type="dxa"/>
            <w:vMerge w:val="restart"/>
            <w:noWrap/>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lang w:eastAsia="zh-CN"/>
              </w:rPr>
              <w:t>商务</w:t>
            </w:r>
            <w:r>
              <w:rPr>
                <w:rFonts w:hint="eastAsia" w:ascii="宋体" w:hAnsi="宋体" w:cs="宋体"/>
                <w:color w:val="auto"/>
                <w:sz w:val="24"/>
                <w:szCs w:val="24"/>
                <w:highlight w:val="none"/>
              </w:rPr>
              <w:t>部分</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65</w:t>
            </w:r>
            <w:r>
              <w:rPr>
                <w:rFonts w:hint="eastAsia" w:ascii="宋体" w:hAnsi="宋体" w:cs="宋体"/>
                <w:color w:val="auto"/>
                <w:sz w:val="24"/>
                <w:szCs w:val="24"/>
                <w:highlight w:val="none"/>
              </w:rPr>
              <w:t>%）</w:t>
            </w:r>
          </w:p>
        </w:tc>
        <w:tc>
          <w:tcPr>
            <w:tcW w:w="2098" w:type="dxa"/>
            <w:noWrap/>
            <w:vAlign w:val="center"/>
          </w:tcPr>
          <w:p>
            <w:pPr>
              <w:pStyle w:val="6"/>
              <w:ind w:firstLine="0"/>
              <w:jc w:val="center"/>
              <w:rPr>
                <w:color w:val="auto"/>
                <w:highlight w:val="none"/>
              </w:rPr>
            </w:pPr>
            <w:r>
              <w:rPr>
                <w:rFonts w:hint="eastAsia" w:hAnsi="宋体"/>
                <w:color w:val="auto"/>
                <w:sz w:val="24"/>
                <w:szCs w:val="24"/>
                <w:highlight w:val="none"/>
                <w:lang w:eastAsia="zh-CN"/>
              </w:rPr>
              <w:t>资质</w:t>
            </w:r>
            <w:r>
              <w:rPr>
                <w:rFonts w:hint="eastAsia" w:hAnsi="宋体"/>
                <w:color w:val="auto"/>
                <w:sz w:val="24"/>
                <w:szCs w:val="24"/>
                <w:highlight w:val="none"/>
              </w:rPr>
              <w:t>（</w:t>
            </w:r>
            <w:r>
              <w:rPr>
                <w:rFonts w:hint="eastAsia" w:hAnsi="宋体"/>
                <w:color w:val="auto"/>
                <w:sz w:val="24"/>
                <w:szCs w:val="24"/>
                <w:highlight w:val="none"/>
                <w:lang w:val="en-US" w:eastAsia="zh-CN"/>
              </w:rPr>
              <w:t>10</w:t>
            </w:r>
            <w:r>
              <w:rPr>
                <w:rFonts w:hint="eastAsia" w:hAnsi="宋体"/>
                <w:color w:val="auto"/>
                <w:sz w:val="24"/>
                <w:szCs w:val="24"/>
                <w:highlight w:val="none"/>
              </w:rPr>
              <w:t>分）</w:t>
            </w:r>
          </w:p>
        </w:tc>
        <w:tc>
          <w:tcPr>
            <w:tcW w:w="3640" w:type="dxa"/>
            <w:noWrap/>
            <w:vAlign w:val="center"/>
          </w:tcPr>
          <w:p>
            <w:pPr>
              <w:spacing w:line="400" w:lineRule="exac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供应商具有工程咨询单位甲级资信证书的得</w:t>
            </w:r>
            <w:r>
              <w:rPr>
                <w:rFonts w:hint="eastAsia" w:ascii="宋体" w:hAnsi="宋体" w:cs="宋体"/>
                <w:color w:val="auto"/>
                <w:sz w:val="24"/>
                <w:szCs w:val="24"/>
                <w:highlight w:val="none"/>
                <w:lang w:val="en-US" w:eastAsia="zh-CN"/>
              </w:rPr>
              <w:t>10分，</w:t>
            </w:r>
            <w:r>
              <w:rPr>
                <w:rFonts w:hint="eastAsia" w:ascii="宋体" w:hAnsi="宋体" w:cs="宋体"/>
                <w:color w:val="auto"/>
                <w:sz w:val="24"/>
                <w:szCs w:val="24"/>
                <w:highlight w:val="none"/>
                <w:lang w:eastAsia="zh-CN"/>
              </w:rPr>
              <w:t>具有工程咨询单位乙级资信证书的得</w:t>
            </w:r>
            <w:r>
              <w:rPr>
                <w:rFonts w:hint="eastAsia" w:ascii="宋体" w:hAnsi="宋体" w:cs="宋体"/>
                <w:color w:val="auto"/>
                <w:sz w:val="24"/>
                <w:szCs w:val="24"/>
                <w:highlight w:val="none"/>
                <w:lang w:val="en-US" w:eastAsia="zh-CN"/>
              </w:rPr>
              <w:t>5分，</w:t>
            </w:r>
            <w:r>
              <w:rPr>
                <w:rFonts w:hint="eastAsia" w:ascii="宋体" w:hAnsi="宋体" w:eastAsia="宋体" w:cs="宋体"/>
                <w:color w:val="auto"/>
                <w:sz w:val="24"/>
                <w:szCs w:val="24"/>
                <w:highlight w:val="none"/>
              </w:rPr>
              <w:t>本项最多得</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c>
          <w:tcPr>
            <w:tcW w:w="2446" w:type="dxa"/>
            <w:noWrap/>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600" w:type="dxa"/>
            <w:vMerge w:val="continue"/>
            <w:noWrap/>
            <w:vAlign w:val="center"/>
          </w:tcPr>
          <w:p>
            <w:pPr>
              <w:spacing w:line="400" w:lineRule="exact"/>
              <w:rPr>
                <w:rFonts w:hint="eastAsia" w:ascii="宋体" w:hAnsi="宋体" w:cs="宋体"/>
                <w:color w:val="auto"/>
                <w:sz w:val="24"/>
                <w:szCs w:val="24"/>
                <w:highlight w:val="none"/>
              </w:rPr>
            </w:pPr>
            <w:bookmarkStart w:id="39" w:name="_Toc54278997"/>
          </w:p>
        </w:tc>
        <w:tc>
          <w:tcPr>
            <w:tcW w:w="947" w:type="dxa"/>
            <w:vMerge w:val="continue"/>
            <w:noWrap/>
            <w:vAlign w:val="center"/>
          </w:tcPr>
          <w:p>
            <w:pPr>
              <w:spacing w:line="400" w:lineRule="exact"/>
              <w:rPr>
                <w:rFonts w:hint="eastAsia" w:ascii="宋体" w:hAnsi="宋体" w:cs="宋体"/>
                <w:color w:val="auto"/>
                <w:sz w:val="24"/>
                <w:szCs w:val="24"/>
                <w:highlight w:val="none"/>
              </w:rPr>
            </w:pPr>
          </w:p>
        </w:tc>
        <w:tc>
          <w:tcPr>
            <w:tcW w:w="2098" w:type="dxa"/>
            <w:noWrap/>
            <w:vAlign w:val="center"/>
          </w:tcPr>
          <w:p>
            <w:pPr>
              <w:pStyle w:val="6"/>
              <w:ind w:firstLine="0"/>
              <w:jc w:val="center"/>
              <w:rPr>
                <w:rFonts w:hint="eastAsia" w:hAnsi="宋体"/>
                <w:color w:val="auto"/>
                <w:sz w:val="24"/>
                <w:szCs w:val="24"/>
                <w:highlight w:val="none"/>
                <w:lang w:eastAsia="zh-CN"/>
              </w:rPr>
            </w:pPr>
            <w:r>
              <w:rPr>
                <w:rFonts w:hint="eastAsia" w:hAnsi="宋体"/>
                <w:color w:val="auto"/>
                <w:sz w:val="24"/>
                <w:szCs w:val="24"/>
                <w:highlight w:val="none"/>
                <w:lang w:eastAsia="zh-CN"/>
              </w:rPr>
              <w:t>业绩</w:t>
            </w:r>
            <w:r>
              <w:rPr>
                <w:rFonts w:hint="eastAsia" w:hAnsi="宋体"/>
                <w:color w:val="auto"/>
                <w:sz w:val="24"/>
                <w:szCs w:val="24"/>
                <w:highlight w:val="none"/>
              </w:rPr>
              <w:t>（</w:t>
            </w:r>
            <w:r>
              <w:rPr>
                <w:rFonts w:hint="eastAsia" w:hAnsi="宋体"/>
                <w:color w:val="auto"/>
                <w:sz w:val="24"/>
                <w:szCs w:val="24"/>
                <w:highlight w:val="none"/>
                <w:lang w:val="en-US" w:eastAsia="zh-CN"/>
              </w:rPr>
              <w:t>20</w:t>
            </w:r>
            <w:r>
              <w:rPr>
                <w:rFonts w:hint="eastAsia" w:hAnsi="宋体"/>
                <w:color w:val="auto"/>
                <w:sz w:val="24"/>
                <w:szCs w:val="24"/>
                <w:highlight w:val="none"/>
              </w:rPr>
              <w:t>分）</w:t>
            </w:r>
          </w:p>
        </w:tc>
        <w:tc>
          <w:tcPr>
            <w:tcW w:w="3640" w:type="dxa"/>
            <w:noWrap/>
            <w:vAlign w:val="center"/>
          </w:tcPr>
          <w:p>
            <w:pPr>
              <w:spacing w:line="40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供应商近三年（自2020年1月1日以来）成功申报国家级园区的一个的5分，此项最多得20分</w:t>
            </w:r>
            <w:r>
              <w:rPr>
                <w:rFonts w:hint="eastAsia" w:ascii="宋体" w:hAnsi="宋体" w:eastAsia="宋体" w:cs="宋体"/>
                <w:color w:val="auto"/>
                <w:sz w:val="24"/>
                <w:szCs w:val="24"/>
                <w:highlight w:val="none"/>
                <w:lang w:eastAsia="zh-CN"/>
              </w:rPr>
              <w:t>。</w:t>
            </w:r>
          </w:p>
        </w:tc>
        <w:tc>
          <w:tcPr>
            <w:tcW w:w="2446" w:type="dxa"/>
            <w:noWrap/>
            <w:vAlign w:val="center"/>
          </w:tcPr>
          <w:p>
            <w:pPr>
              <w:numPr>
                <w:ilvl w:val="0"/>
                <w:numId w:val="2"/>
              </w:numPr>
              <w:spacing w:line="400" w:lineRule="exact"/>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提供合同复印件</w:t>
            </w:r>
            <w:r>
              <w:rPr>
                <w:rFonts w:hint="eastAsia" w:ascii="宋体" w:hAnsi="宋体" w:cs="宋体"/>
                <w:color w:val="auto"/>
                <w:sz w:val="24"/>
                <w:szCs w:val="24"/>
                <w:highlight w:val="none"/>
                <w:lang w:val="en-US" w:eastAsia="zh-CN"/>
              </w:rPr>
              <w:t>并加盖供应商公章。</w:t>
            </w:r>
          </w:p>
          <w:p>
            <w:pPr>
              <w:numPr>
                <w:ilvl w:val="0"/>
                <w:numId w:val="2"/>
              </w:numPr>
              <w:spacing w:line="400" w:lineRule="exac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提供</w:t>
            </w:r>
            <w:r>
              <w:rPr>
                <w:rFonts w:hint="eastAsia" w:ascii="宋体" w:hAnsi="宋体" w:eastAsia="宋体" w:cs="宋体"/>
                <w:color w:val="auto"/>
                <w:sz w:val="24"/>
                <w:szCs w:val="24"/>
                <w:highlight w:val="none"/>
                <w:lang w:val="en-US" w:eastAsia="zh-CN"/>
              </w:rPr>
              <w:t>申报成功进入国家名单的通知书（网站截</w:t>
            </w:r>
            <w:r>
              <w:rPr>
                <w:rFonts w:hint="eastAsia" w:ascii="宋体" w:hAnsi="宋体" w:cs="宋体"/>
                <w:color w:val="auto"/>
                <w:sz w:val="24"/>
                <w:szCs w:val="24"/>
                <w:highlight w:val="none"/>
                <w:lang w:val="en-US" w:eastAsia="zh-CN"/>
              </w:rPr>
              <w:t>图并加盖投标人单位公章即可</w:t>
            </w:r>
            <w:r>
              <w:rPr>
                <w:rFonts w:hint="eastAsia" w:ascii="宋体" w:hAnsi="宋体" w:eastAsia="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6" w:hRule="atLeast"/>
          <w:jc w:val="center"/>
        </w:trPr>
        <w:tc>
          <w:tcPr>
            <w:tcW w:w="600" w:type="dxa"/>
            <w:vMerge w:val="continue"/>
            <w:noWrap/>
            <w:vAlign w:val="center"/>
          </w:tcPr>
          <w:p>
            <w:pPr>
              <w:spacing w:line="400" w:lineRule="exact"/>
              <w:rPr>
                <w:rFonts w:hint="eastAsia" w:ascii="宋体" w:hAnsi="宋体" w:cs="宋体"/>
                <w:color w:val="auto"/>
                <w:sz w:val="24"/>
                <w:szCs w:val="24"/>
                <w:highlight w:val="none"/>
              </w:rPr>
            </w:pPr>
          </w:p>
        </w:tc>
        <w:tc>
          <w:tcPr>
            <w:tcW w:w="947" w:type="dxa"/>
            <w:vMerge w:val="continue"/>
            <w:noWrap/>
            <w:vAlign w:val="center"/>
          </w:tcPr>
          <w:p>
            <w:pPr>
              <w:spacing w:line="400" w:lineRule="exact"/>
              <w:rPr>
                <w:rFonts w:hint="eastAsia" w:ascii="宋体" w:hAnsi="宋体" w:cs="宋体"/>
                <w:color w:val="auto"/>
                <w:sz w:val="24"/>
                <w:szCs w:val="24"/>
                <w:highlight w:val="none"/>
              </w:rPr>
            </w:pPr>
          </w:p>
        </w:tc>
        <w:tc>
          <w:tcPr>
            <w:tcW w:w="2098" w:type="dxa"/>
            <w:noWrap/>
            <w:vAlign w:val="center"/>
          </w:tcPr>
          <w:p>
            <w:pPr>
              <w:pStyle w:val="6"/>
              <w:ind w:firstLine="0"/>
              <w:jc w:val="center"/>
              <w:rPr>
                <w:rFonts w:hint="eastAsia" w:hAnsi="宋体"/>
                <w:color w:val="auto"/>
                <w:sz w:val="24"/>
                <w:szCs w:val="24"/>
                <w:highlight w:val="none"/>
                <w:lang w:eastAsia="zh-CN"/>
              </w:rPr>
            </w:pPr>
            <w:r>
              <w:rPr>
                <w:rFonts w:hint="eastAsia" w:hAnsi="宋体"/>
                <w:color w:val="auto"/>
                <w:sz w:val="24"/>
                <w:szCs w:val="24"/>
                <w:highlight w:val="none"/>
                <w:lang w:eastAsia="zh-CN"/>
              </w:rPr>
              <w:t>人员配置（</w:t>
            </w:r>
            <w:r>
              <w:rPr>
                <w:rFonts w:hint="eastAsia" w:hAnsi="宋体"/>
                <w:color w:val="auto"/>
                <w:sz w:val="24"/>
                <w:szCs w:val="24"/>
                <w:highlight w:val="none"/>
                <w:lang w:val="en-US" w:eastAsia="zh-CN"/>
              </w:rPr>
              <w:t>20分</w:t>
            </w:r>
            <w:r>
              <w:rPr>
                <w:rFonts w:hint="eastAsia" w:hAnsi="宋体"/>
                <w:color w:val="auto"/>
                <w:sz w:val="24"/>
                <w:szCs w:val="24"/>
                <w:highlight w:val="none"/>
                <w:lang w:eastAsia="zh-CN"/>
              </w:rPr>
              <w:t>）</w:t>
            </w:r>
          </w:p>
        </w:tc>
        <w:tc>
          <w:tcPr>
            <w:tcW w:w="3640" w:type="dxa"/>
            <w:noWrap/>
            <w:vAlign w:val="center"/>
          </w:tcPr>
          <w:p>
            <w:pPr>
              <w:spacing w:line="400" w:lineRule="exac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拟派的人员中具有正高级工程师职称的一个得5分，最高得10分。具有高级工程师职称的一个得2分，最高得10分。此项最多得20分。</w:t>
            </w:r>
          </w:p>
          <w:p>
            <w:pPr>
              <w:spacing w:line="400" w:lineRule="exact"/>
              <w:rPr>
                <w:rFonts w:hint="eastAsia" w:ascii="宋体" w:hAnsi="宋体" w:eastAsia="宋体" w:cs="宋体"/>
                <w:color w:val="auto"/>
                <w:sz w:val="24"/>
                <w:szCs w:val="24"/>
                <w:highlight w:val="none"/>
                <w:lang w:val="en-US" w:eastAsia="zh-CN"/>
              </w:rPr>
            </w:pPr>
          </w:p>
        </w:tc>
        <w:tc>
          <w:tcPr>
            <w:tcW w:w="2446" w:type="dxa"/>
            <w:noWrap/>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提供相关职称证书、2023年4月-2023年6月养老保险证明复印件或扫描件并加盖供应商公章。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600" w:type="dxa"/>
            <w:vMerge w:val="continue"/>
            <w:noWrap/>
            <w:vAlign w:val="center"/>
          </w:tcPr>
          <w:p>
            <w:pPr>
              <w:spacing w:line="400" w:lineRule="exact"/>
              <w:rPr>
                <w:rFonts w:hint="eastAsia" w:ascii="宋体" w:hAnsi="宋体" w:cs="宋体"/>
                <w:color w:val="auto"/>
                <w:sz w:val="24"/>
                <w:szCs w:val="24"/>
                <w:highlight w:val="none"/>
              </w:rPr>
            </w:pPr>
          </w:p>
        </w:tc>
        <w:tc>
          <w:tcPr>
            <w:tcW w:w="947" w:type="dxa"/>
            <w:vMerge w:val="continue"/>
            <w:noWrap/>
            <w:vAlign w:val="center"/>
          </w:tcPr>
          <w:p>
            <w:pPr>
              <w:spacing w:line="400" w:lineRule="exact"/>
              <w:rPr>
                <w:rFonts w:hint="eastAsia" w:ascii="宋体" w:hAnsi="宋体" w:cs="宋体"/>
                <w:color w:val="auto"/>
                <w:sz w:val="24"/>
                <w:szCs w:val="24"/>
                <w:highlight w:val="none"/>
              </w:rPr>
            </w:pPr>
          </w:p>
        </w:tc>
        <w:tc>
          <w:tcPr>
            <w:tcW w:w="2098" w:type="dxa"/>
            <w:noWrap/>
            <w:vAlign w:val="center"/>
          </w:tcPr>
          <w:p>
            <w:pPr>
              <w:pStyle w:val="6"/>
              <w:ind w:firstLine="0"/>
              <w:jc w:val="center"/>
              <w:rPr>
                <w:rFonts w:hint="eastAsia" w:hAnsi="宋体"/>
                <w:color w:val="auto"/>
                <w:sz w:val="24"/>
                <w:szCs w:val="24"/>
                <w:highlight w:val="none"/>
                <w:lang w:eastAsia="zh-CN"/>
              </w:rPr>
            </w:pPr>
            <w:r>
              <w:rPr>
                <w:rFonts w:hint="eastAsia" w:hAnsi="宋体"/>
                <w:color w:val="auto"/>
                <w:sz w:val="24"/>
                <w:szCs w:val="24"/>
                <w:highlight w:val="none"/>
                <w:lang w:eastAsia="zh-CN"/>
              </w:rPr>
              <w:t>企业能力（</w:t>
            </w:r>
            <w:r>
              <w:rPr>
                <w:rFonts w:hint="eastAsia" w:hAnsi="宋体"/>
                <w:color w:val="auto"/>
                <w:sz w:val="24"/>
                <w:szCs w:val="24"/>
                <w:highlight w:val="none"/>
                <w:lang w:val="en-US" w:eastAsia="zh-CN"/>
              </w:rPr>
              <w:t>15分</w:t>
            </w:r>
            <w:r>
              <w:rPr>
                <w:rFonts w:hint="eastAsia" w:hAnsi="宋体"/>
                <w:color w:val="auto"/>
                <w:sz w:val="24"/>
                <w:szCs w:val="24"/>
                <w:highlight w:val="none"/>
                <w:lang w:eastAsia="zh-CN"/>
              </w:rPr>
              <w:t>）</w:t>
            </w:r>
          </w:p>
        </w:tc>
        <w:tc>
          <w:tcPr>
            <w:tcW w:w="3640" w:type="dxa"/>
            <w:noWrap/>
            <w:vAlign w:val="center"/>
          </w:tcPr>
          <w:p>
            <w:pPr>
              <w:pStyle w:val="3"/>
              <w:numPr>
                <w:ilvl w:val="0"/>
                <w:numId w:val="0"/>
              </w:num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被纳入工业和信息化部关于公布工业节能与绿色发展评价中心名单的得15分。</w:t>
            </w:r>
          </w:p>
        </w:tc>
        <w:tc>
          <w:tcPr>
            <w:tcW w:w="2446" w:type="dxa"/>
            <w:noWrap/>
            <w:vAlign w:val="center"/>
          </w:tcPr>
          <w:tbl>
            <w:tblPr>
              <w:tblStyle w:val="16"/>
              <w:tblW w:w="24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2446" w:type="dxa"/>
                  <w:noWrap/>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提供在工业和信息化部关于公布工业节能与绿色发展评价中心名单</w:t>
                  </w:r>
                  <w:r>
                    <w:rPr>
                      <w:rFonts w:hint="eastAsia" w:ascii="宋体" w:hAnsi="宋体" w:eastAsia="宋体" w:cs="宋体"/>
                      <w:color w:val="auto"/>
                      <w:sz w:val="24"/>
                      <w:szCs w:val="24"/>
                      <w:highlight w:val="none"/>
                      <w:lang w:val="en-US" w:eastAsia="zh-CN"/>
                    </w:rPr>
                    <w:t>（网站截</w:t>
                  </w:r>
                  <w:r>
                    <w:rPr>
                      <w:rFonts w:hint="eastAsia" w:ascii="宋体" w:hAnsi="宋体" w:cs="宋体"/>
                      <w:color w:val="auto"/>
                      <w:sz w:val="24"/>
                      <w:szCs w:val="24"/>
                      <w:highlight w:val="none"/>
                      <w:lang w:val="en-US" w:eastAsia="zh-CN"/>
                    </w:rPr>
                    <w:t>图并加盖投标人单位公章即可</w:t>
                  </w:r>
                  <w:r>
                    <w:rPr>
                      <w:rFonts w:hint="eastAsia" w:ascii="宋体" w:hAnsi="宋体" w:eastAsia="宋体" w:cs="宋体"/>
                      <w:color w:val="auto"/>
                      <w:sz w:val="24"/>
                      <w:szCs w:val="24"/>
                      <w:highlight w:val="none"/>
                      <w:lang w:val="en-US" w:eastAsia="zh-CN"/>
                    </w:rPr>
                    <w:t>）</w:t>
                  </w:r>
                </w:p>
              </w:tc>
            </w:tr>
          </w:tbl>
          <w:p>
            <w:pPr>
              <w:spacing w:line="400" w:lineRule="exact"/>
              <w:rPr>
                <w:rFonts w:hint="eastAsia" w:ascii="宋体" w:hAnsi="宋体" w:eastAsia="宋体" w:cs="宋体"/>
                <w:color w:val="auto"/>
                <w:sz w:val="24"/>
                <w:szCs w:val="24"/>
                <w:highlight w:val="none"/>
              </w:rPr>
            </w:pPr>
          </w:p>
        </w:tc>
      </w:tr>
    </w:tbl>
    <w:p>
      <w:pPr>
        <w:snapToGrid w:val="0"/>
        <w:spacing w:line="360" w:lineRule="auto"/>
        <w:ind w:firstLine="465"/>
        <w:rPr>
          <w:rFonts w:hint="eastAsia" w:ascii="宋体" w:hAnsi="宋体" w:cs="宋体"/>
          <w:color w:val="auto"/>
          <w:sz w:val="24"/>
          <w:szCs w:val="24"/>
          <w:highlight w:val="none"/>
        </w:rPr>
      </w:pPr>
      <w:r>
        <w:rPr>
          <w:rFonts w:hint="eastAsia" w:ascii="宋体" w:hAnsi="宋体" w:cs="宋体"/>
          <w:color w:val="auto"/>
          <w:sz w:val="24"/>
          <w:szCs w:val="24"/>
          <w:highlight w:val="none"/>
        </w:rPr>
        <w:t>所有计算及得分保留至小数点后两位，小数点后第三位四舍五入。</w:t>
      </w:r>
    </w:p>
    <w:p>
      <w:pPr>
        <w:snapToGrid w:val="0"/>
        <w:spacing w:line="360" w:lineRule="auto"/>
        <w:ind w:firstLine="465"/>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关于小微企业报价扣除比例说明</w:t>
      </w:r>
    </w:p>
    <w:p>
      <w:pPr>
        <w:snapToGrid w:val="0"/>
        <w:spacing w:line="360" w:lineRule="auto"/>
        <w:ind w:firstLine="465"/>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1.对小微型企业给予6%的扣除，以扣除后的报价参与评审。</w:t>
      </w:r>
    </w:p>
    <w:p>
      <w:pPr>
        <w:snapToGrid w:val="0"/>
        <w:spacing w:line="360" w:lineRule="auto"/>
        <w:ind w:firstLine="465"/>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2.监狱企业、残疾人福利性单位属于微型企业的，应提供微型企业承诺书（详见第七篇 五、其他应提供的资料“中小微企业声明函”）。未提供以上资料的监狱企业、残疾人福利性单位视同小型企业。</w:t>
      </w:r>
    </w:p>
    <w:p>
      <w:pPr>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三、无效响应</w:t>
      </w:r>
      <w:bookmarkEnd w:id="39"/>
    </w:p>
    <w:p>
      <w:pPr>
        <w:snapToGrid w:val="0"/>
        <w:spacing w:line="360" w:lineRule="auto"/>
        <w:ind w:firstLine="465"/>
        <w:rPr>
          <w:rFonts w:ascii="宋体" w:hAnsi="宋体" w:cs="宋体"/>
          <w:color w:val="auto"/>
          <w:sz w:val="24"/>
          <w:szCs w:val="24"/>
          <w:highlight w:val="none"/>
        </w:rPr>
      </w:pPr>
      <w:bookmarkStart w:id="40" w:name="_Toc54278998"/>
      <w:r>
        <w:rPr>
          <w:rFonts w:hint="eastAsia" w:ascii="宋体" w:hAnsi="宋体" w:cs="宋体"/>
          <w:color w:val="auto"/>
          <w:sz w:val="24"/>
          <w:szCs w:val="24"/>
          <w:highlight w:val="none"/>
        </w:rPr>
        <w:t>竞标人发生以下条款情况之一者，视为无效响应，其响应文件将被拒绝：</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（一）竞标人不符合规定的基本资格条件或特定资格条件的；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（二）竞标人的法定代表人或其授权代表未参加磋商；</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（三）竞标人未按照竞争性磋商文件的要求缴纳磋商保证金；</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（四）竞标人所提交的响应文件不按第七篇“响应文件编制要求”规定编制或签字、盖章；</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（五）竞标人的最后报价超过采购预算的；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（六）法定代表人为同一个人的两个及两个以上法人，母公司、全资子公司及其控股公司，在同一分包采购中同时参与磋商；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（七）单位负责人为同一人或者存在直接控股、管理关系的不同竞标人，参加同一合同项下的政府采购活动的；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（八）为采购项目提供整体设计、规范编制或者项目管理、监理、检测等服务的竞标人，再参加该采购项目的其他采购活动；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（九）竞标人响应文件内容有与国家现行法律法规相违背的内容，或附有采购人无法接受的条件。</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（十）本磋商文件规定的其它情形。</w:t>
      </w:r>
    </w:p>
    <w:p>
      <w:pPr>
        <w:pStyle w:val="5"/>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四、</w:t>
      </w:r>
      <w:bookmarkEnd w:id="37"/>
      <w:bookmarkEnd w:id="38"/>
      <w:r>
        <w:rPr>
          <w:rFonts w:hint="eastAsia" w:ascii="宋体" w:hAnsi="宋体" w:cs="宋体"/>
          <w:color w:val="auto"/>
          <w:sz w:val="24"/>
          <w:szCs w:val="24"/>
          <w:highlight w:val="none"/>
        </w:rPr>
        <w:t>采购终止</w:t>
      </w:r>
      <w:bookmarkEnd w:id="40"/>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（一）因情况变化，不再符合规定的竞争性磋商采购方式适用情形的；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（二）出现影响采购公正的违法、违规行为的；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color w:val="auto"/>
          <w:sz w:val="24"/>
          <w:szCs w:val="24"/>
          <w:highlight w:val="none"/>
        </w:rPr>
        <w:sectPr>
          <w:footerReference r:id="rId7" w:type="default"/>
          <w:pgSz w:w="11907" w:h="16840"/>
          <w:pgMar w:top="1134" w:right="1191" w:bottom="1134" w:left="1304" w:header="964" w:footer="992" w:gutter="0"/>
          <w:pgNumType w:fmt="numberInDash"/>
          <w:cols w:space="720" w:num="1"/>
          <w:docGrid w:linePitch="312" w:charSpace="0"/>
        </w:sectPr>
      </w:pPr>
    </w:p>
    <w:p>
      <w:pPr>
        <w:pStyle w:val="4"/>
        <w:spacing w:line="312" w:lineRule="auto"/>
        <w:jc w:val="center"/>
        <w:rPr>
          <w:rFonts w:ascii="宋体" w:hAnsi="宋体" w:eastAsia="宋体" w:cs="宋体"/>
          <w:bCs/>
          <w:color w:val="auto"/>
          <w:szCs w:val="30"/>
          <w:highlight w:val="none"/>
        </w:rPr>
      </w:pPr>
      <w:bookmarkStart w:id="41" w:name="_Toc102227313"/>
      <w:bookmarkStart w:id="42" w:name="_Toc25636"/>
      <w:bookmarkStart w:id="43" w:name="_Toc25652"/>
      <w:bookmarkStart w:id="44" w:name="_Toc21400"/>
      <w:bookmarkStart w:id="45" w:name="_Toc11641055"/>
      <w:bookmarkStart w:id="46" w:name="_Toc12789059"/>
      <w:r>
        <w:rPr>
          <w:rFonts w:hint="eastAsia" w:ascii="宋体" w:hAnsi="宋体" w:eastAsia="宋体" w:cs="宋体"/>
          <w:bCs/>
          <w:color w:val="auto"/>
          <w:sz w:val="36"/>
          <w:szCs w:val="30"/>
          <w:highlight w:val="none"/>
        </w:rPr>
        <w:t>第五篇  供应商须知</w:t>
      </w:r>
      <w:bookmarkEnd w:id="41"/>
      <w:bookmarkEnd w:id="42"/>
      <w:bookmarkEnd w:id="43"/>
      <w:bookmarkEnd w:id="44"/>
    </w:p>
    <w:p>
      <w:pPr>
        <w:pStyle w:val="5"/>
        <w:spacing w:before="0" w:after="0" w:line="360" w:lineRule="auto"/>
        <w:rPr>
          <w:rFonts w:ascii="宋体" w:hAnsi="宋体" w:cs="宋体"/>
          <w:color w:val="auto"/>
          <w:sz w:val="24"/>
          <w:szCs w:val="24"/>
          <w:highlight w:val="none"/>
        </w:rPr>
      </w:pPr>
      <w:bookmarkStart w:id="47" w:name="_Toc465"/>
      <w:bookmarkStart w:id="48" w:name="_Toc342913389"/>
      <w:bookmarkStart w:id="49" w:name="_Toc24338"/>
      <w:bookmarkStart w:id="50" w:name="_Toc18058"/>
      <w:r>
        <w:rPr>
          <w:rFonts w:hint="eastAsia" w:ascii="宋体" w:hAnsi="宋体" w:cs="宋体"/>
          <w:color w:val="auto"/>
          <w:sz w:val="24"/>
          <w:szCs w:val="24"/>
          <w:highlight w:val="none"/>
        </w:rPr>
        <w:t>一、磋商费用</w:t>
      </w:r>
      <w:bookmarkEnd w:id="47"/>
      <w:bookmarkEnd w:id="48"/>
      <w:bookmarkEnd w:id="49"/>
      <w:bookmarkEnd w:id="50"/>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参与磋商的供应商应承担其编制响应文件与递交响应文件所涉及的一切费用，不论磋商结果如何，采购人在任何情况下无义务也无责任承担这些费用。</w:t>
      </w:r>
    </w:p>
    <w:p>
      <w:pPr>
        <w:pStyle w:val="5"/>
        <w:tabs>
          <w:tab w:val="left" w:pos="2640"/>
        </w:tabs>
        <w:spacing w:before="0" w:after="0" w:line="360" w:lineRule="auto"/>
        <w:rPr>
          <w:rFonts w:ascii="宋体" w:hAnsi="宋体" w:cs="宋体"/>
          <w:color w:val="auto"/>
          <w:sz w:val="24"/>
          <w:szCs w:val="24"/>
          <w:highlight w:val="none"/>
        </w:rPr>
      </w:pPr>
      <w:bookmarkStart w:id="51" w:name="_Toc889"/>
      <w:bookmarkStart w:id="52" w:name="_Toc9574"/>
      <w:bookmarkStart w:id="53" w:name="_Toc342913391"/>
      <w:bookmarkStart w:id="54" w:name="_Toc29852"/>
      <w:r>
        <w:rPr>
          <w:rFonts w:hint="eastAsia" w:ascii="宋体" w:hAnsi="宋体" w:cs="宋体"/>
          <w:color w:val="auto"/>
          <w:sz w:val="24"/>
          <w:szCs w:val="24"/>
          <w:highlight w:val="none"/>
        </w:rPr>
        <w:t>二、磋商</w:t>
      </w:r>
      <w:r>
        <w:rPr>
          <w:rFonts w:ascii="宋体" w:hAnsi="宋体" w:cs="宋体"/>
          <w:color w:val="auto"/>
          <w:sz w:val="24"/>
          <w:szCs w:val="24"/>
          <w:highlight w:val="none"/>
        </w:rPr>
        <w:t>采购</w:t>
      </w:r>
      <w:r>
        <w:rPr>
          <w:rFonts w:hint="eastAsia" w:ascii="宋体" w:hAnsi="宋体" w:cs="宋体"/>
          <w:color w:val="auto"/>
          <w:sz w:val="24"/>
          <w:szCs w:val="24"/>
          <w:highlight w:val="none"/>
        </w:rPr>
        <w:t>文件</w:t>
      </w:r>
      <w:bookmarkEnd w:id="51"/>
      <w:bookmarkEnd w:id="52"/>
      <w:bookmarkEnd w:id="53"/>
      <w:bookmarkEnd w:id="54"/>
    </w:p>
    <w:p>
      <w:pPr>
        <w:pStyle w:val="5"/>
        <w:spacing w:before="0" w:after="0" w:line="360" w:lineRule="auto"/>
        <w:ind w:firstLine="480" w:firstLineChars="200"/>
        <w:rPr>
          <w:rFonts w:ascii="宋体" w:hAnsi="宋体" w:cs="宋体"/>
          <w:b w:val="0"/>
          <w:color w:val="auto"/>
          <w:sz w:val="24"/>
          <w:szCs w:val="24"/>
          <w:highlight w:val="none"/>
        </w:rPr>
      </w:pPr>
      <w:bookmarkStart w:id="55" w:name="_Toc16134"/>
      <w:bookmarkStart w:id="56" w:name="_Toc179714297"/>
      <w:bookmarkStart w:id="57" w:name="_Toc102227318"/>
      <w:bookmarkStart w:id="58" w:name="_Toc342913392"/>
      <w:bookmarkStart w:id="59" w:name="_Toc19161"/>
      <w:bookmarkStart w:id="60" w:name="_Toc1269"/>
      <w:r>
        <w:rPr>
          <w:rFonts w:hint="eastAsia" w:ascii="宋体" w:hAnsi="宋体" w:cs="宋体"/>
          <w:b w:val="0"/>
          <w:color w:val="auto"/>
          <w:sz w:val="24"/>
          <w:szCs w:val="24"/>
          <w:highlight w:val="none"/>
        </w:rPr>
        <w:t>（一）竞争性磋商文件由采购邀请书、项目服务需求、供应商须知、项目商务需求、磋商程序及方法、评审标准、无效响应和采购终止、供应商须知、政府采购合同、响应文件编制要求七部分组成。</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（二）采购人所作的一切有效的书面通知、修改及补充，都是竞争性磋商文件不可分割的部分。</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（三）竞争性磋商文件的解释</w:t>
      </w:r>
    </w:p>
    <w:p>
      <w:pPr>
        <w:pStyle w:val="5"/>
        <w:spacing w:before="0" w:after="0" w:line="360"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供应商如对竞争性磋商文件有疑问，必须以书面形式在提交响应文件截止时间3个工作日前向采购人要求澄清，采购人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（四）本竞争性磋商文件中，磋商小组根据与供应商进行磋商可能实质性变动的内容为竞争性磋商文件第二、三、六篇全部内容。</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（五）评审的依据为竞争性磋商文件和响应文件（含有效的书面承诺）。磋商小组判断响应文件对竞争性磋商文件的响应，仅基于响应文件本身而不靠外部证据。</w:t>
      </w:r>
    </w:p>
    <w:p>
      <w:pPr>
        <w:pStyle w:val="5"/>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三、磋商要求</w:t>
      </w:r>
      <w:bookmarkEnd w:id="55"/>
      <w:bookmarkEnd w:id="56"/>
      <w:bookmarkEnd w:id="57"/>
      <w:bookmarkEnd w:id="58"/>
      <w:bookmarkEnd w:id="59"/>
      <w:bookmarkEnd w:id="6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（一）响应文件</w:t>
      </w:r>
      <w:bookmarkStart w:id="61" w:name="_Toc13950"/>
      <w:bookmarkStart w:id="62" w:name="_Toc10966"/>
      <w:bookmarkStart w:id="63" w:name="_Toc1836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2.响应文件组成</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（二）磋商有效期：响应文件及有关承诺文件有效期为提交响应文件截止时间起90天。</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（三）修正错误</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1.若供应商所递交的响应文件或最后报价中的价格出现大写金额和小写金额不一致的错误，以大写金额修正为准。</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2.磋商小组按上述修正错误的原则及方法修正供应商的报价，供应商同意并签字确认后，修正后的报价对供应商具有约束作用。如果供应商不接受修正后的价格，将失去成为成交供应商的资格。</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（四）提交响应文件的份数和签署</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1.响应文件一式两份，其中正本一份，副本一份；副本可为正本的复印件，应与正本一致，如出现不一致情况以正本为准。</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2.响应文件按竞争性磋商文件“第七篇响应文件编制要求”要求签署或盖章。</w:t>
      </w:r>
    </w:p>
    <w:p>
      <w:pPr>
        <w:pStyle w:val="5"/>
        <w:spacing w:before="0" w:after="0" w:line="360" w:lineRule="auto"/>
        <w:ind w:firstLine="240" w:firstLineChars="100"/>
        <w:rPr>
          <w:rFonts w:ascii="宋体" w:hAnsi="宋体" w:cs="宋体"/>
          <w:b w:val="0"/>
          <w:color w:val="auto"/>
          <w:sz w:val="24"/>
          <w:szCs w:val="24"/>
          <w:highlight w:val="none"/>
        </w:rPr>
      </w:pPr>
      <w:r>
        <w:rPr>
          <w:rFonts w:hint="eastAsia" w:ascii="宋体" w:hAnsi="宋体" w:cs="宋体"/>
          <w:b w:val="0"/>
          <w:color w:val="auto"/>
          <w:sz w:val="24"/>
          <w:szCs w:val="24"/>
          <w:highlight w:val="none"/>
        </w:rPr>
        <w:t>（五）响应文件的递交</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响应文件的正本、副本均应密封送达磋商地点，应在封套上注明磋商项目名称、供应商名称。若正本、副本分别进行密封的，还应在封套上注明“正本”、“副本”字样。</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（六）供应商参与人员</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各个供应商应当派1-2名代表参与磋商，至少1人应为法定代表人（或其授权代表）或自然人（供应商为自然人）。</w:t>
      </w:r>
    </w:p>
    <w:p>
      <w:pPr>
        <w:pStyle w:val="5"/>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四、成交供应商的确认和变更</w:t>
      </w:r>
      <w:bookmarkEnd w:id="61"/>
      <w:bookmarkEnd w:id="62"/>
      <w:bookmarkEnd w:id="63"/>
    </w:p>
    <w:p>
      <w:pPr>
        <w:pStyle w:val="5"/>
        <w:spacing w:before="0" w:after="0" w:line="360" w:lineRule="auto"/>
        <w:ind w:firstLine="480" w:firstLineChars="200"/>
        <w:rPr>
          <w:rFonts w:ascii="宋体" w:hAnsi="宋体" w:cs="宋体"/>
          <w:b w:val="0"/>
          <w:color w:val="auto"/>
          <w:sz w:val="24"/>
          <w:szCs w:val="24"/>
          <w:highlight w:val="none"/>
        </w:rPr>
      </w:pPr>
      <w:bookmarkStart w:id="64" w:name="_Toc9338"/>
      <w:bookmarkStart w:id="65" w:name="_Toc16678"/>
      <w:bookmarkStart w:id="66" w:name="_Toc342913395"/>
      <w:bookmarkStart w:id="67" w:name="_Toc12171"/>
      <w:bookmarkStart w:id="68" w:name="_Toc102227321"/>
      <w:r>
        <w:rPr>
          <w:rFonts w:hint="eastAsia" w:ascii="宋体" w:hAnsi="宋体" w:cs="宋体"/>
          <w:b w:val="0"/>
          <w:color w:val="auto"/>
          <w:sz w:val="24"/>
          <w:szCs w:val="24"/>
          <w:highlight w:val="none"/>
        </w:rPr>
        <w:t>（一）成交供应商的确认</w:t>
      </w:r>
    </w:p>
    <w:p>
      <w:pPr>
        <w:pStyle w:val="5"/>
        <w:spacing w:before="0" w:after="0" w:line="360" w:lineRule="auto"/>
        <w:ind w:firstLine="480" w:firstLineChars="200"/>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（二）成交供应商的变更</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成交供应商拒绝与采购人签订合同的，采购人可以按照评标报告推荐的成交候选供应商顺序，确定排名下一位的候选人为成交供应商，也可以重新开展政府采购活动。</w:t>
      </w:r>
    </w:p>
    <w:p>
      <w:pPr>
        <w:pStyle w:val="5"/>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五、成交通知</w:t>
      </w:r>
      <w:bookmarkEnd w:id="64"/>
      <w:bookmarkEnd w:id="65"/>
      <w:bookmarkEnd w:id="66"/>
      <w:bookmarkEnd w:id="67"/>
      <w:bookmarkEnd w:id="68"/>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（一）成交供应商确定后，采购人将在“建桥工业园”（http://www.jqgyy.com/）上发布成交结果公告。</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（二）结果公告发出同时，采购人将以书面形式发出《成交通知书》。《成交通知书》一经发出即发生法律效力。成交人需持经办人介绍信、身份证复印件到采购人处领取。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（三）《成交通知书》将作为签订合同的依据。</w:t>
      </w:r>
    </w:p>
    <w:p>
      <w:pPr>
        <w:pStyle w:val="5"/>
        <w:spacing w:before="0" w:after="0" w:line="360" w:lineRule="auto"/>
        <w:rPr>
          <w:rFonts w:ascii="宋体" w:hAnsi="宋体" w:cs="宋体"/>
          <w:color w:val="auto"/>
          <w:sz w:val="24"/>
          <w:szCs w:val="24"/>
          <w:highlight w:val="none"/>
        </w:rPr>
      </w:pPr>
      <w:bookmarkStart w:id="69" w:name="_Toc14603"/>
      <w:bookmarkStart w:id="70" w:name="_Toc1331"/>
      <w:bookmarkStart w:id="71" w:name="_Toc4498"/>
      <w:r>
        <w:rPr>
          <w:rFonts w:hint="eastAsia" w:ascii="宋体" w:hAnsi="宋体" w:cs="宋体"/>
          <w:color w:val="auto"/>
          <w:sz w:val="24"/>
          <w:szCs w:val="24"/>
          <w:highlight w:val="none"/>
        </w:rPr>
        <w:t>六、关于咨询</w:t>
      </w:r>
      <w:bookmarkEnd w:id="69"/>
      <w:bookmarkEnd w:id="70"/>
      <w:bookmarkEnd w:id="7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供应商认为采购文件、采购过程和成交结果使自己的权益收到伤害的，可向采购人以书面形式提出质疑。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提出质疑的应当是参与所质疑项目采购活动的供应商。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1.质疑时限、内容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供应商认为采购文件、采购过程、成交结果使自己的权益受到损害的，可以在知道或者应知其权益受到损害之日起7个工作日内，以书面形式向采购人提出质疑。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1.2供应商提出质疑应当提交质疑函和必要的证明材料，质疑函应当包括下列内容：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1.2.1供应商的姓名或者名称、地址、邮编、联系人及联系电话；</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1.2.2质疑项目的名称、项目号以及磋商项目编号；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1.2.3具体、明确的质疑事项和与质疑事项相关的请求；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1.2.4事实依据；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1.2.5必要的法律依据；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1.2.6提出质疑的日期；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1.2.7营业执照（或事业单位法人证书，或个体工商户营业执照或有效的自然人身份证明）复印件；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1.2.8法定代表人授权委托书原件、法定代表人身份证复印件和其授权代表的身份证复印件（供应商为自然人的提供自然人身份证复印件）；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1.3供应商为自然人的，质疑函应当由本人签字；供应商为法人或者其他组织的，质疑函应当由法定代表人、主要负责人，或者其授权代表签字或者盖章，并加盖公章。</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2.质疑答复</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3.不予受理或暂缓受理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3.1质疑有下列情形之一的，不予受理：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3.1.1质疑供应商参与了磋商活动后，再对竞争性磋商文件内容提出质疑的；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3.1.2质疑超过有效期的；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3.1.3对同一事项重复质疑的。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3.2.1质疑书格式和内容不符合国家或重庆市相关规定的；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3.2.2质疑书提供的依据或证明材料不全的；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3.2.3质疑书副本数量不足的。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3.其他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3.1供应商应按照《政府采购质疑和投诉办法》（财政部令第94号）及相关法律法规要求，在法定质疑期内一次性提出针对同一采购程序环节的质疑。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3.2质疑函范本可在财政部门户网站和中国政府采购网下载。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（二）投诉</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1.供应商对采购人的答复不满意，或者采购人未在规定时间内作出答复的，可以在答复期满后15个工作日内按照相关法律法规向财政部门提起投诉。</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2.供应商应按照《政府采购质疑和投诉办法》（财政部令第94号）及相关法律法规要求递交投诉书和必要的证明材料。投诉书范本可在财政部门户网站和中国政府采购网下载。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4.在确定受理投诉后，财政部门自受理投诉之日起30个工作日内（需要检验、检测、鉴定、专家评审以及需要投诉人补正材料的，所需时间不计算在投诉处理期限内）对投诉事项做出处理决定。</w:t>
      </w:r>
    </w:p>
    <w:p>
      <w:pPr>
        <w:pStyle w:val="5"/>
        <w:spacing w:before="0" w:after="0" w:line="360" w:lineRule="auto"/>
        <w:rPr>
          <w:rFonts w:ascii="宋体" w:hAnsi="宋体" w:cs="宋体"/>
          <w:color w:val="auto"/>
          <w:sz w:val="24"/>
          <w:szCs w:val="24"/>
          <w:highlight w:val="none"/>
        </w:rPr>
      </w:pPr>
      <w:bookmarkStart w:id="72" w:name="_Toc102227322"/>
      <w:bookmarkStart w:id="73" w:name="_Toc9382"/>
      <w:bookmarkStart w:id="74" w:name="_Toc9092"/>
      <w:bookmarkStart w:id="75" w:name="_Toc3254"/>
      <w:bookmarkStart w:id="76" w:name="_Toc342913396"/>
      <w:r>
        <w:rPr>
          <w:rFonts w:hint="eastAsia" w:ascii="宋体" w:hAnsi="宋体" w:cs="宋体"/>
          <w:color w:val="auto"/>
          <w:sz w:val="24"/>
          <w:szCs w:val="24"/>
          <w:highlight w:val="none"/>
        </w:rPr>
        <w:t>七、签订</w:t>
      </w:r>
      <w:bookmarkEnd w:id="72"/>
      <w:r>
        <w:rPr>
          <w:rFonts w:hint="eastAsia" w:ascii="宋体" w:hAnsi="宋体" w:cs="宋体"/>
          <w:color w:val="auto"/>
          <w:sz w:val="24"/>
          <w:szCs w:val="24"/>
          <w:highlight w:val="none"/>
        </w:rPr>
        <w:t>合同</w:t>
      </w:r>
      <w:bookmarkEnd w:id="73"/>
      <w:bookmarkEnd w:id="74"/>
      <w:bookmarkEnd w:id="75"/>
      <w:bookmarkEnd w:id="76"/>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（二）竞争性磋商文件、供应商的响应文件及澄清文件等，均为签订政府采购合同的依据。</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（三）合同生效条款由供需双方约定，法律、行政法规规定应当办理批准、登记等手续后生效的合同，依照其规定。</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（四）合同原则上应按照《重庆市政府采购合同》签订，相关单位要求适用合同通用格式版本的，应按其要求另行签订其他合同。</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（五）采购人要求成交供应商提供履约保证金的，应当在竞争性磋商文件中予以约定。成交供应商履约完毕后，采购人根据采购文件规定退还其履约保证金。</w:t>
      </w:r>
    </w:p>
    <w:p>
      <w:pPr>
        <w:pStyle w:val="14"/>
        <w:tabs>
          <w:tab w:val="left" w:pos="1260"/>
          <w:tab w:val="left" w:pos="1685"/>
          <w:tab w:val="right" w:leader="dot" w:pos="8400"/>
        </w:tabs>
        <w:spacing w:line="360" w:lineRule="auto"/>
        <w:ind w:firstLine="0" w:firstLineChars="0"/>
        <w:rPr>
          <w:rFonts w:ascii="宋体" w:hAnsi="宋体" w:cs="宋体"/>
          <w:b/>
          <w:color w:val="auto"/>
          <w:sz w:val="24"/>
          <w:szCs w:val="24"/>
          <w:highlight w:val="none"/>
        </w:rPr>
      </w:pPr>
      <w:r>
        <w:rPr>
          <w:rFonts w:hint="eastAsia" w:ascii="宋体" w:hAnsi="宋体" w:cs="宋体"/>
          <w:b/>
          <w:color w:val="auto"/>
          <w:sz w:val="24"/>
          <w:szCs w:val="24"/>
          <w:highlight w:val="none"/>
        </w:rPr>
        <w:t>八、政府采购信用融资</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 xml:space="preserve">  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18602391953；工商银行联系人：程剑鹏18325073918 游宇13996150404; 兴业银行联系人：陈亚琴15223442359；光大银行联系人：韩一夫13983233666；农业银行联系人：张世佳19946916067；华夏银行重庆分行联系人：危经理13618303013胡经理</w:t>
      </w:r>
    </w:p>
    <w:p>
      <w:pPr>
        <w:pStyle w:val="4"/>
        <w:spacing w:line="360" w:lineRule="auto"/>
        <w:jc w:val="both"/>
        <w:rPr>
          <w:rFonts w:ascii="宋体" w:hAnsi="宋体" w:eastAsia="宋体" w:cs="宋体"/>
          <w:b w:val="0"/>
          <w:color w:val="auto"/>
          <w:sz w:val="36"/>
          <w:szCs w:val="30"/>
          <w:highlight w:val="none"/>
        </w:rPr>
      </w:pPr>
      <w:r>
        <w:rPr>
          <w:rFonts w:hint="eastAsia" w:ascii="宋体" w:hAnsi="宋体" w:eastAsia="宋体" w:cs="宋体"/>
          <w:b w:val="0"/>
          <w:color w:val="auto"/>
          <w:kern w:val="2"/>
          <w:sz w:val="24"/>
          <w:szCs w:val="24"/>
          <w:highlight w:val="none"/>
          <w:lang w:val="en-US" w:eastAsia="zh-CN" w:bidi="ar-SA"/>
        </w:rPr>
        <w:t>18580766891。</w:t>
      </w:r>
      <w:r>
        <w:rPr>
          <w:rFonts w:hint="eastAsia" w:ascii="宋体" w:hAnsi="宋体" w:eastAsia="宋体" w:cs="宋体"/>
          <w:color w:val="auto"/>
          <w:sz w:val="36"/>
          <w:szCs w:val="30"/>
          <w:highlight w:val="none"/>
        </w:rPr>
        <w:br w:type="page"/>
      </w:r>
      <w:bookmarkStart w:id="77" w:name="_Toc54279010"/>
      <w:r>
        <w:rPr>
          <w:rFonts w:hint="eastAsia" w:ascii="宋体" w:hAnsi="宋体" w:eastAsia="宋体" w:cs="宋体"/>
          <w:b w:val="0"/>
          <w:color w:val="auto"/>
          <w:sz w:val="36"/>
          <w:szCs w:val="30"/>
          <w:highlight w:val="none"/>
        </w:rPr>
        <w:t xml:space="preserve">第六篇  </w:t>
      </w:r>
      <w:bookmarkEnd w:id="45"/>
      <w:bookmarkEnd w:id="46"/>
      <w:r>
        <w:rPr>
          <w:rFonts w:hint="eastAsia" w:ascii="宋体" w:hAnsi="宋体" w:eastAsia="宋体" w:cs="宋体"/>
          <w:b w:val="0"/>
          <w:color w:val="auto"/>
          <w:sz w:val="36"/>
          <w:szCs w:val="30"/>
          <w:highlight w:val="none"/>
        </w:rPr>
        <w:t>合同</w:t>
      </w:r>
      <w:bookmarkEnd w:id="77"/>
    </w:p>
    <w:p>
      <w:pPr>
        <w:tabs>
          <w:tab w:val="left" w:pos="9000"/>
        </w:tabs>
        <w:spacing w:line="360" w:lineRule="auto"/>
        <w:jc w:val="center"/>
        <w:rPr>
          <w:rFonts w:ascii="宋体" w:hAnsi="宋体" w:cs="宋体"/>
          <w:color w:val="auto"/>
          <w:sz w:val="21"/>
          <w:szCs w:val="21"/>
          <w:highlight w:val="none"/>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color w:val="auto"/>
          <w:sz w:val="44"/>
          <w:highlight w:val="none"/>
        </w:rPr>
        <w:t>格式自拟</w:t>
      </w:r>
    </w:p>
    <w:p>
      <w:pPr>
        <w:pStyle w:val="4"/>
        <w:spacing w:before="0" w:after="0" w:line="312" w:lineRule="auto"/>
        <w:jc w:val="center"/>
        <w:rPr>
          <w:rFonts w:ascii="宋体" w:hAnsi="宋体" w:eastAsia="宋体" w:cs="宋体"/>
          <w:bCs/>
          <w:color w:val="auto"/>
          <w:sz w:val="36"/>
          <w:szCs w:val="30"/>
          <w:highlight w:val="none"/>
        </w:rPr>
      </w:pPr>
      <w:bookmarkStart w:id="78" w:name="_Hlt41879464"/>
      <w:bookmarkEnd w:id="78"/>
      <w:bookmarkStart w:id="79" w:name="_Toc12789072"/>
      <w:bookmarkStart w:id="80" w:name="_Toc29402"/>
      <w:bookmarkStart w:id="81" w:name="_Toc32160"/>
      <w:bookmarkStart w:id="82" w:name="_Toc3907"/>
      <w:bookmarkStart w:id="83" w:name="_Toc54279012"/>
      <w:bookmarkStart w:id="84" w:name="_Toc313008356"/>
      <w:bookmarkStart w:id="85" w:name="_Toc342913419"/>
      <w:bookmarkStart w:id="86" w:name="_Toc313888360"/>
      <w:bookmarkStart w:id="87" w:name="_Toc12789073"/>
      <w:bookmarkStart w:id="88" w:name="_Toc283382454"/>
      <w:r>
        <w:rPr>
          <w:rFonts w:hint="eastAsia" w:ascii="宋体" w:hAnsi="宋体" w:eastAsia="宋体" w:cs="宋体"/>
          <w:bCs/>
          <w:color w:val="auto"/>
          <w:sz w:val="36"/>
          <w:szCs w:val="30"/>
          <w:highlight w:val="none"/>
        </w:rPr>
        <w:t xml:space="preserve">第七篇  </w:t>
      </w:r>
      <w:bookmarkEnd w:id="79"/>
      <w:r>
        <w:rPr>
          <w:rFonts w:hint="eastAsia" w:ascii="宋体" w:hAnsi="宋体" w:eastAsia="宋体" w:cs="宋体"/>
          <w:bCs/>
          <w:color w:val="auto"/>
          <w:sz w:val="36"/>
          <w:szCs w:val="30"/>
          <w:highlight w:val="none"/>
        </w:rPr>
        <w:t>响应文件编制要求</w:t>
      </w:r>
      <w:bookmarkEnd w:id="80"/>
      <w:bookmarkEnd w:id="81"/>
      <w:bookmarkEnd w:id="82"/>
    </w:p>
    <w:p>
      <w:pPr>
        <w:pStyle w:val="5"/>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一、经济部分</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（一）竞争性磋商报价函</w:t>
      </w:r>
    </w:p>
    <w:p>
      <w:pPr>
        <w:pStyle w:val="5"/>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二、服务部分</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（一）服务响应偏离表</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pStyle w:val="5"/>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三、商务部分</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（一）商务响应偏离表</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（二）其它优惠服务承诺（格式自定）</w:t>
      </w:r>
    </w:p>
    <w:p>
      <w:pPr>
        <w:pStyle w:val="5"/>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四、资格条件及其他</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（一）法人营业执照（副本）或事业单位法人证书（副本）或个体工商户营业执照或有效的自然人身份证明或社会团体法人登记证书复印件</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（二）法定代表人身份证明书（格式）</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（三）法定代表人授权委托书（格式）</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（四）基本资格条件承诺函（格式）</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（五）特定资格条件证书或证明文件</w:t>
      </w:r>
    </w:p>
    <w:p>
      <w:pPr>
        <w:pStyle w:val="5"/>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五、其他资料</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（一）中小企业声明函、监狱企业证明文件、残疾人福利性单位声明函</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（二）联合体协议或分包意向协议（格式自定）</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（三）其他与项目有关的资料</w:t>
      </w: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一、经济部分</w:t>
      </w:r>
      <w:bookmarkEnd w:id="83"/>
      <w:bookmarkEnd w:id="84"/>
      <w:bookmarkEnd w:id="85"/>
      <w:bookmarkEnd w:id="86"/>
    </w:p>
    <w:bookmarkEnd w:id="87"/>
    <w:bookmarkEnd w:id="88"/>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（一）竞争性磋商报价函</w:t>
      </w:r>
    </w:p>
    <w:p>
      <w:pPr>
        <w:jc w:val="center"/>
        <w:rPr>
          <w:rFonts w:ascii="宋体" w:hAnsi="宋体" w:cs="宋体"/>
          <w:b/>
          <w:color w:val="auto"/>
          <w:szCs w:val="28"/>
          <w:highlight w:val="none"/>
        </w:rPr>
      </w:pPr>
      <w:r>
        <w:rPr>
          <w:rFonts w:hint="eastAsia" w:ascii="宋体" w:hAnsi="宋体" w:cs="宋体"/>
          <w:b/>
          <w:color w:val="auto"/>
          <w:szCs w:val="28"/>
          <w:highlight w:val="none"/>
        </w:rPr>
        <w:t>竞争性磋商报价函</w:t>
      </w:r>
    </w:p>
    <w:p>
      <w:pPr>
        <w:tabs>
          <w:tab w:val="left" w:pos="6300"/>
        </w:tabs>
        <w:snapToGrid w:val="0"/>
        <w:spacing w:line="312" w:lineRule="auto"/>
        <w:rPr>
          <w:rFonts w:ascii="宋体" w:hAnsi="宋体" w:cs="宋体"/>
          <w:color w:val="auto"/>
          <w:sz w:val="24"/>
          <w:szCs w:val="24"/>
          <w:highlight w:val="none"/>
        </w:rPr>
      </w:pPr>
      <w:r>
        <w:rPr>
          <w:rFonts w:hint="eastAsia" w:ascii="宋体" w:hAnsi="宋体" w:cs="宋体"/>
          <w:color w:val="auto"/>
          <w:sz w:val="24"/>
          <w:szCs w:val="24"/>
          <w:highlight w:val="none"/>
          <w:u w:val="single"/>
        </w:rPr>
        <w:t>（采购人名称）</w:t>
      </w:r>
      <w:r>
        <w:rPr>
          <w:rFonts w:hint="eastAsia" w:ascii="宋体" w:hAnsi="宋体" w:cs="宋体"/>
          <w:color w:val="auto"/>
          <w:sz w:val="24"/>
          <w:szCs w:val="24"/>
          <w:highlight w:val="none"/>
        </w:rPr>
        <w:t>：</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1、愿意按照竞争性磋商文件中的一切要求，提供本项目的服务费初始报价为人民币：</w:t>
      </w:r>
      <w:r>
        <w:rPr>
          <w:rFonts w:hint="eastAsia" w:ascii="宋体" w:hAnsi="宋体" w:cs="宋体"/>
          <w:color w:val="auto"/>
          <w:sz w:val="24"/>
          <w:szCs w:val="24"/>
          <w:highlight w:val="none"/>
          <w:u w:val="none"/>
        </w:rPr>
        <w:t xml:space="preserve">   </w:t>
      </w:r>
      <w:r>
        <w:rPr>
          <w:rFonts w:hint="eastAsia" w:ascii="宋体" w:hAnsi="宋体" w:cs="宋体"/>
          <w:color w:val="auto"/>
          <w:sz w:val="24"/>
          <w:szCs w:val="24"/>
          <w:highlight w:val="none"/>
        </w:rPr>
        <w:t>元</w:t>
      </w:r>
      <w:r>
        <w:rPr>
          <w:rFonts w:hint="eastAsia" w:ascii="宋体" w:hAnsi="宋体" w:cs="宋体"/>
          <w:color w:val="auto"/>
          <w:sz w:val="24"/>
          <w:szCs w:val="24"/>
          <w:highlight w:val="none"/>
          <w:lang w:eastAsia="zh-CN"/>
        </w:rPr>
        <w:t>，大写：</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。以我公司最后报价为准。</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2.我方现提交的响应文件为：响应文件正本1份，副本1份。</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3、我方承诺：本次磋商的有效期为</w:t>
      </w:r>
      <w:r>
        <w:rPr>
          <w:rFonts w:hint="eastAsia" w:ascii="宋体" w:hAnsi="宋体" w:cs="宋体"/>
          <w:color w:val="auto"/>
          <w:sz w:val="24"/>
          <w:szCs w:val="24"/>
          <w:highlight w:val="none"/>
          <w:u w:val="single"/>
        </w:rPr>
        <w:t>90</w:t>
      </w:r>
      <w:r>
        <w:rPr>
          <w:rFonts w:hint="eastAsia" w:ascii="宋体" w:hAnsi="宋体" w:cs="宋体"/>
          <w:color w:val="auto"/>
          <w:sz w:val="24"/>
          <w:szCs w:val="24"/>
          <w:highlight w:val="none"/>
        </w:rPr>
        <w:t>天。</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w:t>
      </w:r>
      <w:r>
        <w:rPr>
          <w:rFonts w:hint="eastAsia" w:ascii="宋体" w:hAnsi="宋体" w:cs="宋体"/>
          <w:color w:val="auto"/>
          <w:sz w:val="24"/>
          <w:szCs w:val="28"/>
          <w:highlight w:val="none"/>
        </w:rPr>
        <w:t>我方理解，最低报价不是成交的唯一条件。</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8、我方同意按竞争性磋商文件规定，交纳竞争性磋商文件要求的磋商保证金。</w:t>
      </w:r>
    </w:p>
    <w:p>
      <w:pPr>
        <w:tabs>
          <w:tab w:val="left" w:pos="6300"/>
        </w:tabs>
        <w:snapToGrid w:val="0"/>
        <w:spacing w:line="48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9、我方未为采购项目提供整体设计、规范编制或者项目管理、监理、检测等服务。</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竞标人（公章）：</w:t>
      </w:r>
    </w:p>
    <w:p>
      <w:pPr>
        <w:snapToGrid w:val="0"/>
        <w:spacing w:line="312" w:lineRule="auto"/>
        <w:ind w:firstLine="480" w:firstLineChars="200"/>
        <w:rPr>
          <w:rFonts w:ascii="宋体" w:hAnsi="宋体" w:cs="宋体"/>
          <w:color w:val="auto"/>
          <w:sz w:val="24"/>
          <w:szCs w:val="24"/>
          <w:highlight w:val="none"/>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color w:val="auto"/>
          <w:sz w:val="24"/>
          <w:szCs w:val="24"/>
          <w:highlight w:val="none"/>
        </w:rPr>
        <w:t xml:space="preserve">                                                  年   月  日</w:t>
      </w:r>
    </w:p>
    <w:p>
      <w:pPr>
        <w:pStyle w:val="5"/>
        <w:spacing w:before="0" w:after="0" w:line="312" w:lineRule="auto"/>
        <w:rPr>
          <w:rFonts w:ascii="宋体" w:hAnsi="宋体" w:cs="宋体"/>
          <w:color w:val="auto"/>
          <w:sz w:val="24"/>
          <w:szCs w:val="24"/>
          <w:highlight w:val="none"/>
        </w:rPr>
      </w:pPr>
      <w:bookmarkStart w:id="89" w:name="_Toc5448"/>
      <w:bookmarkStart w:id="90" w:name="_Toc342913420"/>
      <w:bookmarkStart w:id="91" w:name="_Toc9573"/>
      <w:bookmarkStart w:id="92" w:name="_Toc24044"/>
      <w:bookmarkStart w:id="93" w:name="_Toc313008357"/>
      <w:bookmarkStart w:id="94" w:name="_Toc313888361"/>
      <w:r>
        <w:rPr>
          <w:rFonts w:hint="eastAsia" w:ascii="宋体" w:hAnsi="宋体" w:cs="宋体"/>
          <w:color w:val="auto"/>
          <w:sz w:val="24"/>
          <w:szCs w:val="24"/>
          <w:highlight w:val="none"/>
        </w:rPr>
        <w:t>二、服务部分</w:t>
      </w:r>
      <w:bookmarkEnd w:id="89"/>
      <w:bookmarkEnd w:id="90"/>
      <w:bookmarkEnd w:id="91"/>
      <w:bookmarkEnd w:id="92"/>
      <w:bookmarkEnd w:id="93"/>
      <w:bookmarkEnd w:id="94"/>
    </w:p>
    <w:p>
      <w:pPr>
        <w:tabs>
          <w:tab w:val="left" w:pos="6300"/>
        </w:tabs>
        <w:snapToGrid w:val="0"/>
        <w:spacing w:line="312" w:lineRule="auto"/>
        <w:ind w:firstLine="570"/>
        <w:rPr>
          <w:rFonts w:ascii="宋体" w:hAnsi="宋体" w:cs="宋体"/>
          <w:color w:val="auto"/>
          <w:szCs w:val="24"/>
          <w:highlight w:val="none"/>
        </w:rPr>
      </w:pPr>
      <w:r>
        <w:rPr>
          <w:rFonts w:hint="eastAsia" w:ascii="宋体" w:hAnsi="宋体" w:cs="宋体"/>
          <w:color w:val="auto"/>
          <w:sz w:val="24"/>
          <w:szCs w:val="24"/>
          <w:highlight w:val="none"/>
        </w:rPr>
        <w:t>（一）服务响应偏离表</w:t>
      </w:r>
    </w:p>
    <w:p>
      <w:pPr>
        <w:pStyle w:val="10"/>
        <w:tabs>
          <w:tab w:val="left" w:pos="6300"/>
        </w:tabs>
        <w:snapToGrid w:val="0"/>
        <w:spacing w:line="312" w:lineRule="auto"/>
        <w:ind w:firstLine="480" w:firstLineChars="200"/>
        <w:outlineLvl w:val="0"/>
        <w:rPr>
          <w:rFonts w:ascii="宋体" w:hAnsi="宋体" w:cs="宋体"/>
          <w:color w:val="auto"/>
          <w:sz w:val="24"/>
          <w:highlight w:val="none"/>
        </w:rPr>
      </w:pPr>
    </w:p>
    <w:p>
      <w:pPr>
        <w:pStyle w:val="10"/>
        <w:tabs>
          <w:tab w:val="left" w:pos="6300"/>
        </w:tabs>
        <w:snapToGrid w:val="0"/>
        <w:spacing w:line="312" w:lineRule="auto"/>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项目名称：</w:t>
      </w:r>
    </w:p>
    <w:tbl>
      <w:tblPr>
        <w:tblStyle w:val="16"/>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采购需求</w:t>
            </w:r>
          </w:p>
        </w:tc>
        <w:tc>
          <w:tcPr>
            <w:tcW w:w="308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响应情况</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3081" w:type="dxa"/>
            <w:vAlign w:val="center"/>
          </w:tcPr>
          <w:p>
            <w:pPr>
              <w:tabs>
                <w:tab w:val="left" w:pos="6300"/>
              </w:tabs>
              <w:snapToGrid w:val="0"/>
              <w:spacing w:line="500" w:lineRule="exact"/>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提醒：请注明技术参数或具体内容以及响应文件中技术参数或具体内容的位置（页码）</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bl>
    <w:p>
      <w:pPr>
        <w:spacing w:line="312"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12" w:lineRule="auto"/>
        <w:rPr>
          <w:rFonts w:ascii="宋体" w:hAnsi="宋体" w:cs="宋体"/>
          <w:color w:val="auto"/>
          <w:sz w:val="24"/>
          <w:szCs w:val="28"/>
          <w:highlight w:val="none"/>
        </w:rPr>
      </w:pPr>
    </w:p>
    <w:p>
      <w:pPr>
        <w:spacing w:line="312" w:lineRule="auto"/>
        <w:ind w:firstLine="720" w:firstLineChars="30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1.本表即为对本项目“第二篇  项目</w:t>
      </w:r>
      <w:r>
        <w:rPr>
          <w:rFonts w:hint="eastAsia" w:ascii="宋体" w:hAnsi="宋体" w:cs="宋体"/>
          <w:color w:val="auto"/>
          <w:sz w:val="24"/>
          <w:highlight w:val="none"/>
          <w:lang w:eastAsia="zh-CN"/>
        </w:rPr>
        <w:t>服务</w:t>
      </w:r>
      <w:r>
        <w:rPr>
          <w:rFonts w:hint="eastAsia" w:ascii="宋体" w:hAnsi="宋体" w:cs="宋体"/>
          <w:color w:val="auto"/>
          <w:sz w:val="24"/>
          <w:highlight w:val="none"/>
        </w:rPr>
        <w:t>需求”中所列条款进行比较和响应；</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2.本表可扩展。</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pStyle w:val="5"/>
        <w:spacing w:before="0" w:after="0" w:line="312" w:lineRule="auto"/>
        <w:rPr>
          <w:rFonts w:ascii="宋体" w:hAnsi="宋体" w:cs="宋体"/>
          <w:b w:val="0"/>
          <w:color w:val="auto"/>
          <w:highlight w:val="none"/>
        </w:rPr>
      </w:pPr>
    </w:p>
    <w:p>
      <w:pPr>
        <w:pStyle w:val="5"/>
        <w:spacing w:before="0" w:after="0" w:line="312" w:lineRule="auto"/>
        <w:rPr>
          <w:rFonts w:ascii="宋体" w:hAnsi="宋体" w:cs="宋体"/>
          <w:b w:val="0"/>
          <w:color w:val="auto"/>
          <w:highlight w:val="none"/>
        </w:rPr>
      </w:pPr>
    </w:p>
    <w:p>
      <w:pPr>
        <w:pStyle w:val="5"/>
        <w:spacing w:before="0" w:after="0" w:line="312" w:lineRule="auto"/>
        <w:rPr>
          <w:rFonts w:ascii="宋体" w:hAnsi="宋体" w:cs="宋体"/>
          <w:b w:val="0"/>
          <w:color w:val="auto"/>
          <w:highlight w:val="none"/>
        </w:rPr>
      </w:pPr>
    </w:p>
    <w:p>
      <w:pPr>
        <w:pStyle w:val="5"/>
        <w:spacing w:before="0" w:after="0" w:line="312" w:lineRule="auto"/>
        <w:rPr>
          <w:rFonts w:ascii="宋体" w:hAnsi="宋体" w:cs="宋体"/>
          <w:b w:val="0"/>
          <w:color w:val="auto"/>
          <w:highlight w:val="none"/>
        </w:rPr>
      </w:pPr>
    </w:p>
    <w:p>
      <w:pPr>
        <w:pStyle w:val="5"/>
        <w:spacing w:before="0" w:after="0" w:line="312" w:lineRule="auto"/>
        <w:rPr>
          <w:rFonts w:ascii="宋体" w:hAnsi="宋体" w:cs="宋体"/>
          <w:color w:val="auto"/>
          <w:sz w:val="24"/>
          <w:szCs w:val="24"/>
          <w:highlight w:val="none"/>
        </w:rPr>
      </w:pPr>
      <w:r>
        <w:rPr>
          <w:rFonts w:hint="eastAsia" w:ascii="宋体" w:hAnsi="宋体" w:cs="宋体"/>
          <w:b w:val="0"/>
          <w:color w:val="auto"/>
          <w:highlight w:val="none"/>
        </w:rPr>
        <w:br w:type="page"/>
      </w:r>
      <w:bookmarkStart w:id="95" w:name="_Toc342913421"/>
      <w:bookmarkStart w:id="96" w:name="_Toc5445"/>
      <w:bookmarkStart w:id="97" w:name="_Toc313008358"/>
      <w:bookmarkStart w:id="98" w:name="_Toc30652"/>
      <w:bookmarkStart w:id="99" w:name="_Toc9361"/>
      <w:bookmarkStart w:id="100" w:name="_Toc313888362"/>
      <w:r>
        <w:rPr>
          <w:rFonts w:hint="eastAsia" w:ascii="宋体" w:hAnsi="宋体" w:cs="宋体"/>
          <w:color w:val="auto"/>
          <w:sz w:val="24"/>
          <w:szCs w:val="24"/>
          <w:highlight w:val="none"/>
        </w:rPr>
        <w:t>三、商务部分</w:t>
      </w:r>
      <w:bookmarkEnd w:id="95"/>
      <w:bookmarkEnd w:id="96"/>
      <w:bookmarkEnd w:id="97"/>
      <w:bookmarkEnd w:id="98"/>
      <w:bookmarkEnd w:id="99"/>
      <w:bookmarkEnd w:id="100"/>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bookmarkStart w:id="101" w:name="_Toc283382459"/>
      <w:r>
        <w:rPr>
          <w:rFonts w:hint="eastAsia" w:ascii="宋体" w:hAnsi="宋体" w:cs="宋体"/>
          <w:color w:val="auto"/>
          <w:sz w:val="24"/>
          <w:szCs w:val="24"/>
          <w:highlight w:val="none"/>
        </w:rPr>
        <w:t>商务响应偏离表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磋商项目名称：</w:t>
      </w:r>
    </w:p>
    <w:tbl>
      <w:tblPr>
        <w:tblStyle w:val="16"/>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序号</w:t>
            </w: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磋商项目商务需求</w:t>
            </w: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响应情况</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2434" w:type="dxa"/>
            <w:vAlign w:val="center"/>
          </w:tcPr>
          <w:p>
            <w:pPr>
              <w:tabs>
                <w:tab w:val="left" w:pos="6300"/>
              </w:tabs>
              <w:snapToGrid w:val="0"/>
              <w:spacing w:line="360" w:lineRule="auto"/>
              <w:outlineLvl w:val="0"/>
              <w:rPr>
                <w:rFonts w:asciiTheme="minorEastAsia" w:hAnsiTheme="minorEastAsia" w:eastAsiaTheme="minorEastAsia" w:cstheme="minorEastAsia"/>
                <w:color w:val="auto"/>
                <w:sz w:val="21"/>
                <w:szCs w:val="24"/>
                <w:highlight w:val="none"/>
              </w:rPr>
            </w:pP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bl>
    <w:p>
      <w:pPr>
        <w:snapToGrid w:val="0"/>
        <w:spacing w:line="360" w:lineRule="auto"/>
        <w:ind w:firstLine="465"/>
        <w:rPr>
          <w:rFonts w:ascii="宋体" w:hAnsi="宋体" w:cs="宋体"/>
          <w:color w:val="auto"/>
          <w:sz w:val="24"/>
          <w:szCs w:val="24"/>
          <w:highlight w:val="none"/>
        </w:rPr>
      </w:pPr>
    </w:p>
    <w:p>
      <w:pPr>
        <w:spacing w:line="360"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60" w:lineRule="auto"/>
        <w:rPr>
          <w:rFonts w:ascii="宋体" w:hAnsi="宋体" w:cs="宋体"/>
          <w:color w:val="auto"/>
          <w:sz w:val="24"/>
          <w:szCs w:val="28"/>
          <w:highlight w:val="none"/>
        </w:rPr>
      </w:pPr>
    </w:p>
    <w:p>
      <w:pPr>
        <w:spacing w:line="360" w:lineRule="auto"/>
        <w:ind w:firstLine="360" w:firstLineChars="15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60"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spacing w:line="312" w:lineRule="auto"/>
        <w:rPr>
          <w:rFonts w:ascii="宋体" w:hAnsi="宋体" w:cs="宋体"/>
          <w:color w:val="auto"/>
          <w:sz w:val="24"/>
          <w:highlight w:val="none"/>
        </w:rPr>
      </w:pPr>
      <w:r>
        <w:rPr>
          <w:rFonts w:hint="eastAsia" w:ascii="宋体" w:hAnsi="宋体" w:cs="宋体"/>
          <w:color w:val="auto"/>
          <w:sz w:val="24"/>
          <w:highlight w:val="none"/>
        </w:rPr>
        <w:t>注：</w:t>
      </w:r>
    </w:p>
    <w:p>
      <w:pPr>
        <w:spacing w:line="312" w:lineRule="auto"/>
        <w:rPr>
          <w:rFonts w:ascii="宋体" w:hAnsi="宋体" w:cs="宋体"/>
          <w:color w:val="auto"/>
          <w:sz w:val="24"/>
          <w:highlight w:val="none"/>
        </w:rPr>
      </w:pPr>
      <w:r>
        <w:rPr>
          <w:rFonts w:hint="eastAsia" w:ascii="宋体" w:hAnsi="宋体" w:cs="宋体"/>
          <w:color w:val="auto"/>
          <w:sz w:val="24"/>
          <w:highlight w:val="none"/>
        </w:rPr>
        <w:t>1.本表即为对本项目“第三篇  项目商务需求”中所列条款进行比较和响应；</w:t>
      </w:r>
    </w:p>
    <w:p>
      <w:pPr>
        <w:spacing w:line="312" w:lineRule="auto"/>
        <w:rPr>
          <w:rFonts w:ascii="宋体" w:hAnsi="宋体" w:cs="宋体"/>
          <w:color w:val="auto"/>
          <w:sz w:val="24"/>
          <w:szCs w:val="24"/>
          <w:highlight w:val="none"/>
        </w:rPr>
      </w:pPr>
      <w:r>
        <w:rPr>
          <w:rFonts w:hint="eastAsia" w:ascii="宋体" w:hAnsi="宋体" w:cs="宋体"/>
          <w:color w:val="auto"/>
          <w:sz w:val="24"/>
          <w:highlight w:val="none"/>
        </w:rPr>
        <w:t>2.本表可扩展。</w:t>
      </w:r>
    </w:p>
    <w:p>
      <w:pPr>
        <w:spacing w:line="312" w:lineRule="auto"/>
        <w:ind w:firstLine="600" w:firstLineChars="250"/>
        <w:rPr>
          <w:rFonts w:ascii="宋体" w:hAnsi="宋体" w:cs="宋体"/>
          <w:color w:val="auto"/>
          <w:sz w:val="24"/>
          <w:szCs w:val="24"/>
          <w:highlight w:val="none"/>
        </w:rPr>
      </w:pPr>
    </w:p>
    <w:p>
      <w:pPr>
        <w:spacing w:line="312"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（二）其它优惠承诺（格式自定）</w:t>
      </w:r>
    </w:p>
    <w:p>
      <w:pPr>
        <w:pStyle w:val="5"/>
        <w:spacing w:before="0" w:after="0" w:line="312" w:lineRule="auto"/>
        <w:rPr>
          <w:rFonts w:ascii="宋体" w:hAnsi="宋体" w:cs="宋体"/>
          <w:color w:val="auto"/>
          <w:highlight w:val="none"/>
        </w:rPr>
      </w:pPr>
      <w:r>
        <w:rPr>
          <w:rFonts w:hint="eastAsia" w:ascii="宋体" w:hAnsi="宋体" w:cs="宋体"/>
          <w:color w:val="auto"/>
          <w:sz w:val="24"/>
          <w:szCs w:val="24"/>
          <w:highlight w:val="none"/>
        </w:rPr>
        <w:br w:type="page"/>
      </w:r>
      <w:bookmarkEnd w:id="101"/>
      <w:bookmarkStart w:id="102" w:name="_Toc13012"/>
      <w:bookmarkStart w:id="103" w:name="_Toc313888363"/>
      <w:bookmarkStart w:id="104" w:name="_Toc10102"/>
      <w:bookmarkStart w:id="105" w:name="_Toc5971"/>
      <w:bookmarkStart w:id="106" w:name="_Toc313008359"/>
      <w:bookmarkStart w:id="107" w:name="_Toc342913422"/>
      <w:r>
        <w:rPr>
          <w:rFonts w:hint="eastAsia" w:ascii="宋体" w:hAnsi="宋体" w:cs="宋体"/>
          <w:color w:val="auto"/>
          <w:sz w:val="24"/>
          <w:szCs w:val="24"/>
          <w:highlight w:val="none"/>
        </w:rPr>
        <w:t>四、资格条件及其他</w:t>
      </w:r>
      <w:bookmarkEnd w:id="102"/>
      <w:bookmarkEnd w:id="103"/>
      <w:bookmarkEnd w:id="104"/>
      <w:bookmarkEnd w:id="105"/>
      <w:bookmarkEnd w:id="106"/>
      <w:bookmarkEnd w:id="107"/>
    </w:p>
    <w:p>
      <w:pPr>
        <w:tabs>
          <w:tab w:val="left" w:pos="6300"/>
        </w:tabs>
        <w:snapToGrid w:val="0"/>
        <w:spacing w:line="312" w:lineRule="auto"/>
        <w:ind w:firstLine="570"/>
        <w:rPr>
          <w:rFonts w:ascii="宋体" w:hAnsi="宋体" w:cs="宋体"/>
          <w:color w:val="auto"/>
          <w:highlight w:val="none"/>
        </w:rPr>
      </w:pPr>
      <w:r>
        <w:rPr>
          <w:rFonts w:hint="eastAsia" w:ascii="宋体" w:hAnsi="宋体" w:cs="宋体"/>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312" w:lineRule="auto"/>
        <w:ind w:firstLine="570"/>
        <w:rPr>
          <w:rFonts w:ascii="宋体" w:hAnsi="宋体" w:cs="宋体"/>
          <w:color w:val="auto"/>
          <w:highlight w:val="none"/>
        </w:rPr>
      </w:pPr>
    </w:p>
    <w:p>
      <w:pPr>
        <w:tabs>
          <w:tab w:val="left" w:pos="6300"/>
        </w:tabs>
        <w:snapToGrid w:val="0"/>
        <w:spacing w:line="312" w:lineRule="auto"/>
        <w:ind w:firstLine="570"/>
        <w:rPr>
          <w:rFonts w:ascii="宋体" w:hAnsi="宋体" w:cs="宋体"/>
          <w:color w:val="auto"/>
          <w:highlight w:val="none"/>
        </w:rPr>
      </w:pPr>
    </w:p>
    <w:p>
      <w:pPr>
        <w:widowControl/>
        <w:spacing w:line="312" w:lineRule="auto"/>
        <w:ind w:firstLine="560" w:firstLineChars="200"/>
        <w:jc w:val="left"/>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（三）法定代表人身份证明书（格式）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（法定代表人姓名）在（供应商名称）任（职务名称）职务，是（供应商名称）的法定代表人。</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（供应商公章）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法定代表人电话：XXXXXXX      电子邮箱：XXXXXX@XXXXX（若授权他人办理并签署响应文件的可不填写）</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4"/>
          <w:highlight w:val="none"/>
        </w:rPr>
        <w:t>（附：法定代表人身份证正反面复印件）</w:t>
      </w: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（四）法定代表人授权委托书（格式）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我单位对被授权人的签字负全部责任。</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被授权人：                                 供应商法定代表人：</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（签字或盖章）                                （签字或盖章）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（附：被授权人身份证正反面复印件）</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6002" w:firstLineChars="2501"/>
        <w:rPr>
          <w:rFonts w:ascii="宋体" w:hAnsi="宋体" w:cs="宋体"/>
          <w:color w:val="auto"/>
          <w:sz w:val="24"/>
          <w:szCs w:val="24"/>
          <w:highlight w:val="none"/>
        </w:rPr>
      </w:pPr>
      <w:r>
        <w:rPr>
          <w:rFonts w:hint="eastAsia" w:ascii="宋体" w:hAnsi="宋体" w:cs="宋体"/>
          <w:color w:val="auto"/>
          <w:sz w:val="24"/>
          <w:szCs w:val="24"/>
          <w:highlight w:val="none"/>
        </w:rPr>
        <w:t>（供应商公章）</w:t>
      </w:r>
    </w:p>
    <w:p>
      <w:pPr>
        <w:tabs>
          <w:tab w:val="left" w:pos="6300"/>
        </w:tabs>
        <w:snapToGrid w:val="0"/>
        <w:spacing w:line="312" w:lineRule="auto"/>
        <w:ind w:firstLine="6242" w:firstLineChars="2601"/>
        <w:rPr>
          <w:rFonts w:ascii="宋体" w:hAnsi="宋体" w:cs="宋体"/>
          <w:color w:val="auto"/>
          <w:sz w:val="24"/>
          <w:szCs w:val="24"/>
          <w:highlight w:val="none"/>
        </w:rPr>
      </w:pPr>
      <w:r>
        <w:rPr>
          <w:rFonts w:hint="eastAsia" w:ascii="宋体" w:hAnsi="宋体" w:cs="宋体"/>
          <w:color w:val="auto"/>
          <w:sz w:val="24"/>
          <w:szCs w:val="24"/>
          <w:highlight w:val="none"/>
        </w:rPr>
        <w:t>年   月   日</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被授权人电话：XXXXXXX     电子邮箱：XXXXXX@XXXXX（若法定代表</w:t>
      </w:r>
    </w:p>
    <w:p>
      <w:pPr>
        <w:tabs>
          <w:tab w:val="left" w:pos="6300"/>
        </w:tabs>
        <w:snapToGrid w:val="0"/>
        <w:spacing w:line="312" w:lineRule="auto"/>
        <w:ind w:right="480"/>
        <w:rPr>
          <w:rFonts w:ascii="宋体" w:hAnsi="宋体" w:cs="宋体"/>
          <w:color w:val="auto"/>
          <w:sz w:val="24"/>
          <w:szCs w:val="24"/>
          <w:highlight w:val="none"/>
        </w:rPr>
      </w:pPr>
      <w:r>
        <w:rPr>
          <w:rFonts w:hint="eastAsia" w:ascii="宋体" w:hAnsi="宋体" w:cs="宋体"/>
          <w:color w:val="auto"/>
          <w:sz w:val="24"/>
          <w:szCs w:val="24"/>
          <w:highlight w:val="none"/>
        </w:rPr>
        <w:t>人办理并签署响应文件的可不填写）</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注：</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1.若为法定代表人办理并签署响应文件的，不提供此文件。</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 xml:space="preserve"> 2.若为联合体参与的，法定代表人授权委托书由联合体主办方（主体）</w:t>
      </w:r>
    </w:p>
    <w:p>
      <w:pPr>
        <w:tabs>
          <w:tab w:val="left" w:pos="6300"/>
        </w:tabs>
        <w:snapToGrid w:val="0"/>
        <w:spacing w:line="312" w:lineRule="auto"/>
        <w:ind w:right="480"/>
        <w:rPr>
          <w:rFonts w:ascii="宋体" w:hAnsi="宋体" w:cs="宋体"/>
          <w:color w:val="auto"/>
          <w:sz w:val="24"/>
          <w:highlight w:val="none"/>
        </w:rPr>
      </w:pPr>
      <w:r>
        <w:rPr>
          <w:rFonts w:hint="eastAsia" w:ascii="宋体" w:hAnsi="宋体" w:cs="宋体"/>
          <w:color w:val="auto"/>
          <w:sz w:val="24"/>
          <w:szCs w:val="24"/>
          <w:highlight w:val="none"/>
        </w:rPr>
        <w:t>出具。</w:t>
      </w:r>
    </w:p>
    <w:p>
      <w:pPr>
        <w:tabs>
          <w:tab w:val="left" w:pos="6300"/>
        </w:tabs>
        <w:snapToGrid w:val="0"/>
        <w:spacing w:line="312" w:lineRule="auto"/>
        <w:ind w:right="480" w:firstLine="570"/>
        <w:jc w:val="right"/>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（四）基本资格条件承诺函</w:t>
      </w:r>
    </w:p>
    <w:p>
      <w:pPr>
        <w:tabs>
          <w:tab w:val="left" w:pos="6300"/>
        </w:tabs>
        <w:snapToGrid w:val="0"/>
        <w:spacing w:line="500" w:lineRule="exact"/>
        <w:ind w:firstLine="643" w:firstLineChars="200"/>
        <w:jc w:val="center"/>
        <w:rPr>
          <w:rFonts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基本资格条件承诺函</w:t>
      </w:r>
    </w:p>
    <w:p>
      <w:pPr>
        <w:tabs>
          <w:tab w:val="left" w:pos="6300"/>
        </w:tabs>
        <w:snapToGrid w:val="0"/>
        <w:spacing w:line="530" w:lineRule="exact"/>
        <w:rPr>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（采购人名称）：</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（供应商名称）郑重承诺：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1.我方具有良好的商业信誉和健全的财务会计制度，具有履行合同所必需的设备和专业技术能力，具</w:t>
      </w:r>
      <w:r>
        <w:rPr>
          <w:rFonts w:hint="eastAsia" w:asciiTheme="minorEastAsia" w:hAnsiTheme="minorEastAsia" w:eastAsiaTheme="minorEastAsia" w:cstheme="minorEastAsia"/>
          <w:color w:val="auto"/>
          <w:sz w:val="24"/>
          <w:szCs w:val="24"/>
          <w:highlight w:val="none"/>
          <w:lang w:val="zh-CN"/>
        </w:rPr>
        <w:t>有依法缴纳税收和社会保障金的良好记录</w:t>
      </w:r>
      <w:r>
        <w:rPr>
          <w:rFonts w:hint="eastAsia" w:asciiTheme="minorEastAsia" w:hAnsiTheme="minorEastAsia" w:eastAsiaTheme="minorEastAsia" w:cstheme="minorEastAsia"/>
          <w:color w:val="auto"/>
          <w:sz w:val="24"/>
          <w:szCs w:val="24"/>
          <w:highlight w:val="none"/>
        </w:rPr>
        <w:t>，参加本项目采购活动前三年内无重大违法活动记录。</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我方对以上承诺负全部法律责任。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p>
    <w:p>
      <w:pPr>
        <w:tabs>
          <w:tab w:val="left" w:pos="6300"/>
        </w:tabs>
        <w:snapToGrid w:val="0"/>
        <w:spacing w:line="500" w:lineRule="exact"/>
        <w:ind w:firstLine="480" w:firstLineChars="200"/>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p>
    <w:p>
      <w:pPr>
        <w:tabs>
          <w:tab w:val="left" w:pos="6300"/>
        </w:tabs>
        <w:snapToGrid w:val="0"/>
        <w:spacing w:line="500" w:lineRule="exact"/>
        <w:ind w:firstLine="6720" w:firstLineChars="28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tabs>
          <w:tab w:val="left" w:pos="6300"/>
        </w:tabs>
        <w:snapToGrid w:val="0"/>
        <w:spacing w:line="312" w:lineRule="auto"/>
        <w:rPr>
          <w:rFonts w:hint="eastAsia" w:ascii="宋体" w:hAnsi="宋体" w:eastAsia="宋体" w:cs="宋体"/>
          <w:color w:val="auto"/>
          <w:sz w:val="24"/>
          <w:szCs w:val="24"/>
          <w:highlight w:val="none"/>
          <w:lang w:eastAsia="zh-CN"/>
        </w:rPr>
      </w:pPr>
      <w:r>
        <w:rPr>
          <w:rFonts w:hint="eastAsia" w:ascii="宋体" w:hAnsi="宋体" w:cs="宋体"/>
          <w:color w:val="auto"/>
          <w:highlight w:val="none"/>
        </w:rPr>
        <w:br w:type="page"/>
      </w:r>
      <w:r>
        <w:rPr>
          <w:rFonts w:hint="eastAsia" w:ascii="宋体" w:hAnsi="宋体" w:cs="宋体"/>
          <w:color w:val="auto"/>
          <w:sz w:val="24"/>
          <w:szCs w:val="24"/>
          <w:highlight w:val="none"/>
        </w:rPr>
        <w:t>（五）特定资格条件证明文件</w:t>
      </w: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pStyle w:val="4"/>
        <w:adjustRightInd w:val="0"/>
        <w:snapToGrid w:val="0"/>
        <w:spacing w:before="0" w:after="0" w:line="400" w:lineRule="exact"/>
        <w:ind w:firstLine="643" w:firstLineChars="200"/>
        <w:rPr>
          <w:rFonts w:ascii="方正仿宋_GBK" w:hAnsi="宋体" w:eastAsia="方正仿宋_GBK"/>
          <w:color w:val="auto"/>
          <w:sz w:val="24"/>
          <w:highlight w:val="none"/>
        </w:rPr>
      </w:pPr>
      <w:r>
        <w:rPr>
          <w:rFonts w:ascii="宋体" w:hAnsi="宋体" w:cs="宋体"/>
          <w:color w:val="auto"/>
          <w:highlight w:val="none"/>
        </w:rPr>
        <w:br w:type="page"/>
      </w:r>
      <w:bookmarkStart w:id="108" w:name="_Toc106030910"/>
      <w:bookmarkStart w:id="109" w:name="_Toc76462354"/>
      <w:bookmarkStart w:id="110" w:name="_Toc14422"/>
      <w:r>
        <w:rPr>
          <w:rFonts w:hint="eastAsia" w:asciiTheme="minorEastAsia" w:hAnsiTheme="minorEastAsia" w:eastAsiaTheme="minorEastAsia" w:cstheme="minorEastAsia"/>
          <w:color w:val="auto"/>
          <w:sz w:val="24"/>
          <w:highlight w:val="none"/>
        </w:rPr>
        <w:t>五、其他资料</w:t>
      </w:r>
      <w:bookmarkEnd w:id="108"/>
      <w:bookmarkEnd w:id="109"/>
    </w:p>
    <w:p>
      <w:pPr>
        <w:tabs>
          <w:tab w:val="left" w:pos="6300"/>
        </w:tabs>
        <w:snapToGrid w:val="0"/>
        <w:spacing w:line="4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（一）中小企业声明函、监狱企业证明文件、残疾人福利性单位声明函</w:t>
      </w:r>
    </w:p>
    <w:p>
      <w:pPr>
        <w:tabs>
          <w:tab w:val="left" w:pos="6300"/>
        </w:tabs>
        <w:snapToGrid w:val="0"/>
        <w:spacing w:line="500" w:lineRule="exact"/>
        <w:ind w:firstLine="560" w:firstLineChars="20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中小企业声明函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本公司（联合体）郑重声明，根据《政府采购促进中小企业发展管理办法》（</w:t>
      </w:r>
      <w:r>
        <w:rPr>
          <w:rFonts w:hint="eastAsia" w:asciiTheme="minorEastAsia" w:hAnsiTheme="minorEastAsia" w:eastAsiaTheme="minorEastAsia" w:cstheme="minorEastAsia"/>
          <w:color w:val="auto"/>
          <w:sz w:val="24"/>
          <w:szCs w:val="24"/>
          <w:highlight w:val="none"/>
        </w:rPr>
        <w:t>财库〔2020〕46号</w:t>
      </w:r>
      <w:r>
        <w:rPr>
          <w:rFonts w:hint="eastAsia" w:asciiTheme="minorEastAsia" w:hAnsiTheme="minorEastAsia" w:eastAsiaTheme="minorEastAsia" w:cstheme="minorEastAsia"/>
          <w:color w:val="auto"/>
          <w:sz w:val="24"/>
          <w:szCs w:val="28"/>
          <w:highlight w:val="none"/>
        </w:rPr>
        <w:t>）的规定，本公司（联合体）参加</w:t>
      </w:r>
      <w:r>
        <w:rPr>
          <w:rFonts w:hint="eastAsia" w:asciiTheme="minorEastAsia" w:hAnsiTheme="minorEastAsia" w:eastAsiaTheme="minorEastAsia" w:cstheme="minorEastAsia"/>
          <w:i/>
          <w:color w:val="auto"/>
          <w:sz w:val="24"/>
          <w:szCs w:val="28"/>
          <w:highlight w:val="none"/>
          <w:u w:val="single"/>
        </w:rPr>
        <w:t>（单位名称）</w:t>
      </w:r>
      <w:r>
        <w:rPr>
          <w:rFonts w:hint="eastAsia" w:asciiTheme="minorEastAsia" w:hAnsiTheme="minorEastAsia" w:eastAsiaTheme="minorEastAsia" w:cstheme="minorEastAsia"/>
          <w:color w:val="auto"/>
          <w:sz w:val="24"/>
          <w:szCs w:val="28"/>
          <w:highlight w:val="none"/>
        </w:rPr>
        <w:t>的</w:t>
      </w:r>
      <w:r>
        <w:rPr>
          <w:rFonts w:hint="eastAsia" w:asciiTheme="minorEastAsia" w:hAnsiTheme="minorEastAsia" w:eastAsiaTheme="minorEastAsia" w:cstheme="minorEastAsia"/>
          <w:i/>
          <w:color w:val="auto"/>
          <w:sz w:val="24"/>
          <w:szCs w:val="28"/>
          <w:highlight w:val="none"/>
          <w:u w:val="single"/>
        </w:rPr>
        <w:t>（项目名称）</w:t>
      </w:r>
      <w:r>
        <w:rPr>
          <w:rFonts w:hint="eastAsia" w:asciiTheme="minorEastAsia" w:hAnsiTheme="minorEastAsia" w:eastAsiaTheme="minorEastAsia" w:cstheme="minorEastAsia"/>
          <w:color w:val="auto"/>
          <w:sz w:val="24"/>
          <w:szCs w:val="28"/>
          <w:highlight w:val="none"/>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1.</w:t>
      </w:r>
      <w:r>
        <w:rPr>
          <w:rFonts w:hint="eastAsia" w:asciiTheme="minorEastAsia" w:hAnsiTheme="minorEastAsia" w:eastAsiaTheme="minorEastAsia" w:cstheme="minorEastAsia"/>
          <w:i/>
          <w:color w:val="auto"/>
          <w:sz w:val="24"/>
          <w:szCs w:val="28"/>
          <w:highlight w:val="none"/>
          <w:u w:val="single"/>
        </w:rPr>
        <w:t>（标的名称）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2.</w:t>
      </w:r>
      <w:r>
        <w:rPr>
          <w:rFonts w:hint="eastAsia" w:asciiTheme="minorEastAsia" w:hAnsiTheme="minorEastAsia" w:eastAsiaTheme="minorEastAsia" w:cstheme="minorEastAsia"/>
          <w:i/>
          <w:color w:val="auto"/>
          <w:sz w:val="24"/>
          <w:szCs w:val="28"/>
          <w:highlight w:val="none"/>
          <w:u w:val="single"/>
        </w:rPr>
        <w:t xml:space="preserve"> （标的名称）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本企业对上述声明内容的真实性负责。如有虚假，将依法承担相应责任。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                                                    </w:t>
      </w:r>
    </w:p>
    <w:p>
      <w:pPr>
        <w:tabs>
          <w:tab w:val="left" w:pos="6300"/>
        </w:tabs>
        <w:snapToGrid w:val="0"/>
        <w:spacing w:line="500" w:lineRule="exact"/>
        <w:ind w:firstLine="6120" w:firstLineChars="255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企业名称（盖章）： </w:t>
      </w:r>
    </w:p>
    <w:p>
      <w:pPr>
        <w:tabs>
          <w:tab w:val="left" w:pos="6300"/>
        </w:tabs>
        <w:snapToGrid w:val="0"/>
        <w:spacing w:line="500" w:lineRule="exact"/>
        <w:ind w:right="784" w:firstLine="6120" w:firstLineChars="255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8"/>
          <w:highlight w:val="none"/>
        </w:rPr>
        <w:t>日期：</w:t>
      </w:r>
    </w:p>
    <w:p>
      <w:pPr>
        <w:tabs>
          <w:tab w:val="left" w:pos="6300"/>
        </w:tabs>
        <w:snapToGrid w:val="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填写时应注意以下事项：</w:t>
      </w:r>
    </w:p>
    <w:p>
      <w:pPr>
        <w:tabs>
          <w:tab w:val="left" w:pos="6300"/>
        </w:tabs>
        <w:snapToGrid w:val="0"/>
        <w:ind w:firstLine="420" w:firstLineChars="200"/>
        <w:rPr>
          <w:rFonts w:ascii="方正仿宋_GBK" w:hAnsi="宋体" w:eastAsia="方正仿宋_GBK" w:cs="宋体"/>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1.从业人员、营业收入、资产总额填报上一年度数据，无上一年度数据的新成立企业可不填报。</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2.中小企业应当按照《中小企业划型标准规定》（工信部联企业〔2011〕300号），如实填写并提交《中小企业声明函》。</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20" w:firstLineChars="200"/>
        <w:rPr>
          <w:rFonts w:ascii="方正仿宋_GBK" w:hAnsi="宋体" w:eastAsia="方正仿宋_GBK" w:cs="宋体"/>
          <w:b/>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4.本声明函“企业名称（盖章）”处为供应商盖章</w:t>
      </w:r>
      <w:r>
        <w:rPr>
          <w:rFonts w:hint="eastAsia" w:ascii="方正仿宋_GBK" w:hAnsi="宋体" w:eastAsia="方正仿宋_GBK" w:cs="宋体"/>
          <w:b/>
          <w:color w:val="auto"/>
          <w:kern w:val="0"/>
          <w:sz w:val="21"/>
          <w:szCs w:val="21"/>
          <w:highlight w:val="none"/>
        </w:rPr>
        <w:t>。</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注：各行业划型标准：</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宋体" w:eastAsia="方正仿宋_GBK"/>
          <w:color w:val="auto"/>
          <w:sz w:val="24"/>
          <w:szCs w:val="24"/>
          <w:highlight w:val="none"/>
        </w:rPr>
        <w:br w:type="page"/>
      </w:r>
      <w:r>
        <w:rPr>
          <w:rFonts w:hint="eastAsia" w:ascii="方正仿宋_GBK" w:hAnsi="宋体" w:eastAsia="方正仿宋_GBK"/>
          <w:b/>
          <w:bCs/>
          <w:color w:val="auto"/>
          <w:highlight w:val="none"/>
        </w:rPr>
        <w:t>监狱企业证明文件</w:t>
      </w:r>
    </w:p>
    <w:p>
      <w:pPr>
        <w:tabs>
          <w:tab w:val="left" w:pos="6300"/>
        </w:tabs>
        <w:snapToGrid w:val="0"/>
        <w:spacing w:line="4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仿宋" w:eastAsia="方正仿宋_GBK"/>
          <w:color w:val="auto"/>
          <w:sz w:val="24"/>
          <w:highlight w:val="none"/>
        </w:rPr>
        <w:br w:type="page"/>
      </w:r>
      <w:r>
        <w:rPr>
          <w:rFonts w:hint="eastAsia" w:ascii="方正仿宋_GBK" w:hAnsi="宋体" w:eastAsia="方正仿宋_GBK"/>
          <w:b/>
          <w:bCs/>
          <w:color w:val="auto"/>
          <w:highlight w:val="none"/>
        </w:rPr>
        <w:t>残疾人福利性单位声明函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供应商名称（盖章）：</w:t>
      </w:r>
    </w:p>
    <w:p>
      <w:pPr>
        <w:snapToGrid w:val="0"/>
        <w:spacing w:line="44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r>
        <w:rPr>
          <w:rFonts w:hint="eastAsia" w:ascii="宋体" w:hAnsi="宋体" w:cs="宋体"/>
          <w:color w:val="auto"/>
          <w:sz w:val="24"/>
          <w:szCs w:val="24"/>
          <w:highlight w:val="none"/>
        </w:rPr>
        <w:t>若成交供应商为残疾人福利性单位的，将在结果公告时公告其《残疾人福利性单位声明函》。</w:t>
      </w:r>
    </w:p>
    <w:p>
      <w:pPr>
        <w:snapToGrid w:val="0"/>
        <w:spacing w:line="440" w:lineRule="exact"/>
        <w:ind w:firstLine="480" w:firstLineChars="200"/>
        <w:rPr>
          <w:rFonts w:ascii="方正仿宋_GBK" w:hAnsi="仿宋" w:eastAsia="方正仿宋_GBK"/>
          <w:color w:val="auto"/>
          <w:sz w:val="24"/>
          <w:highlight w:val="none"/>
        </w:rPr>
      </w:pPr>
    </w:p>
    <w:p>
      <w:pPr>
        <w:spacing w:line="312" w:lineRule="auto"/>
        <w:ind w:firstLine="480" w:firstLineChars="200"/>
        <w:jc w:val="left"/>
        <w:rPr>
          <w:rFonts w:ascii="宋体" w:hAnsi="宋体" w:cs="宋体"/>
          <w:color w:val="auto"/>
          <w:sz w:val="24"/>
          <w:szCs w:val="24"/>
          <w:highlight w:val="none"/>
        </w:rPr>
      </w:pPr>
      <w:r>
        <w:rPr>
          <w:rFonts w:ascii="方正仿宋_GBK" w:hAnsi="宋体" w:eastAsia="方正仿宋_GBK"/>
          <w:color w:val="auto"/>
          <w:sz w:val="24"/>
          <w:szCs w:val="24"/>
          <w:highlight w:val="none"/>
        </w:rPr>
        <w:br w:type="page"/>
      </w:r>
      <w:r>
        <w:rPr>
          <w:rFonts w:hint="eastAsia" w:ascii="宋体" w:hAnsi="宋体" w:cs="宋体"/>
          <w:color w:val="auto"/>
          <w:sz w:val="24"/>
          <w:szCs w:val="24"/>
          <w:highlight w:val="none"/>
        </w:rPr>
        <w:t>（二）联合体协议或分包意向协议（格式自定）</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（三）其他与项目有关的资料</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其他与项目有关的资料（自附）：供应商总体情况介绍、其他与本项目有关的资料等。</w:t>
      </w:r>
    </w:p>
    <w:bookmarkEnd w:id="110"/>
    <w:p>
      <w:pPr>
        <w:spacing w:line="312" w:lineRule="auto"/>
        <w:ind w:firstLine="3840" w:firstLineChars="1600"/>
        <w:rPr>
          <w:color w:val="auto"/>
          <w:highlight w:val="none"/>
        </w:rPr>
      </w:pPr>
      <w:bookmarkStart w:id="111" w:name="_GoBack"/>
      <w:bookmarkEnd w:id="111"/>
      <w:r>
        <w:rPr>
          <w:rFonts w:hint="eastAsia" w:ascii="宋体" w:hAnsi="宋体" w:cs="宋体"/>
          <w:color w:val="auto"/>
          <w:sz w:val="24"/>
          <w:szCs w:val="24"/>
          <w:highlight w:val="none"/>
        </w:rPr>
        <w:t>（结束）</w:t>
      </w:r>
    </w:p>
    <w:p>
      <w:pPr>
        <w:rPr>
          <w:color w:val="auto"/>
          <w:highlight w:val="none"/>
        </w:rPr>
      </w:pPr>
    </w:p>
    <w:p>
      <w:pPr>
        <w:rPr>
          <w:color w:val="auto"/>
          <w:highlight w:val="none"/>
        </w:rPr>
      </w:pPr>
    </w:p>
    <w:sectPr>
      <w:head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jc w:val="center"/>
      <w:rPr>
        <w:rStyle w:val="18"/>
        <w:rFonts w:ascii="宋体"/>
        <w:sz w:val="21"/>
        <w:szCs w:val="21"/>
      </w:rPr>
    </w:pPr>
    <w:r>
      <w:rPr>
        <w:rFonts w:ascii="宋体"/>
        <w:sz w:val="21"/>
        <w:szCs w:val="21"/>
      </w:rPr>
      <w:fldChar w:fldCharType="begin"/>
    </w:r>
    <w:r>
      <w:rPr>
        <w:rStyle w:val="18"/>
        <w:rFonts w:ascii="宋体"/>
        <w:sz w:val="21"/>
        <w:szCs w:val="21"/>
      </w:rPr>
      <w:instrText xml:space="preserve">PAGE  </w:instrText>
    </w:r>
    <w:r>
      <w:rPr>
        <w:rFonts w:ascii="宋体"/>
        <w:sz w:val="21"/>
        <w:szCs w:val="21"/>
      </w:rPr>
      <w:fldChar w:fldCharType="separate"/>
    </w:r>
    <w:r>
      <w:rPr>
        <w:rStyle w:val="18"/>
        <w:rFonts w:ascii="宋体"/>
        <w:sz w:val="21"/>
        <w:szCs w:val="21"/>
      </w:rPr>
      <w:t>- 3 -</w:t>
    </w:r>
    <w:r>
      <w:rPr>
        <w:rFonts w:ascii="宋体"/>
        <w:sz w:val="21"/>
        <w:szCs w:val="21"/>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p>
  <w:p>
    <w:pPr>
      <w:pStyle w:val="12"/>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1"/>
        <w:szCs w:val="21"/>
      </w:rPr>
    </w:pPr>
    <w:r>
      <w:rPr>
        <w:rFonts w:ascii="宋体" w:hAnsi="宋体"/>
        <w:sz w:val="21"/>
        <w:szCs w:val="21"/>
      </w:rPr>
      <w:fldChar w:fldCharType="begin"/>
    </w:r>
    <w:r>
      <w:rPr>
        <w:rStyle w:val="18"/>
        <w:rFonts w:ascii="宋体" w:hAnsi="宋体"/>
        <w:sz w:val="21"/>
        <w:szCs w:val="21"/>
      </w:rPr>
      <w:instrText xml:space="preserve"> PAGE </w:instrText>
    </w:r>
    <w:r>
      <w:rPr>
        <w:rFonts w:ascii="宋体" w:hAnsi="宋体"/>
        <w:sz w:val="21"/>
        <w:szCs w:val="21"/>
      </w:rPr>
      <w:fldChar w:fldCharType="separate"/>
    </w:r>
    <w:r>
      <w:rPr>
        <w:rStyle w:val="18"/>
        <w:rFonts w:ascii="宋体" w:hAnsi="宋体"/>
        <w:sz w:val="21"/>
        <w:szCs w:val="21"/>
      </w:rPr>
      <w:t>- 7 -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1"/>
        <w:szCs w:val="21"/>
      </w:rPr>
    </w:pPr>
    <w:r>
      <w:rPr>
        <w:rFonts w:ascii="宋体" w:hAnsi="宋体"/>
        <w:sz w:val="21"/>
        <w:szCs w:val="21"/>
      </w:rPr>
      <w:fldChar w:fldCharType="begin"/>
    </w:r>
    <w:r>
      <w:rPr>
        <w:rStyle w:val="18"/>
        <w:rFonts w:ascii="宋体" w:hAnsi="宋体"/>
        <w:sz w:val="21"/>
        <w:szCs w:val="21"/>
      </w:rPr>
      <w:instrText xml:space="preserve"> PAGE </w:instrText>
    </w:r>
    <w:r>
      <w:rPr>
        <w:rFonts w:ascii="宋体" w:hAnsi="宋体"/>
        <w:sz w:val="21"/>
        <w:szCs w:val="21"/>
      </w:rPr>
      <w:fldChar w:fldCharType="separate"/>
    </w:r>
    <w:r>
      <w:rPr>
        <w:rStyle w:val="18"/>
        <w:rFonts w:ascii="宋体" w:hAnsi="宋体"/>
        <w:sz w:val="21"/>
        <w:szCs w:val="21"/>
      </w:rPr>
      <w:t>- 43 -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83C0B3"/>
    <w:multiLevelType w:val="singleLevel"/>
    <w:tmpl w:val="C383C0B3"/>
    <w:lvl w:ilvl="0" w:tentative="0">
      <w:start w:val="1"/>
      <w:numFmt w:val="decimal"/>
      <w:suff w:val="nothing"/>
      <w:lvlText w:val="%1、"/>
      <w:lvlJc w:val="left"/>
    </w:lvl>
  </w:abstractNum>
  <w:abstractNum w:abstractNumId="1">
    <w:nsid w:val="6AD80A59"/>
    <w:multiLevelType w:val="singleLevel"/>
    <w:tmpl w:val="6AD80A59"/>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wMGM5ZDNlNWNkOWVkZjVhMTI5YWFkNzhkMjdjZDEifQ=="/>
  </w:docVars>
  <w:rsids>
    <w:rsidRoot w:val="3FE663C7"/>
    <w:rsid w:val="00510AE7"/>
    <w:rsid w:val="00D9023A"/>
    <w:rsid w:val="02173D49"/>
    <w:rsid w:val="025828F3"/>
    <w:rsid w:val="027F234E"/>
    <w:rsid w:val="02FA59F0"/>
    <w:rsid w:val="046E7FAC"/>
    <w:rsid w:val="054F22FD"/>
    <w:rsid w:val="061411D5"/>
    <w:rsid w:val="06402E70"/>
    <w:rsid w:val="068F4DD4"/>
    <w:rsid w:val="06BB50B8"/>
    <w:rsid w:val="06D40DEC"/>
    <w:rsid w:val="07AC2A56"/>
    <w:rsid w:val="081D7F8F"/>
    <w:rsid w:val="08320A0B"/>
    <w:rsid w:val="08541EE3"/>
    <w:rsid w:val="08EC72F8"/>
    <w:rsid w:val="08FE19B7"/>
    <w:rsid w:val="09046B22"/>
    <w:rsid w:val="098111A3"/>
    <w:rsid w:val="09C319E0"/>
    <w:rsid w:val="0A6C5FB1"/>
    <w:rsid w:val="0AB0077E"/>
    <w:rsid w:val="0AEB21A9"/>
    <w:rsid w:val="0BCD42E5"/>
    <w:rsid w:val="0C10190A"/>
    <w:rsid w:val="0C346CEE"/>
    <w:rsid w:val="0C7D5D71"/>
    <w:rsid w:val="0CA4428C"/>
    <w:rsid w:val="0CB66CCE"/>
    <w:rsid w:val="0CE312F6"/>
    <w:rsid w:val="0E212C21"/>
    <w:rsid w:val="0E5D0A0F"/>
    <w:rsid w:val="0E624708"/>
    <w:rsid w:val="0E745939"/>
    <w:rsid w:val="0F0E3557"/>
    <w:rsid w:val="0F381EC5"/>
    <w:rsid w:val="0FE469B6"/>
    <w:rsid w:val="101374AB"/>
    <w:rsid w:val="11137389"/>
    <w:rsid w:val="119A0C5A"/>
    <w:rsid w:val="119B6D6F"/>
    <w:rsid w:val="121E647A"/>
    <w:rsid w:val="121F69B6"/>
    <w:rsid w:val="12735DA7"/>
    <w:rsid w:val="133B5E92"/>
    <w:rsid w:val="14023132"/>
    <w:rsid w:val="14853B3D"/>
    <w:rsid w:val="14D92215"/>
    <w:rsid w:val="155F35CB"/>
    <w:rsid w:val="15DB0C2C"/>
    <w:rsid w:val="15EB2ED4"/>
    <w:rsid w:val="16365169"/>
    <w:rsid w:val="16367CB4"/>
    <w:rsid w:val="168D1C7B"/>
    <w:rsid w:val="171B64D3"/>
    <w:rsid w:val="17CB4B3A"/>
    <w:rsid w:val="18440FFA"/>
    <w:rsid w:val="18A6446B"/>
    <w:rsid w:val="19C21B12"/>
    <w:rsid w:val="19F623AF"/>
    <w:rsid w:val="1A532509"/>
    <w:rsid w:val="1ACE6650"/>
    <w:rsid w:val="1AEB6444"/>
    <w:rsid w:val="1B11314B"/>
    <w:rsid w:val="1B357510"/>
    <w:rsid w:val="1B702BAB"/>
    <w:rsid w:val="1BB31687"/>
    <w:rsid w:val="1CB33AD0"/>
    <w:rsid w:val="1DB960DF"/>
    <w:rsid w:val="1E43205F"/>
    <w:rsid w:val="1E7E6C25"/>
    <w:rsid w:val="1E8F4F49"/>
    <w:rsid w:val="1EE600CD"/>
    <w:rsid w:val="20305BE3"/>
    <w:rsid w:val="2190071D"/>
    <w:rsid w:val="219036FE"/>
    <w:rsid w:val="227C53B6"/>
    <w:rsid w:val="22E93E60"/>
    <w:rsid w:val="231465E6"/>
    <w:rsid w:val="23587CF6"/>
    <w:rsid w:val="237128B3"/>
    <w:rsid w:val="2446697F"/>
    <w:rsid w:val="2491107A"/>
    <w:rsid w:val="24BA3E6E"/>
    <w:rsid w:val="252D4F1C"/>
    <w:rsid w:val="25C871EC"/>
    <w:rsid w:val="26492FB4"/>
    <w:rsid w:val="28F012C3"/>
    <w:rsid w:val="291213A2"/>
    <w:rsid w:val="291742E7"/>
    <w:rsid w:val="29E4152C"/>
    <w:rsid w:val="2A4C17B6"/>
    <w:rsid w:val="2A4C60B2"/>
    <w:rsid w:val="2ADC0E0A"/>
    <w:rsid w:val="2B081480"/>
    <w:rsid w:val="2B110BFC"/>
    <w:rsid w:val="2BD732FC"/>
    <w:rsid w:val="2C335F5B"/>
    <w:rsid w:val="2C944CDB"/>
    <w:rsid w:val="2CD119A7"/>
    <w:rsid w:val="2D4D1BE6"/>
    <w:rsid w:val="2E1060C8"/>
    <w:rsid w:val="2E98041D"/>
    <w:rsid w:val="2EDF3614"/>
    <w:rsid w:val="2EE75977"/>
    <w:rsid w:val="30271A27"/>
    <w:rsid w:val="30617EF3"/>
    <w:rsid w:val="309732B2"/>
    <w:rsid w:val="31D83660"/>
    <w:rsid w:val="32D66581"/>
    <w:rsid w:val="338D7E74"/>
    <w:rsid w:val="33BA3212"/>
    <w:rsid w:val="33C51A98"/>
    <w:rsid w:val="33E641FE"/>
    <w:rsid w:val="340A3CB9"/>
    <w:rsid w:val="34557310"/>
    <w:rsid w:val="358A0B91"/>
    <w:rsid w:val="35FC71D6"/>
    <w:rsid w:val="36BA2BA0"/>
    <w:rsid w:val="36E130CD"/>
    <w:rsid w:val="36FC1341"/>
    <w:rsid w:val="36FE3A29"/>
    <w:rsid w:val="3790790B"/>
    <w:rsid w:val="37C947C0"/>
    <w:rsid w:val="384C440B"/>
    <w:rsid w:val="386D16BE"/>
    <w:rsid w:val="38777F82"/>
    <w:rsid w:val="38EF73C8"/>
    <w:rsid w:val="3AE969C9"/>
    <w:rsid w:val="3B167F90"/>
    <w:rsid w:val="3B3F3788"/>
    <w:rsid w:val="3B6C2AD2"/>
    <w:rsid w:val="3BA96A31"/>
    <w:rsid w:val="3C080AB6"/>
    <w:rsid w:val="3D184A34"/>
    <w:rsid w:val="3E2C3B8F"/>
    <w:rsid w:val="3EBD5FFF"/>
    <w:rsid w:val="3FD6577A"/>
    <w:rsid w:val="3FE663C7"/>
    <w:rsid w:val="40D37C6F"/>
    <w:rsid w:val="412B1CEF"/>
    <w:rsid w:val="419F5F96"/>
    <w:rsid w:val="42003B53"/>
    <w:rsid w:val="42A5248A"/>
    <w:rsid w:val="4498681E"/>
    <w:rsid w:val="450B5D74"/>
    <w:rsid w:val="463B2020"/>
    <w:rsid w:val="46463889"/>
    <w:rsid w:val="46772A10"/>
    <w:rsid w:val="46941653"/>
    <w:rsid w:val="46C16077"/>
    <w:rsid w:val="47F9451B"/>
    <w:rsid w:val="489E5A2C"/>
    <w:rsid w:val="491F5BE9"/>
    <w:rsid w:val="49291524"/>
    <w:rsid w:val="495028B5"/>
    <w:rsid w:val="49BF32F6"/>
    <w:rsid w:val="4A421AD5"/>
    <w:rsid w:val="4A7456CE"/>
    <w:rsid w:val="4AF92FBF"/>
    <w:rsid w:val="4B01531A"/>
    <w:rsid w:val="4B1C5459"/>
    <w:rsid w:val="4B880892"/>
    <w:rsid w:val="4BBF4062"/>
    <w:rsid w:val="4C774AA9"/>
    <w:rsid w:val="4CE515FF"/>
    <w:rsid w:val="4D995517"/>
    <w:rsid w:val="4E1F752C"/>
    <w:rsid w:val="4ECE2572"/>
    <w:rsid w:val="4EE11829"/>
    <w:rsid w:val="4EE9537E"/>
    <w:rsid w:val="4FE54153"/>
    <w:rsid w:val="508D625F"/>
    <w:rsid w:val="51420F3F"/>
    <w:rsid w:val="51740B4D"/>
    <w:rsid w:val="518221E5"/>
    <w:rsid w:val="51D52F65"/>
    <w:rsid w:val="52274105"/>
    <w:rsid w:val="531207D0"/>
    <w:rsid w:val="537865A9"/>
    <w:rsid w:val="53A56A01"/>
    <w:rsid w:val="54D179B9"/>
    <w:rsid w:val="54F351AA"/>
    <w:rsid w:val="55A619C0"/>
    <w:rsid w:val="55A81F32"/>
    <w:rsid w:val="55C2709C"/>
    <w:rsid w:val="56490C9C"/>
    <w:rsid w:val="56942B05"/>
    <w:rsid w:val="56F646C9"/>
    <w:rsid w:val="57143C78"/>
    <w:rsid w:val="57206A31"/>
    <w:rsid w:val="5825531E"/>
    <w:rsid w:val="587C469C"/>
    <w:rsid w:val="59891475"/>
    <w:rsid w:val="5AC829A9"/>
    <w:rsid w:val="5ADD5AAD"/>
    <w:rsid w:val="5AEF4847"/>
    <w:rsid w:val="5AF96F5B"/>
    <w:rsid w:val="5B3434B5"/>
    <w:rsid w:val="5BBC0BFE"/>
    <w:rsid w:val="5C1F6DF0"/>
    <w:rsid w:val="5C735CD4"/>
    <w:rsid w:val="5DC50B19"/>
    <w:rsid w:val="5E370BAB"/>
    <w:rsid w:val="5FB72F1A"/>
    <w:rsid w:val="600E137C"/>
    <w:rsid w:val="60333267"/>
    <w:rsid w:val="603850D2"/>
    <w:rsid w:val="608203A4"/>
    <w:rsid w:val="609751E2"/>
    <w:rsid w:val="60B41A34"/>
    <w:rsid w:val="60C40834"/>
    <w:rsid w:val="60E62998"/>
    <w:rsid w:val="617960C2"/>
    <w:rsid w:val="61901438"/>
    <w:rsid w:val="619E5B8C"/>
    <w:rsid w:val="62626A23"/>
    <w:rsid w:val="628C2888"/>
    <w:rsid w:val="62B21225"/>
    <w:rsid w:val="62C93060"/>
    <w:rsid w:val="637B185B"/>
    <w:rsid w:val="637D2031"/>
    <w:rsid w:val="63CD6E2D"/>
    <w:rsid w:val="63F12F63"/>
    <w:rsid w:val="64090DE6"/>
    <w:rsid w:val="648A6DFB"/>
    <w:rsid w:val="64E9390C"/>
    <w:rsid w:val="64FC1EEA"/>
    <w:rsid w:val="653621E5"/>
    <w:rsid w:val="65C728DA"/>
    <w:rsid w:val="65E825DF"/>
    <w:rsid w:val="67A453B9"/>
    <w:rsid w:val="67B571B1"/>
    <w:rsid w:val="67B64D55"/>
    <w:rsid w:val="67E77C6A"/>
    <w:rsid w:val="684047D2"/>
    <w:rsid w:val="688E31DD"/>
    <w:rsid w:val="68D93B18"/>
    <w:rsid w:val="68F37107"/>
    <w:rsid w:val="691511B7"/>
    <w:rsid w:val="69672D80"/>
    <w:rsid w:val="69E33B3D"/>
    <w:rsid w:val="69FA2D6A"/>
    <w:rsid w:val="6ADC0910"/>
    <w:rsid w:val="6BE449EA"/>
    <w:rsid w:val="6C3B3B45"/>
    <w:rsid w:val="6C3B4E88"/>
    <w:rsid w:val="6CB2125D"/>
    <w:rsid w:val="6D3B2B00"/>
    <w:rsid w:val="6D4E71F0"/>
    <w:rsid w:val="6D7F4CB1"/>
    <w:rsid w:val="6DB00FD2"/>
    <w:rsid w:val="6FA379D5"/>
    <w:rsid w:val="71016CAF"/>
    <w:rsid w:val="71061C27"/>
    <w:rsid w:val="711523DB"/>
    <w:rsid w:val="7209259B"/>
    <w:rsid w:val="725D7ED0"/>
    <w:rsid w:val="72C4347F"/>
    <w:rsid w:val="72DA578D"/>
    <w:rsid w:val="739F5740"/>
    <w:rsid w:val="74AF1F46"/>
    <w:rsid w:val="74CB6CA1"/>
    <w:rsid w:val="754D218B"/>
    <w:rsid w:val="757038F5"/>
    <w:rsid w:val="75892B3B"/>
    <w:rsid w:val="75C81B92"/>
    <w:rsid w:val="75E6156F"/>
    <w:rsid w:val="75F6357C"/>
    <w:rsid w:val="7668303D"/>
    <w:rsid w:val="76FC2C27"/>
    <w:rsid w:val="7733710C"/>
    <w:rsid w:val="77852C76"/>
    <w:rsid w:val="77BB5C7F"/>
    <w:rsid w:val="78D76CC2"/>
    <w:rsid w:val="78DE38D0"/>
    <w:rsid w:val="791653AF"/>
    <w:rsid w:val="79652CF1"/>
    <w:rsid w:val="796A6CE4"/>
    <w:rsid w:val="79BF7ABD"/>
    <w:rsid w:val="79C46836"/>
    <w:rsid w:val="79FD6005"/>
    <w:rsid w:val="7B8231F1"/>
    <w:rsid w:val="7BBF7A98"/>
    <w:rsid w:val="7BE16971"/>
    <w:rsid w:val="7CF67812"/>
    <w:rsid w:val="7DCC21EE"/>
    <w:rsid w:val="7EBC7CEB"/>
    <w:rsid w:val="7EC56554"/>
    <w:rsid w:val="7F051082"/>
    <w:rsid w:val="7FBA49FE"/>
    <w:rsid w:val="7FCC3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2"/>
    <w:basedOn w:val="1"/>
    <w:next w:val="1"/>
    <w:qFormat/>
    <w:uiPriority w:val="0"/>
    <w:pPr>
      <w:keepNext/>
      <w:keepLines/>
      <w:spacing w:line="413" w:lineRule="auto"/>
      <w:outlineLvl w:val="1"/>
    </w:pPr>
    <w:rPr>
      <w:rFonts w:ascii="Arial" w:hAnsi="Arial" w:eastAsia="黑体"/>
      <w:b/>
      <w:sz w:val="32"/>
    </w:rPr>
  </w:style>
  <w:style w:type="paragraph" w:styleId="5">
    <w:name w:val="heading 3"/>
    <w:basedOn w:val="1"/>
    <w:next w:val="1"/>
    <w:qFormat/>
    <w:uiPriority w:val="0"/>
    <w:pPr>
      <w:keepNext/>
      <w:keepLines/>
      <w:spacing w:line="413" w:lineRule="auto"/>
      <w:outlineLvl w:val="2"/>
    </w:pPr>
    <w:rPr>
      <w:b/>
      <w:sz w:val="32"/>
    </w:rPr>
  </w:style>
  <w:style w:type="character" w:default="1" w:styleId="1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1"/>
    <w:qFormat/>
    <w:uiPriority w:val="0"/>
    <w:pPr>
      <w:spacing w:line="360" w:lineRule="auto"/>
      <w:ind w:firstLine="420"/>
    </w:pPr>
    <w:rPr>
      <w:rFonts w:ascii="宋体" w:hAnsi="宋体"/>
      <w:sz w:val="24"/>
    </w:rPr>
  </w:style>
  <w:style w:type="paragraph" w:styleId="3">
    <w:name w:val="Body Text"/>
    <w:basedOn w:val="1"/>
    <w:next w:val="1"/>
    <w:qFormat/>
    <w:uiPriority w:val="0"/>
    <w:rPr>
      <w:rFonts w:ascii="仿宋_GB2312" w:eastAsia="仿宋_GB2312"/>
      <w:sz w:val="32"/>
    </w:rPr>
  </w:style>
  <w:style w:type="paragraph" w:styleId="6">
    <w:name w:val="Normal Indent"/>
    <w:basedOn w:val="1"/>
    <w:qFormat/>
    <w:uiPriority w:val="0"/>
    <w:pPr>
      <w:adjustRightInd w:val="0"/>
      <w:snapToGrid w:val="0"/>
      <w:spacing w:line="360" w:lineRule="auto"/>
      <w:ind w:firstLine="420"/>
    </w:pPr>
    <w:rPr>
      <w:sz w:val="24"/>
    </w:rPr>
  </w:style>
  <w:style w:type="paragraph" w:styleId="7">
    <w:name w:val="toc 5"/>
    <w:basedOn w:val="1"/>
    <w:next w:val="1"/>
    <w:qFormat/>
    <w:uiPriority w:val="0"/>
    <w:pPr>
      <w:ind w:left="1680" w:leftChars="800"/>
    </w:pPr>
  </w:style>
  <w:style w:type="paragraph" w:styleId="8">
    <w:name w:val="toc 3"/>
    <w:basedOn w:val="1"/>
    <w:next w:val="1"/>
    <w:qFormat/>
    <w:uiPriority w:val="39"/>
    <w:pPr>
      <w:ind w:left="840" w:leftChars="400"/>
    </w:pPr>
  </w:style>
  <w:style w:type="paragraph" w:styleId="9">
    <w:name w:val="Plain Text"/>
    <w:basedOn w:val="1"/>
    <w:qFormat/>
    <w:uiPriority w:val="0"/>
    <w:rPr>
      <w:rFonts w:ascii="宋体" w:hAnsi="Courier New"/>
      <w:sz w:val="21"/>
    </w:rPr>
  </w:style>
  <w:style w:type="paragraph" w:styleId="10">
    <w:name w:val="Date"/>
    <w:basedOn w:val="1"/>
    <w:next w:val="1"/>
    <w:qFormat/>
    <w:uiPriority w:val="0"/>
  </w:style>
  <w:style w:type="paragraph" w:styleId="11">
    <w:name w:val="Body Text Indent 2"/>
    <w:basedOn w:val="1"/>
    <w:qFormat/>
    <w:uiPriority w:val="0"/>
    <w:pPr>
      <w:snapToGrid w:val="0"/>
      <w:spacing w:line="560" w:lineRule="atLeast"/>
      <w:ind w:firstLine="540"/>
    </w:pPr>
    <w:rPr>
      <w:rFonts w:ascii="Calibri" w:hAnsi="Calibri"/>
      <w:kern w:val="0"/>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pPr>
      <w:spacing w:before="120" w:after="120"/>
      <w:jc w:val="left"/>
    </w:pPr>
    <w:rPr>
      <w:caps/>
      <w:sz w:val="20"/>
    </w:rPr>
  </w:style>
  <w:style w:type="paragraph" w:styleId="15">
    <w:name w:val="toc 2"/>
    <w:basedOn w:val="1"/>
    <w:next w:val="1"/>
    <w:qFormat/>
    <w:uiPriority w:val="39"/>
    <w:pPr>
      <w:ind w:left="420" w:leftChars="200"/>
    </w:pPr>
  </w:style>
  <w:style w:type="character" w:styleId="18">
    <w:name w:val="page number"/>
    <w:basedOn w:val="17"/>
    <w:qFormat/>
    <w:uiPriority w:val="0"/>
  </w:style>
  <w:style w:type="character" w:styleId="19">
    <w:name w:val="Hyperlink"/>
    <w:qFormat/>
    <w:uiPriority w:val="99"/>
    <w:rPr>
      <w:color w:val="0000FF"/>
      <w:u w:val="single"/>
    </w:rPr>
  </w:style>
  <w:style w:type="paragraph" w:customStyle="1" w:styleId="20">
    <w:name w:val="1"/>
    <w:basedOn w:val="1"/>
    <w:next w:val="9"/>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16823</Words>
  <Characters>17829</Characters>
  <Lines>0</Lines>
  <Paragraphs>0</Paragraphs>
  <TotalTime>2</TotalTime>
  <ScaleCrop>false</ScaleCrop>
  <LinksUpToDate>false</LinksUpToDate>
  <CharactersWithSpaces>18839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2023-04-06T07:30:00Z</dcterms:created>
  <dc:creator>王小勇</dc:creator>
  <cp:lastModifiedBy>肖良萍</cp:lastModifiedBy>
  <cp:lastPrinted>2023-08-17T06:13:00Z</cp:lastPrinted>
  <dcterms:modified xsi:type="dcterms:W3CDTF">2023-08-18T01:04:52Z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B24FE80903FD484CB7EC01A6A7E99F07_12</vt:lpwstr>
  </property>
</Properties>
</file>