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hint="eastAsia" w:ascii="宋体" w:hAnsi="宋体" w:eastAsia="宋体" w:cs="宋体"/>
          <w:sz w:val="32"/>
          <w:lang w:eastAsia="zh-CN"/>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14" w:leftChars="512" w:hanging="1080" w:hangingChars="300"/>
        <w:rPr>
          <w:rFonts w:hint="eastAsia" w:ascii="宋体" w:hAnsi="宋体" w:eastAsia="宋体" w:cs="宋体"/>
          <w:sz w:val="36"/>
          <w:szCs w:val="30"/>
        </w:rPr>
      </w:pPr>
      <w:r>
        <w:rPr>
          <w:rFonts w:hint="eastAsia" w:ascii="宋体" w:hAnsi="宋体" w:cs="宋体"/>
          <w:sz w:val="36"/>
          <w:szCs w:val="30"/>
        </w:rPr>
        <w:t>磋商项目名称：</w:t>
      </w:r>
      <w:r>
        <w:rPr>
          <w:rFonts w:hint="eastAsia" w:ascii="宋体" w:hAnsi="宋体" w:eastAsia="宋体" w:cs="宋体"/>
          <w:sz w:val="36"/>
          <w:szCs w:val="30"/>
          <w:lang w:eastAsia="zh-CN"/>
        </w:rPr>
        <w:t>大渡口区大健康生物医药产业公共服务平台中央空调采购</w:t>
      </w:r>
    </w:p>
    <w:p>
      <w:pPr>
        <w:spacing w:line="700" w:lineRule="exact"/>
        <w:ind w:firstLine="1749" w:firstLineChars="486"/>
        <w:rPr>
          <w:rFonts w:ascii="宋体" w:hAnsi="宋体" w:cs="宋体"/>
          <w:sz w:val="36"/>
          <w:szCs w:val="30"/>
        </w:rPr>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ind w:left="2514" w:leftChars="512" w:hanging="1080" w:hangingChars="300"/>
        <w:rPr>
          <w:rFonts w:hint="eastAsia" w:ascii="宋体" w:hAnsi="宋体" w:eastAsia="宋体" w:cs="宋体"/>
          <w:sz w:val="36"/>
          <w:szCs w:val="30"/>
        </w:rPr>
      </w:pPr>
      <w:r>
        <w:rPr>
          <w:rFonts w:hint="eastAsia" w:ascii="宋体" w:hAnsi="宋体" w:eastAsia="宋体" w:cs="宋体"/>
          <w:sz w:val="36"/>
          <w:szCs w:val="30"/>
        </w:rPr>
        <w:t>采   购   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w:t>
      </w:r>
      <w:r>
        <w:rPr>
          <w:rFonts w:hint="eastAsia" w:ascii="宋体" w:hAnsi="宋体" w:cs="宋体"/>
          <w:sz w:val="36"/>
          <w:szCs w:val="30"/>
          <w:lang w:eastAsia="zh-CN"/>
        </w:rPr>
        <w:t>三</w:t>
      </w:r>
      <w:r>
        <w:rPr>
          <w:rFonts w:hint="eastAsia" w:ascii="宋体" w:hAnsi="宋体" w:cs="宋体"/>
          <w:sz w:val="36"/>
          <w:szCs w:val="30"/>
        </w:rPr>
        <w:t>年</w:t>
      </w:r>
      <w:r>
        <w:rPr>
          <w:rFonts w:hint="eastAsia" w:ascii="宋体" w:hAnsi="宋体" w:cs="宋体"/>
          <w:sz w:val="36"/>
          <w:szCs w:val="30"/>
          <w:lang w:eastAsia="zh-CN"/>
        </w:rPr>
        <w:t>七</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3"/>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7"/>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7"/>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7"/>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7"/>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Style w:val="17"/>
          <w:rFonts w:ascii="宋体" w:hAnsi="宋体" w:cs="宋体"/>
          <w:color w:val="auto"/>
        </w:rPr>
      </w:pPr>
      <w:r>
        <w:fldChar w:fldCharType="begin"/>
      </w:r>
      <w:r>
        <w:instrText xml:space="preserve"> HYPERLINK \l "_Toc54278972" </w:instrText>
      </w:r>
      <w:r>
        <w:fldChar w:fldCharType="separate"/>
      </w:r>
      <w:r>
        <w:rPr>
          <w:rStyle w:val="17"/>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Style w:val="17"/>
          <w:rFonts w:ascii="宋体" w:hAnsi="宋体" w:cs="宋体"/>
          <w:color w:val="auto"/>
        </w:rPr>
      </w:pPr>
      <w:r>
        <w:fldChar w:fldCharType="begin"/>
      </w:r>
      <w:r>
        <w:instrText xml:space="preserve"> HYPERLINK \l "_Toc54278972" </w:instrText>
      </w:r>
      <w:r>
        <w:fldChar w:fldCharType="separate"/>
      </w:r>
      <w:r>
        <w:rPr>
          <w:rStyle w:val="17"/>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7"/>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7"/>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7"/>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7"/>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7"/>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"_Toc54278978" </w:instrText>
      </w:r>
      <w:r>
        <w:fldChar w:fldCharType="separate"/>
      </w:r>
      <w:r>
        <w:rPr>
          <w:rStyle w:val="17"/>
          <w:rFonts w:hint="eastAsia" w:ascii="宋体" w:hAnsi="宋体" w:cs="宋体"/>
          <w:color w:val="auto"/>
        </w:rPr>
        <w:t>一、建设地点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_Toc54278978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"_Toc54278979" </w:instrText>
      </w:r>
      <w:r>
        <w:fldChar w:fldCharType="separate"/>
      </w:r>
      <w:r>
        <w:rPr>
          <w:rStyle w:val="17"/>
          <w:rFonts w:hint="eastAsia" w:ascii="宋体" w:hAnsi="宋体" w:cs="宋体"/>
          <w:color w:val="auto"/>
        </w:rPr>
        <w:t>二、建设规模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7"/>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7"/>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"_Toc54278986" </w:instrText>
      </w:r>
      <w:r>
        <w:fldChar w:fldCharType="separate"/>
      </w:r>
      <w:r>
        <w:rPr>
          <w:rStyle w:val="17"/>
          <w:rFonts w:hint="eastAsia" w:ascii="宋体" w:hAnsi="宋体" w:cs="宋体"/>
          <w:color w:val="auto"/>
        </w:rPr>
        <w:t>二、报价要求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_Toc54278986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"_Toc54278987" </w:instrText>
      </w:r>
      <w:r>
        <w:fldChar w:fldCharType="separate"/>
      </w:r>
      <w:r>
        <w:rPr>
          <w:rStyle w:val="17"/>
          <w:rFonts w:hint="eastAsia" w:ascii="宋体" w:hAnsi="宋体" w:cs="宋体"/>
          <w:color w:val="auto"/>
        </w:rPr>
        <w:t>三、结算原则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_Toc54278987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"_Toc54278988" </w:instrText>
      </w:r>
      <w:r>
        <w:fldChar w:fldCharType="separate"/>
      </w:r>
      <w:r>
        <w:rPr>
          <w:rStyle w:val="17"/>
          <w:rFonts w:hint="eastAsia" w:ascii="宋体" w:hAnsi="宋体" w:cs="宋体"/>
          <w:color w:val="auto"/>
        </w:rPr>
        <w:t>四、付款方式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7"/>
          <w:rFonts w:hint="eastAsia" w:ascii="宋体" w:hAnsi="宋体" w:cs="宋体"/>
          <w:color w:val="auto"/>
        </w:rPr>
        <w:t>五、知识产权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"_Toc54278991" </w:instrText>
      </w:r>
      <w:r>
        <w:fldChar w:fldCharType="separate"/>
      </w:r>
      <w:r>
        <w:rPr>
          <w:rStyle w:val="17"/>
          <w:rFonts w:hint="eastAsia" w:ascii="宋体" w:hAnsi="宋体" w:cs="宋体"/>
          <w:color w:val="auto"/>
        </w:rPr>
        <w:t>六、其他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7"/>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7"/>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- 20 -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7"/>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- 22 -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7"/>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- 24 -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7"/>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7"/>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7"/>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7"/>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7"/>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7"/>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7"/>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7"/>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rFonts w:hint="eastAsia" w:ascii="宋体" w:hAnsi="宋体" w:cs="宋体"/>
        </w:rPr>
        <w:t>- 28 -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7"/>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rFonts w:hint="eastAsia" w:ascii="宋体" w:hAnsi="宋体" w:cs="宋体"/>
        </w:rPr>
        <w:t>- 29 -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7"/>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rFonts w:hint="eastAsia" w:ascii="宋体" w:hAnsi="宋体" w:cs="宋体"/>
        </w:rPr>
        <w:t>- 30 -</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7"/>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rFonts w:hint="eastAsia" w:ascii="宋体" w:hAnsi="宋体" w:cs="宋体"/>
        </w:rPr>
        <w:t>- 31 -</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7"/>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rFonts w:hint="eastAsia" w:ascii="宋体" w:hAnsi="宋体" w:cs="宋体"/>
        </w:rPr>
        <w:t>- 32 -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7"/>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rFonts w:hint="eastAsia" w:ascii="宋体" w:hAnsi="宋体" w:cs="宋体"/>
        </w:rPr>
        <w:t>- 33 -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7"/>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rFonts w:hint="eastAsia" w:ascii="宋体" w:hAnsi="宋体" w:cs="宋体"/>
        </w:rPr>
        <w:t>- 35 -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7"/>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rFonts w:hint="eastAsia" w:ascii="宋体" w:hAnsi="宋体" w:cs="宋体"/>
        </w:rPr>
        <w:t>- 37 -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7"/>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rFonts w:hint="eastAsia" w:ascii="宋体" w:hAnsi="宋体" w:cs="宋体"/>
        </w:rPr>
        <w:t>- 40 -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7"/>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rFonts w:hint="eastAsia" w:ascii="宋体" w:hAnsi="宋体" w:cs="宋体"/>
        </w:rPr>
        <w:t>- 46 -</w:t>
      </w:r>
      <w:r>
        <w:rPr>
          <w:rFonts w:hint="eastAsia" w:ascii="宋体" w:hAnsi="宋体" w:cs="宋体"/>
        </w:rPr>
        <w:fldChar w:fldCharType="end"/>
      </w:r>
      <w:r>
        <w:rPr>
          <w:rFonts w:hint="eastAsia" w:ascii="宋体" w:hAnsi="宋体" w:cs="宋体"/>
        </w:rPr>
        <w:fldChar w:fldCharType="end"/>
      </w:r>
    </w:p>
    <w:p>
      <w:pPr>
        <w:pStyle w:val="13"/>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12789052"/>
      <w:bookmarkStart w:id="1" w:name="_Toc54278968"/>
      <w:bookmarkStart w:id="2" w:name="_Toc11641050"/>
      <w:r>
        <w:rPr>
          <w:rFonts w:hint="eastAsia" w:ascii="宋体" w:hAnsi="宋体" w:eastAsia="宋体" w:cs="宋体"/>
          <w:b w:val="0"/>
          <w:sz w:val="36"/>
          <w:szCs w:val="30"/>
        </w:rPr>
        <w:t>第一篇  采购邀请书</w:t>
      </w:r>
      <w:bookmarkEnd w:id="0"/>
      <w:bookmarkEnd w:id="1"/>
      <w:bookmarkEnd w:id="2"/>
    </w:p>
    <w:p>
      <w:pPr>
        <w:pStyle w:val="4"/>
        <w:spacing w:line="360" w:lineRule="auto"/>
        <w:rPr>
          <w:rFonts w:ascii="宋体" w:hAnsi="宋体" w:cs="宋体"/>
          <w:sz w:val="24"/>
          <w:szCs w:val="24"/>
        </w:rPr>
      </w:pPr>
      <w:bookmarkStart w:id="3" w:name="_Toc317775175"/>
      <w:bookmarkStart w:id="4" w:name="_Toc313893526"/>
      <w:bookmarkStart w:id="5" w:name="_Toc54278969"/>
      <w:r>
        <w:rPr>
          <w:rFonts w:hint="eastAsia" w:ascii="宋体" w:hAnsi="宋体" w:cs="宋体"/>
          <w:sz w:val="24"/>
          <w:szCs w:val="24"/>
        </w:rPr>
        <w:t>一、竞争性磋商内容</w:t>
      </w:r>
      <w:bookmarkEnd w:id="3"/>
      <w:bookmarkEnd w:id="4"/>
      <w:bookmarkEnd w:id="5"/>
    </w:p>
    <w:tbl>
      <w:tblPr>
        <w:tblStyle w:val="14"/>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lang w:eastAsia="zh-CN"/>
              </w:rPr>
              <w:t>最高</w:t>
            </w:r>
            <w:r>
              <w:rPr>
                <w:rFonts w:hint="eastAsia" w:ascii="宋体" w:hAnsi="宋体" w:cs="宋体"/>
                <w:b/>
                <w:bCs/>
                <w:kern w:val="0"/>
                <w:sz w:val="21"/>
                <w:szCs w:val="24"/>
              </w:rPr>
              <w:t>限价</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kern w:val="0"/>
                <w:sz w:val="21"/>
                <w:szCs w:val="24"/>
              </w:rPr>
            </w:pPr>
            <w:bookmarkStart w:id="6" w:name="_Hlk344477914"/>
            <w:r>
              <w:rPr>
                <w:rFonts w:hint="eastAsia" w:ascii="宋体" w:hAnsi="宋体" w:cs="宋体"/>
                <w:sz w:val="24"/>
                <w:szCs w:val="24"/>
                <w:lang w:eastAsia="zh-CN"/>
              </w:rPr>
              <w:t>大渡口区大健康生物医药产业公共服务平台中央空调采购</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498000元</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b/>
                <w:bCs/>
                <w:kern w:val="0"/>
                <w:sz w:val="21"/>
                <w:szCs w:val="24"/>
                <w:lang w:eastAsia="zh-CN"/>
              </w:rPr>
            </w:pPr>
            <w:r>
              <w:rPr>
                <w:rFonts w:hint="eastAsia" w:ascii="宋体" w:hAnsi="宋体" w:cs="宋体"/>
                <w:b/>
                <w:bCs/>
                <w:kern w:val="0"/>
                <w:sz w:val="21"/>
                <w:szCs w:val="24"/>
                <w:lang w:eastAsia="zh-CN"/>
              </w:rPr>
              <w:t>工业</w:t>
            </w:r>
          </w:p>
        </w:tc>
      </w:tr>
      <w:bookmarkEnd w:id="6"/>
    </w:tbl>
    <w:p>
      <w:pPr>
        <w:pStyle w:val="4"/>
        <w:spacing w:line="360" w:lineRule="auto"/>
        <w:rPr>
          <w:rFonts w:ascii="宋体" w:hAnsi="宋体" w:cs="宋体"/>
          <w:sz w:val="24"/>
          <w:szCs w:val="24"/>
        </w:rPr>
      </w:pPr>
      <w:bookmarkStart w:id="7" w:name="_Toc54278970"/>
      <w:bookmarkStart w:id="8" w:name="_Toc373860293"/>
      <w:bookmarkStart w:id="9" w:name="_Toc317775178"/>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w:t>
      </w:r>
      <w:r>
        <w:rPr>
          <w:rFonts w:hint="eastAsia" w:ascii="宋体" w:hAnsi="宋体" w:cs="宋体"/>
          <w:sz w:val="24"/>
          <w:szCs w:val="24"/>
          <w:lang w:val="en-US" w:eastAsia="zh-CN"/>
        </w:rPr>
        <w:t>49800</w:t>
      </w:r>
      <w:r>
        <w:rPr>
          <w:rFonts w:hint="eastAsia" w:ascii="宋体" w:hAnsi="宋体" w:cs="宋体"/>
          <w:sz w:val="24"/>
          <w:szCs w:val="24"/>
        </w:rPr>
        <w:t>0元。</w:t>
      </w:r>
    </w:p>
    <w:p>
      <w:pPr>
        <w:pStyle w:val="4"/>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（二）特定资格条件</w:t>
      </w:r>
      <w:bookmarkStart w:id="11" w:name="_Toc54278972"/>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投标截止日前3年内，指 2020年1月1日起至投标截止日止（以合同签订时间为准）单个项目合同有与本采购项目在合同金额、项目类别、项目规模类似的1个空调系统安装类或空调设备采购类业绩。</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类似</w:t>
      </w:r>
      <w:r>
        <w:rPr>
          <w:rFonts w:hint="eastAsia" w:ascii="宋体" w:hAnsi="宋体" w:cs="宋体"/>
          <w:b w:val="0"/>
          <w:kern w:val="2"/>
          <w:sz w:val="24"/>
          <w:szCs w:val="24"/>
          <w:lang w:val="en-US" w:eastAsia="zh-CN" w:bidi="ar-SA"/>
        </w:rPr>
        <w:t>项目</w:t>
      </w:r>
      <w:r>
        <w:rPr>
          <w:rFonts w:hint="eastAsia" w:ascii="宋体" w:hAnsi="宋体" w:eastAsia="宋体" w:cs="宋体"/>
          <w:b w:val="0"/>
          <w:kern w:val="2"/>
          <w:sz w:val="24"/>
          <w:szCs w:val="24"/>
          <w:lang w:val="en-US" w:eastAsia="zh-CN" w:bidi="ar-SA"/>
        </w:rPr>
        <w:t>业绩应满足以下要求：</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合同金额：</w:t>
      </w:r>
      <w:r>
        <w:rPr>
          <w:rFonts w:hint="eastAsia" w:ascii="宋体" w:hAnsi="宋体" w:cs="宋体"/>
          <w:b w:val="0"/>
          <w:kern w:val="2"/>
          <w:sz w:val="24"/>
          <w:szCs w:val="24"/>
          <w:lang w:val="en-US" w:eastAsia="zh-CN" w:bidi="ar-SA"/>
        </w:rPr>
        <w:t>20</w:t>
      </w:r>
      <w:r>
        <w:rPr>
          <w:rFonts w:hint="eastAsia" w:ascii="宋体" w:hAnsi="宋体" w:eastAsia="宋体" w:cs="宋体"/>
          <w:b w:val="0"/>
          <w:kern w:val="2"/>
          <w:sz w:val="24"/>
          <w:szCs w:val="24"/>
          <w:lang w:val="en-US" w:eastAsia="zh-CN" w:bidi="ar-SA"/>
        </w:rPr>
        <w:t>万元</w:t>
      </w:r>
      <w:r>
        <w:rPr>
          <w:rFonts w:hint="eastAsia" w:ascii="宋体" w:hAnsi="宋体" w:cs="宋体"/>
          <w:b w:val="0"/>
          <w:kern w:val="2"/>
          <w:sz w:val="24"/>
          <w:szCs w:val="24"/>
          <w:lang w:val="en-US" w:eastAsia="zh-CN" w:bidi="ar-SA"/>
        </w:rPr>
        <w:t>及以上</w:t>
      </w:r>
      <w:bookmarkStart w:id="104" w:name="_GoBack"/>
      <w:bookmarkEnd w:id="104"/>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cs="宋体"/>
          <w:b w:val="0"/>
          <w:kern w:val="2"/>
          <w:sz w:val="24"/>
          <w:szCs w:val="24"/>
          <w:lang w:val="en-US" w:eastAsia="zh-CN" w:bidi="ar-SA"/>
        </w:rPr>
        <w:t>项目</w:t>
      </w:r>
      <w:r>
        <w:rPr>
          <w:rFonts w:hint="eastAsia" w:ascii="宋体" w:hAnsi="宋体" w:eastAsia="宋体" w:cs="宋体"/>
          <w:b w:val="0"/>
          <w:kern w:val="2"/>
          <w:sz w:val="24"/>
          <w:szCs w:val="24"/>
          <w:lang w:val="en-US" w:eastAsia="zh-CN" w:bidi="ar-SA"/>
        </w:rPr>
        <w:t xml:space="preserve">类别：空调系统安装类或空调设备采购类       </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sz w:val="24"/>
          <w:szCs w:val="24"/>
        </w:rPr>
        <w:t>提供1、业绩合同复印件；2、中标通知书或网上（成交）结果</w:t>
      </w:r>
      <w:r>
        <w:rPr>
          <w:rFonts w:hint="eastAsia" w:ascii="宋体" w:hAnsi="宋体" w:cs="宋体"/>
          <w:sz w:val="24"/>
          <w:szCs w:val="24"/>
          <w:lang w:eastAsia="zh-CN"/>
        </w:rPr>
        <w:t>公告</w:t>
      </w:r>
      <w:r>
        <w:rPr>
          <w:rFonts w:hint="eastAsia" w:ascii="宋体" w:hAnsi="宋体" w:eastAsia="宋体" w:cs="宋体"/>
          <w:sz w:val="24"/>
          <w:szCs w:val="24"/>
        </w:rPr>
        <w:t>公示截图</w:t>
      </w:r>
      <w:r>
        <w:rPr>
          <w:rFonts w:hint="eastAsia" w:ascii="宋体" w:hAnsi="宋体" w:cs="宋体"/>
          <w:sz w:val="24"/>
          <w:szCs w:val="24"/>
          <w:lang w:eastAsia="zh-CN"/>
        </w:rPr>
        <w:t>；均需</w:t>
      </w:r>
      <w:r>
        <w:rPr>
          <w:rFonts w:hint="eastAsia" w:ascii="宋体" w:hAnsi="宋体" w:eastAsia="宋体" w:cs="宋体"/>
          <w:sz w:val="24"/>
          <w:szCs w:val="24"/>
        </w:rPr>
        <w:t>加盖投标人公章。</w:t>
      </w:r>
      <w:r>
        <w:rPr>
          <w:rFonts w:hint="eastAsia" w:ascii="宋体" w:hAnsi="宋体" w:eastAsia="宋体" w:cs="宋体"/>
          <w:b w:val="0"/>
          <w:kern w:val="2"/>
          <w:sz w:val="24"/>
          <w:szCs w:val="24"/>
          <w:lang w:val="en-US" w:eastAsia="zh-CN" w:bidi="ar-SA"/>
        </w:rPr>
        <w:t>不满足上述要求的业绩无效。</w:t>
      </w:r>
    </w:p>
    <w:p>
      <w:pPr>
        <w:pStyle w:val="4"/>
        <w:spacing w:line="360" w:lineRule="auto"/>
        <w:ind w:firstLine="482" w:firstLineChars="200"/>
        <w:rPr>
          <w:rFonts w:ascii="宋体" w:hAnsi="宋体" w:cs="宋体"/>
          <w:sz w:val="24"/>
          <w:szCs w:val="24"/>
        </w:rPr>
      </w:pPr>
      <w:r>
        <w:rPr>
          <w:rFonts w:hint="eastAsia" w:ascii="宋体" w:hAnsi="宋体" w:cs="宋体"/>
          <w:sz w:val="24"/>
          <w:szCs w:val="24"/>
        </w:rPr>
        <w:t>四、磋商有关说明</w:t>
      </w:r>
      <w:bookmarkEnd w:id="8"/>
      <w:bookmarkEnd w:id="11"/>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b/>
          <w:sz w:val="24"/>
          <w:szCs w:val="24"/>
        </w:rPr>
        <w:t>根据《重庆市财政局关于印发〈重庆市政府采购供应商注册及诚信管理暂行办法〉的通知》（渝财采购〔2015〕45号）规应按要求进行注册，通过重庆市政府采购网（www.ccgp-chongqing.gov.cn），登记加入“重庆市政府采购供应商库”。</w:t>
      </w:r>
    </w:p>
    <w:p>
      <w:pPr>
        <w:spacing w:line="360" w:lineRule="auto"/>
        <w:ind w:firstLine="480" w:firstLineChars="200"/>
        <w:rPr>
          <w:rFonts w:ascii="宋体" w:hAnsi="宋体" w:cs="宋体"/>
          <w:sz w:val="24"/>
          <w:szCs w:val="24"/>
        </w:rPr>
      </w:pPr>
      <w:r>
        <w:rPr>
          <w:rFonts w:hint="eastAsia" w:ascii="宋体" w:hAnsi="宋体" w:cs="宋体"/>
          <w:sz w:val="24"/>
          <w:szCs w:val="24"/>
        </w:rPr>
        <w:t>（二）凡有意参加磋商的供应商，请于公告发布之日（202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（三）竞争性磋商公告期限：自采购公告发布之日（202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（四）竞标人须满足以下三种要件，其响应文件才被接受：</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（六）响应文件递交时间：202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8</w:t>
      </w:r>
      <w:r>
        <w:rPr>
          <w:rFonts w:hint="eastAsia" w:ascii="宋体" w:hAnsi="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rPr>
        <w:t>日北京时间14：00-14:30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8</w:t>
      </w:r>
      <w:r>
        <w:rPr>
          <w:rFonts w:hint="eastAsia" w:ascii="宋体" w:hAnsi="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rPr>
        <w:t>日北京时间14:30</w:t>
      </w:r>
    </w:p>
    <w:p>
      <w:pPr>
        <w:spacing w:line="360" w:lineRule="auto"/>
        <w:ind w:firstLine="480" w:firstLineChars="200"/>
        <w:rPr>
          <w:rFonts w:ascii="宋体" w:hAnsi="宋体" w:cs="宋体"/>
          <w:sz w:val="24"/>
          <w:szCs w:val="24"/>
        </w:rPr>
      </w:pPr>
      <w:r>
        <w:rPr>
          <w:rFonts w:hint="eastAsia" w:ascii="宋体" w:hAnsi="宋体" w:cs="宋体"/>
          <w:sz w:val="24"/>
          <w:szCs w:val="24"/>
        </w:rPr>
        <w:t>（七）磋商开始时间：202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8</w:t>
      </w:r>
      <w:r>
        <w:rPr>
          <w:rFonts w:hint="eastAsia" w:ascii="宋体" w:hAnsi="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rPr>
        <w:t>日北京时间14:30</w:t>
      </w:r>
    </w:p>
    <w:p>
      <w:pPr>
        <w:pStyle w:val="4"/>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202</w:t>
      </w:r>
      <w:r>
        <w:rPr>
          <w:rFonts w:hint="eastAsia" w:ascii="宋体" w:hAnsi="宋体" w:cs="宋体"/>
          <w:b/>
          <w:sz w:val="24"/>
          <w:szCs w:val="24"/>
          <w:u w:val="single"/>
          <w:lang w:val="en-US" w:eastAsia="zh-CN"/>
        </w:rPr>
        <w:t>3</w:t>
      </w:r>
      <w:r>
        <w:rPr>
          <w:rFonts w:hint="eastAsia" w:ascii="宋体" w:hAnsi="宋体" w:cs="宋体"/>
          <w:b/>
          <w:sz w:val="24"/>
          <w:szCs w:val="24"/>
          <w:u w:val="single"/>
        </w:rPr>
        <w:t>年</w:t>
      </w:r>
      <w:r>
        <w:rPr>
          <w:rFonts w:hint="eastAsia" w:ascii="宋体" w:hAnsi="宋体" w:cs="宋体"/>
          <w:b/>
          <w:sz w:val="24"/>
          <w:szCs w:val="24"/>
          <w:u w:val="single"/>
          <w:lang w:val="en-US" w:eastAsia="zh-CN"/>
        </w:rPr>
        <w:t>7</w:t>
      </w:r>
      <w:r>
        <w:rPr>
          <w:rFonts w:hint="eastAsia" w:ascii="宋体" w:hAnsi="宋体" w:cs="宋体"/>
          <w:b/>
          <w:sz w:val="24"/>
          <w:szCs w:val="24"/>
          <w:u w:val="single"/>
        </w:rPr>
        <w:t>月</w:t>
      </w:r>
      <w:r>
        <w:rPr>
          <w:rFonts w:hint="eastAsia" w:ascii="宋体" w:hAnsi="宋体" w:cs="宋体"/>
          <w:b/>
          <w:sz w:val="24"/>
          <w:szCs w:val="24"/>
          <w:u w:val="single"/>
          <w:lang w:val="en-US" w:eastAsia="zh-CN"/>
        </w:rPr>
        <w:t>31</w:t>
      </w:r>
      <w:r>
        <w:rPr>
          <w:rFonts w:hint="eastAsia" w:ascii="宋体" w:hAnsi="宋体" w:cs="宋体"/>
          <w:b/>
          <w:sz w:val="24"/>
          <w:szCs w:val="24"/>
          <w:u w:val="single"/>
        </w:rPr>
        <w:t>日</w:t>
      </w:r>
      <w:r>
        <w:rPr>
          <w:rFonts w:hint="eastAsia" w:ascii="宋体" w:hAnsi="宋体" w:cs="宋体"/>
          <w:b/>
          <w:sz w:val="24"/>
          <w:szCs w:val="24"/>
          <w:u w:val="single"/>
          <w:lang w:val="en-US" w:eastAsia="zh-CN"/>
        </w:rPr>
        <w:t>17</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w:t>
      </w:r>
      <w:r>
        <w:rPr>
          <w:rFonts w:hint="eastAsia" w:ascii="宋体" w:hAnsi="宋体" w:cs="宋体"/>
          <w:b/>
          <w:sz w:val="24"/>
          <w:szCs w:val="24"/>
          <w:u w:val="single"/>
          <w:lang w:val="en-US" w:eastAsia="zh-CN"/>
        </w:rPr>
        <w:t>98</w:t>
      </w:r>
      <w:r>
        <w:rPr>
          <w:rFonts w:hint="eastAsia" w:ascii="宋体" w:hAnsi="宋体" w:cs="宋体"/>
          <w:b/>
          <w:sz w:val="24"/>
          <w:szCs w:val="24"/>
          <w:u w:val="single"/>
        </w:rPr>
        <w:t>00元（大写：</w:t>
      </w:r>
      <w:r>
        <w:rPr>
          <w:rFonts w:hint="eastAsia" w:ascii="宋体" w:hAnsi="宋体" w:cs="宋体"/>
          <w:b/>
          <w:sz w:val="24"/>
          <w:szCs w:val="24"/>
          <w:u w:val="single"/>
          <w:lang w:eastAsia="zh-CN"/>
        </w:rPr>
        <w:t>玖</w:t>
      </w:r>
      <w:r>
        <w:rPr>
          <w:rFonts w:hint="eastAsia" w:ascii="宋体" w:hAnsi="宋体" w:cs="宋体"/>
          <w:b/>
          <w:sz w:val="24"/>
          <w:szCs w:val="24"/>
          <w:u w:val="single"/>
        </w:rPr>
        <w:t>仟</w:t>
      </w:r>
      <w:r>
        <w:rPr>
          <w:rFonts w:hint="eastAsia" w:ascii="宋体" w:hAnsi="宋体" w:cs="宋体"/>
          <w:b/>
          <w:sz w:val="24"/>
          <w:szCs w:val="24"/>
          <w:u w:val="single"/>
          <w:lang w:eastAsia="zh-CN"/>
        </w:rPr>
        <w:t>捌佰</w:t>
      </w:r>
      <w:r>
        <w:rPr>
          <w:rFonts w:hint="eastAsia" w:ascii="宋体" w:hAnsi="宋体" w:cs="宋体"/>
          <w:b/>
          <w:sz w:val="24"/>
          <w:szCs w:val="24"/>
          <w:u w:val="single"/>
        </w:rPr>
        <w:t>元整）。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spacing w:line="360" w:lineRule="auto"/>
        <w:ind w:firstLine="480" w:firstLineChars="200"/>
      </w:pPr>
      <w:r>
        <w:rPr>
          <w:rFonts w:hint="eastAsia" w:ascii="宋体" w:hAnsi="宋体" w:cs="宋体"/>
          <w:sz w:val="24"/>
          <w:szCs w:val="24"/>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4"/>
        <w:spacing w:line="360" w:lineRule="auto"/>
        <w:rPr>
          <w:rFonts w:ascii="宋体" w:hAnsi="宋体" w:cs="宋体"/>
          <w:sz w:val="24"/>
          <w:szCs w:val="24"/>
        </w:rPr>
      </w:pPr>
      <w:r>
        <w:rPr>
          <w:rFonts w:hint="eastAsia" w:ascii="宋体" w:hAnsi="宋体" w:cs="宋体"/>
          <w:sz w:val="24"/>
          <w:szCs w:val="24"/>
          <w:lang w:eastAsia="zh-CN"/>
        </w:rPr>
        <w:t>六</w:t>
      </w:r>
      <w:r>
        <w:rPr>
          <w:rFonts w:hint="eastAsia" w:ascii="宋体" w:hAnsi="宋体" w:cs="宋体"/>
          <w:sz w:val="24"/>
          <w:szCs w:val="24"/>
        </w:rPr>
        <w:t>、</w:t>
      </w:r>
      <w:bookmarkEnd w:id="9"/>
      <w:bookmarkEnd w:id="12"/>
      <w:bookmarkStart w:id="14" w:name="_Toc479668114"/>
      <w:bookmarkStart w:id="15" w:name="_Toc480466698"/>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4"/>
        <w:spacing w:line="360" w:lineRule="auto"/>
        <w:rPr>
          <w:rFonts w:ascii="宋体" w:hAnsi="宋体" w:cs="宋体"/>
          <w:sz w:val="24"/>
          <w:szCs w:val="24"/>
        </w:rPr>
      </w:pPr>
      <w:bookmarkStart w:id="16" w:name="_Toc480466699"/>
      <w:bookmarkStart w:id="17" w:name="_Toc54278974"/>
      <w:r>
        <w:rPr>
          <w:rFonts w:hint="eastAsia" w:ascii="宋体" w:hAnsi="宋体" w:cs="宋体"/>
          <w:sz w:val="24"/>
          <w:szCs w:val="24"/>
          <w:lang w:eastAsia="zh-CN"/>
        </w:rPr>
        <w:t>七</w:t>
      </w:r>
      <w:r>
        <w:rPr>
          <w:rFonts w:hint="eastAsia" w:ascii="宋体" w:hAnsi="宋体" w:cs="宋体"/>
          <w:sz w:val="24"/>
          <w:szCs w:val="24"/>
        </w:rPr>
        <w:t>、其它有关规定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line="360" w:lineRule="auto"/>
        <w:rPr>
          <w:rFonts w:ascii="宋体" w:hAnsi="宋体" w:cs="宋体"/>
          <w:sz w:val="24"/>
          <w:szCs w:val="24"/>
        </w:rPr>
      </w:pPr>
      <w:bookmarkStart w:id="19" w:name="_Toc54278975"/>
      <w:r>
        <w:rPr>
          <w:rFonts w:hint="eastAsia" w:ascii="宋体" w:hAnsi="宋体" w:cs="宋体"/>
          <w:sz w:val="24"/>
          <w:szCs w:val="24"/>
          <w:lang w:eastAsia="zh-CN"/>
        </w:rPr>
        <w:t>八</w:t>
      </w:r>
      <w:r>
        <w:rPr>
          <w:rFonts w:hint="eastAsia" w:ascii="宋体" w:hAnsi="宋体" w:cs="宋体"/>
          <w:sz w:val="24"/>
          <w:szCs w:val="24"/>
        </w:rPr>
        <w:t>、联系方式</w:t>
      </w:r>
      <w:bookmarkEnd w:id="18"/>
      <w:bookmarkEnd w:id="19"/>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采购人：重庆建桥实业发展有限公司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话：023-68955002</w:t>
      </w:r>
      <w:bookmarkStart w:id="20" w:name="_Toc54278977"/>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sz w:val="36"/>
          <w:szCs w:val="30"/>
        </w:rPr>
      </w:pPr>
      <w:r>
        <w:rPr>
          <w:rFonts w:hint="eastAsia" w:ascii="宋体" w:hAnsi="宋体" w:cs="宋体"/>
          <w:color w:val="auto"/>
          <w:sz w:val="24"/>
          <w:szCs w:val="24"/>
          <w:highlight w:val="none"/>
        </w:rPr>
        <w:t>地  址：重庆市大渡口区田西路中冶熙城商街1号楼1楼</w:t>
      </w:r>
    </w:p>
    <w:p>
      <w:pPr>
        <w:pStyle w:val="3"/>
        <w:spacing w:line="360" w:lineRule="auto"/>
        <w:jc w:val="both"/>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rPr>
      </w:pPr>
    </w:p>
    <w:p>
      <w:pPr>
        <w:rPr>
          <w:rFonts w:hint="eastAsia" w:ascii="宋体" w:hAnsi="宋体" w:eastAsia="宋体" w:cs="宋体"/>
          <w:b w:val="0"/>
          <w:sz w:val="36"/>
          <w:szCs w:val="30"/>
        </w:rPr>
      </w:pPr>
    </w:p>
    <w:p>
      <w:pPr>
        <w:pStyle w:val="2"/>
        <w:rPr>
          <w:rFonts w:hint="eastAsia"/>
        </w:rPr>
      </w:pPr>
    </w:p>
    <w:p>
      <w:pPr>
        <w:pStyle w:val="3"/>
        <w:spacing w:line="360" w:lineRule="auto"/>
        <w:jc w:val="center"/>
        <w:rPr>
          <w:rFonts w:hint="eastAsia" w:ascii="宋体" w:hAnsi="宋体" w:eastAsia="宋体" w:cs="宋体"/>
          <w:b w:val="0"/>
          <w:sz w:val="36"/>
          <w:szCs w:val="30"/>
        </w:rPr>
      </w:pPr>
    </w:p>
    <w:p>
      <w:pPr>
        <w:pStyle w:val="3"/>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w:t>
      </w:r>
      <w:r>
        <w:rPr>
          <w:rFonts w:hint="eastAsia" w:ascii="宋体" w:hAnsi="宋体" w:eastAsia="宋体" w:cs="宋体"/>
          <w:b w:val="0"/>
          <w:sz w:val="36"/>
          <w:szCs w:val="30"/>
          <w:lang w:eastAsia="zh-CN"/>
        </w:rPr>
        <w:t>服务</w:t>
      </w:r>
      <w:r>
        <w:rPr>
          <w:rFonts w:hint="eastAsia" w:ascii="宋体" w:hAnsi="宋体" w:eastAsia="宋体" w:cs="宋体"/>
          <w:b w:val="0"/>
          <w:sz w:val="36"/>
          <w:szCs w:val="30"/>
        </w:rPr>
        <w:t>需求</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rPr>
      </w:pPr>
      <w:bookmarkStart w:id="21" w:name="_Toc12789058"/>
      <w:r>
        <w:rPr>
          <w:rFonts w:hint="eastAsia" w:ascii="宋体" w:hAnsi="宋体" w:cs="宋体"/>
          <w:b/>
          <w:bCs/>
          <w:sz w:val="24"/>
          <w:szCs w:val="24"/>
        </w:rPr>
        <w:t>1.</w:t>
      </w:r>
      <w:r>
        <w:rPr>
          <w:rFonts w:hint="eastAsia" w:ascii="宋体" w:hAnsi="宋体" w:eastAsia="宋体" w:cs="宋体"/>
          <w:b/>
          <w:bCs/>
          <w:sz w:val="24"/>
          <w:szCs w:val="24"/>
          <w:lang w:val="en-US" w:eastAsia="zh-CN"/>
        </w:rPr>
        <w:t>推荐品牌：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aps w:val="0"/>
          <w:kern w:val="2"/>
          <w:sz w:val="24"/>
          <w:szCs w:val="24"/>
          <w:lang w:val="en-US" w:eastAsia="zh-CN" w:bidi="ar-SA"/>
        </w:rPr>
      </w:pPr>
      <w:r>
        <w:rPr>
          <w:rFonts w:hint="eastAsia" w:ascii="宋体" w:hAnsi="宋体" w:cs="宋体"/>
          <w:caps w:val="0"/>
          <w:kern w:val="2"/>
          <w:sz w:val="24"/>
          <w:szCs w:val="24"/>
          <w:lang w:val="en-US" w:eastAsia="zh-CN" w:bidi="ar-SA"/>
        </w:rPr>
        <w:t>格力、美的、海尔或同档次及以上品牌。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bookmarkStart w:id="22" w:name="_Toc54278984"/>
      <w:r>
        <w:rPr>
          <w:rFonts w:hint="eastAsia" w:ascii="宋体" w:hAnsi="宋体" w:eastAsia="宋体" w:cs="宋体"/>
          <w:b/>
          <w:bCs/>
          <w:sz w:val="24"/>
          <w:szCs w:val="24"/>
          <w:lang w:val="en-US" w:eastAsia="zh-CN"/>
        </w:rPr>
        <w:t>主要设备技术参数表：</w:t>
      </w:r>
    </w:p>
    <w:tbl>
      <w:tblPr>
        <w:tblStyle w:val="14"/>
        <w:tblW w:w="9840" w:type="dxa"/>
        <w:tblInd w:w="-2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2400"/>
        <w:gridCol w:w="5130"/>
        <w:gridCol w:w="90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序号</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名称</w:t>
            </w:r>
          </w:p>
        </w:tc>
        <w:tc>
          <w:tcPr>
            <w:tcW w:w="5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技术参数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 xml:space="preserve">                               全直流变频室外主机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※1、制冷量≥50.4KW,制热量≥56.5KW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 xml:space="preserve">※2、制冷功率≤18.7KW，制热功率≤17.2KW  </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3、制冷 剂：R410A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4、机组重量≥355Kg</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※5、APF≥4.15</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全直流变频室外主机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※1、制冷量≥56.0KW,制热量:≥63.0KW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 xml:space="preserve">※2、制冷功率≤18.7KW，制热功率≤20.0KW   </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3、制冷 剂：R410A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4、机组重量≥375Kg</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※5、APF≥4.15</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全直流变频室外主机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※1、制冷量≥61.5KW,制热量≥69.0KW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 xml:space="preserve">※2、制冷功率≤23.1KW，制热功率≤22.53KW    </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3、制冷 剂：R410A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4、机组重量≥375Kg</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※5、APF≥4.0</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※1、制冷量≥2.8KW,制热量≥3.2KW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※2、制冷功率≤28.0W,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3、风量(H)≥450m/h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4、噪音(H)≤28dB(A)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5、标准静压：15Pa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※1、制冷量≥3.2KW,制热量≥3.6KW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※2、制冷功率≤37.0W,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3、风量(H)≥550m/h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4、噪音(H)≤31dB(A)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5、标准静压：15Pa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※1、制冷量≥3.6KW,制热量≥4.0KW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※2、制冷功率≤37.0W,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3、风量(H)≥550m/h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4、噪音(H)≤31dB(A)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5、标准静压：15Pa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※1、制冷量≥4.5KW,制热量≥5.0KW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※2、制冷功率≤40.0W,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3、风量(H)≥750m/h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4、噪音(H)≤33dB(A)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5、标准静压：15Pa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※1、制冷量≥5.6KW,制热量≥6.3KW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※2、制冷功率≤55.0W,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3、风量(H)≥850m/h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4、噪音(H)≤35dB(A)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5、标准静压：15Pa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※1、制冷量≥6.3KW,制热量≥7.1KW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※2、制冷功率≤55.0W,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3、风量(H)≥850m/h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4、噪音(H)≤35dB(A)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5、标准静压：15Pa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※1、制冷量≥7.1KW,制热量≥8.0KW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※2、制冷功率≤55.0W,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3、风量(H≥1100m/h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4、噪音(H)≤37dB(A)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5、标准静压：15Pa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11</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中静压风管送风式室内机（直流无刷电机）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※1、制冷量≥8.0KW,制热量≥9.0KW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※2、制冷功率≤100.0W,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3、风量(H)≥1100m/h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4、噪音(H)≤37dB(A)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5、标准静压：50Pa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12</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 xml:space="preserve">                   中静压风管送风式室内机（直流无刷电机）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※1、制冷量≥10.0KW,制热量≥11.2KW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※2、制冷功率≤110.0W,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3、风量(H)≥1700m/h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4、噪音(H)≤40dB(A)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5、标准静压：50Pa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13</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 xml:space="preserve">                              中静压风管送风式室内机（直流无刷电机）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※1、制冷量≥12.5KW,制热量≥14.0KW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※2、制冷功率≤170.0W,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3、风量(H)≥2000m/h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4、噪音(H)≤42dB(A)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5、标准静压：50Pa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14</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 xml:space="preserve">                              中静压风管送风式室内机（直流无刷电机）</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※1、制冷量≥14.0KW,制热量≥16.0KW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※2、制冷功率≤170.0W,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3、风量(H)≥2000m/h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4、噪音(H)≤42dB(A)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5、标准静压：50Pa</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15</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直流变频风管送风式空调机组</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※1、制冷量≥3.5KW,制热量≥4.0KW</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※2、标准工况制冷功率:1240W, 电源：220V  50Hz</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3、风量≥600m/h，</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r>
    </w:tbl>
    <w:p>
      <w:pPr>
        <w:pStyle w:val="12"/>
        <w:rPr>
          <w:rFonts w:hint="eastAsia" w:ascii="宋体" w:hAnsi="宋体" w:eastAsia="宋体" w:cs="宋体"/>
          <w:caps w:val="0"/>
          <w:kern w:val="2"/>
          <w:sz w:val="24"/>
          <w:szCs w:val="24"/>
          <w:lang w:val="en-US" w:eastAsia="zh-CN" w:bidi="ar-SA"/>
        </w:rPr>
      </w:pPr>
    </w:p>
    <w:p>
      <w:pPr>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pStyle w:val="12"/>
        <w:rPr>
          <w:rFonts w:hint="eastAsia"/>
          <w:lang w:val="en-US" w:eastAsia="zh-CN"/>
        </w:rPr>
      </w:pPr>
    </w:p>
    <w:p>
      <w:pPr>
        <w:pStyle w:val="3"/>
        <w:spacing w:line="360" w:lineRule="auto"/>
        <w:jc w:val="center"/>
        <w:rPr>
          <w:rFonts w:hint="eastAsia" w:ascii="宋体" w:hAnsi="宋体" w:eastAsia="宋体" w:cs="宋体"/>
          <w:b w:val="0"/>
          <w:kern w:val="2"/>
          <w:sz w:val="24"/>
          <w:szCs w:val="24"/>
          <w:lang w:val="en-US" w:eastAsia="zh-CN" w:bidi="ar-SA"/>
        </w:rPr>
      </w:pPr>
    </w:p>
    <w:p>
      <w:pPr>
        <w:pStyle w:val="3"/>
        <w:spacing w:line="360" w:lineRule="auto"/>
        <w:jc w:val="center"/>
        <w:rPr>
          <w:rFonts w:ascii="宋体" w:hAnsi="宋体" w:eastAsia="宋体" w:cs="宋体"/>
          <w:b w:val="0"/>
          <w:sz w:val="36"/>
          <w:szCs w:val="30"/>
        </w:rPr>
      </w:pPr>
      <w:r>
        <w:rPr>
          <w:rFonts w:hint="eastAsia" w:ascii="宋体" w:hAnsi="宋体" w:eastAsia="宋体" w:cs="宋体"/>
          <w:b w:val="0"/>
          <w:sz w:val="36"/>
          <w:szCs w:val="30"/>
        </w:rPr>
        <w:t xml:space="preserve">第三篇  </w:t>
      </w:r>
      <w:bookmarkEnd w:id="21"/>
      <w:r>
        <w:rPr>
          <w:rFonts w:hint="eastAsia" w:ascii="宋体" w:hAnsi="宋体" w:eastAsia="宋体" w:cs="宋体"/>
          <w:b w:val="0"/>
          <w:sz w:val="36"/>
          <w:szCs w:val="30"/>
        </w:rPr>
        <w:t>项目商务需求</w:t>
      </w:r>
      <w:bookmarkEnd w:id="22"/>
    </w:p>
    <w:p>
      <w:pPr>
        <w:pStyle w:val="4"/>
        <w:spacing w:line="440" w:lineRule="exact"/>
        <w:rPr>
          <w:rFonts w:ascii="宋体" w:hAnsi="宋体" w:cs="宋体"/>
          <w:sz w:val="24"/>
          <w:szCs w:val="24"/>
        </w:rPr>
      </w:pPr>
      <w:bookmarkStart w:id="23" w:name="_Toc344475120"/>
      <w:bookmarkStart w:id="24" w:name="_Toc54278985"/>
      <w:r>
        <w:rPr>
          <w:rFonts w:hint="eastAsia" w:ascii="宋体" w:hAnsi="宋体" w:cs="宋体"/>
          <w:sz w:val="24"/>
          <w:szCs w:val="24"/>
        </w:rPr>
        <w:t>一、服务期、</w:t>
      </w:r>
      <w:r>
        <w:rPr>
          <w:rFonts w:hint="eastAsia" w:ascii="宋体" w:hAnsi="宋体" w:cs="宋体"/>
          <w:sz w:val="24"/>
          <w:szCs w:val="24"/>
          <w:lang w:eastAsia="zh-CN"/>
        </w:rPr>
        <w:t>服务内容、</w:t>
      </w:r>
      <w:r>
        <w:rPr>
          <w:rFonts w:hint="eastAsia" w:ascii="宋体" w:hAnsi="宋体" w:cs="宋体"/>
          <w:sz w:val="24"/>
          <w:szCs w:val="24"/>
        </w:rPr>
        <w:t>地点及验收方式</w:t>
      </w:r>
      <w:bookmarkEnd w:id="23"/>
      <w:bookmarkEnd w:id="24"/>
    </w:p>
    <w:p>
      <w:pPr>
        <w:spacing w:line="540" w:lineRule="exact"/>
        <w:ind w:firstLine="480" w:firstLineChars="200"/>
        <w:jc w:val="left"/>
        <w:rPr>
          <w:rFonts w:hint="eastAsia" w:ascii="宋体" w:hAnsi="宋体" w:eastAsia="宋体" w:cs="宋体"/>
          <w:color w:val="FF0000"/>
          <w:sz w:val="24"/>
          <w:szCs w:val="24"/>
          <w:highlight w:val="yellow"/>
        </w:rPr>
      </w:pPr>
      <w:r>
        <w:rPr>
          <w:rFonts w:hint="eastAsia" w:ascii="宋体" w:hAnsi="宋体" w:eastAsia="宋体" w:cs="宋体"/>
          <w:sz w:val="24"/>
          <w:szCs w:val="24"/>
        </w:rPr>
        <w:t>（一）</w:t>
      </w:r>
      <w:r>
        <w:rPr>
          <w:rFonts w:hint="eastAsia" w:ascii="宋体" w:hAnsi="宋体" w:eastAsia="宋体" w:cs="宋体"/>
          <w:sz w:val="24"/>
          <w:szCs w:val="24"/>
          <w:lang w:eastAsia="zh-CN"/>
        </w:rPr>
        <w:t>交货</w:t>
      </w:r>
      <w:r>
        <w:rPr>
          <w:rFonts w:hint="eastAsia" w:ascii="宋体" w:hAnsi="宋体" w:eastAsia="宋体" w:cs="宋体"/>
          <w:sz w:val="24"/>
          <w:szCs w:val="24"/>
        </w:rPr>
        <w:t>期：合同签订并具备进场条件后20日历天内完成预埋部分（包括但不限于内机、管道等）；装修完成后5日历天内完成其他设备安装及系统调试。本项目根据采购人提供装修图纸，由成交人完成项目的最终优化空调设计及空调设备及相关配件的采购、供货及安装调试（空调设备的供应数量和规格不得低于采购需求清单），直到验收合格为止即为交钥匙工程项目，建筑面积约为1500平方米。</w:t>
      </w:r>
      <w:r>
        <w:rPr>
          <w:rFonts w:hint="eastAsia" w:ascii="宋体" w:hAnsi="宋体" w:eastAsia="宋体" w:cs="宋体"/>
          <w:sz w:val="24"/>
          <w:szCs w:val="24"/>
          <w:lang w:eastAsia="zh-CN"/>
        </w:rPr>
        <w:t>合同签订前中标人需提供制造商针对本项目授权书</w:t>
      </w:r>
      <w:r>
        <w:rPr>
          <w:rFonts w:hint="eastAsia" w:ascii="宋体" w:hAnsi="宋体" w:eastAsia="宋体" w:cs="宋体"/>
          <w:sz w:val="24"/>
          <w:szCs w:val="24"/>
        </w:rPr>
        <w:t>。</w:t>
      </w:r>
    </w:p>
    <w:p>
      <w:pPr>
        <w:spacing w:line="5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二</w:t>
      </w:r>
      <w:r>
        <w:rPr>
          <w:rFonts w:hint="eastAsia" w:ascii="宋体" w:hAnsi="宋体" w:eastAsia="宋体" w:cs="宋体"/>
          <w:sz w:val="24"/>
          <w:szCs w:val="24"/>
        </w:rPr>
        <w:t>）</w:t>
      </w:r>
      <w:r>
        <w:rPr>
          <w:rFonts w:hint="eastAsia" w:ascii="宋体" w:hAnsi="宋体" w:eastAsia="宋体" w:cs="宋体"/>
          <w:sz w:val="24"/>
          <w:szCs w:val="24"/>
          <w:lang w:eastAsia="zh-CN"/>
        </w:rPr>
        <w:t>交货</w:t>
      </w:r>
      <w:r>
        <w:rPr>
          <w:rFonts w:hint="eastAsia" w:ascii="宋体" w:hAnsi="宋体" w:eastAsia="宋体" w:cs="宋体"/>
          <w:sz w:val="24"/>
          <w:szCs w:val="24"/>
        </w:rPr>
        <w:t>地点：</w:t>
      </w:r>
      <w:r>
        <w:rPr>
          <w:rFonts w:hint="eastAsia" w:ascii="宋体" w:hAnsi="宋体" w:eastAsia="宋体" w:cs="宋体"/>
          <w:sz w:val="24"/>
          <w:szCs w:val="24"/>
          <w:lang w:val="en-US" w:eastAsia="zh-CN"/>
        </w:rPr>
        <w:t>大渡口区大健康生物医药产业公共服务平台</w:t>
      </w:r>
      <w:r>
        <w:rPr>
          <w:rFonts w:hint="eastAsia" w:ascii="宋体" w:hAnsi="宋体" w:eastAsia="宋体" w:cs="宋体"/>
          <w:sz w:val="24"/>
          <w:szCs w:val="24"/>
        </w:rPr>
        <w:t>。</w:t>
      </w:r>
    </w:p>
    <w:p>
      <w:pPr>
        <w:spacing w:line="5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三</w:t>
      </w:r>
      <w:r>
        <w:rPr>
          <w:rFonts w:hint="eastAsia" w:ascii="宋体" w:hAnsi="宋体" w:eastAsia="宋体" w:cs="宋体"/>
          <w:sz w:val="24"/>
          <w:szCs w:val="24"/>
        </w:rPr>
        <w:t>）验收方式及标准</w:t>
      </w:r>
      <w:bookmarkStart w:id="25" w:name="_Toc344475121"/>
      <w:bookmarkStart w:id="26" w:name="_Toc54278986"/>
    </w:p>
    <w:p>
      <w:pPr>
        <w:spacing w:line="540" w:lineRule="exact"/>
        <w:ind w:firstLine="480" w:firstLineChars="200"/>
        <w:jc w:val="left"/>
        <w:rPr>
          <w:rFonts w:ascii="宋体" w:hAnsi="宋体" w:cs="宋体"/>
          <w:sz w:val="24"/>
          <w:szCs w:val="24"/>
        </w:rPr>
      </w:pPr>
      <w:r>
        <w:rPr>
          <w:rFonts w:hint="eastAsia" w:ascii="宋体" w:hAnsi="宋体" w:cs="宋体"/>
          <w:sz w:val="24"/>
          <w:szCs w:val="24"/>
        </w:rPr>
        <w:t>1、由采购人自行验收；</w:t>
      </w:r>
    </w:p>
    <w:p>
      <w:pPr>
        <w:spacing w:line="5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货物到达现场后，中标人持采购人审核盖章的送货清单，在使用单位人员在场情况下当面开箱，共同清点、检查外观，作出开箱记录，双方签字确认。</w:t>
      </w:r>
    </w:p>
    <w:p>
      <w:pPr>
        <w:spacing w:line="5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中标人应保证货物到达采购人所在地完好无损，如有缺漏、损坏，由投标人负责调换、补齐或赔偿。</w:t>
      </w:r>
    </w:p>
    <w:p>
      <w:pPr>
        <w:spacing w:line="5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中标人应提供完备的技术资料、装箱单和合格证等，并派遣专业技术人员进行现场安装调试。验收合格条件如下：</w:t>
      </w:r>
    </w:p>
    <w:p>
      <w:pPr>
        <w:spacing w:line="5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.1设备技术参数与采购合同一致，性能指标达到规定的标准。</w:t>
      </w:r>
    </w:p>
    <w:p>
      <w:pPr>
        <w:spacing w:line="5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.2货物技术资料、装箱单、合格证等资料齐全。</w:t>
      </w:r>
    </w:p>
    <w:p>
      <w:pPr>
        <w:spacing w:line="5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.3在系统试运行期间所出现的问题得到解决，并运行正常。</w:t>
      </w:r>
    </w:p>
    <w:p>
      <w:pPr>
        <w:spacing w:line="5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.4在规定时间内完成交货并验收，并经采购人确认。</w:t>
      </w:r>
    </w:p>
    <w:p>
      <w:pPr>
        <w:spacing w:line="5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产品包装材料归采购人所有。</w:t>
      </w:r>
    </w:p>
    <w:p>
      <w:pPr>
        <w:pStyle w:val="4"/>
        <w:spacing w:line="400" w:lineRule="exact"/>
        <w:rPr>
          <w:rFonts w:ascii="宋体" w:hAnsi="宋体" w:cs="宋体"/>
          <w:sz w:val="24"/>
          <w:szCs w:val="24"/>
        </w:rPr>
      </w:pPr>
      <w:r>
        <w:rPr>
          <w:rFonts w:hint="eastAsia" w:ascii="宋体" w:hAnsi="宋体" w:cs="宋体"/>
          <w:sz w:val="24"/>
          <w:szCs w:val="24"/>
        </w:rPr>
        <w:t>二、</w:t>
      </w:r>
      <w:bookmarkEnd w:id="25"/>
      <w:r>
        <w:rPr>
          <w:rFonts w:hint="eastAsia" w:ascii="宋体" w:hAnsi="宋体" w:cs="宋体"/>
          <w:sz w:val="24"/>
          <w:szCs w:val="24"/>
        </w:rPr>
        <w:t>报价要求</w:t>
      </w:r>
      <w:bookmarkEnd w:id="26"/>
    </w:p>
    <w:p>
      <w:pPr>
        <w:spacing w:line="540" w:lineRule="exact"/>
        <w:ind w:firstLine="480" w:firstLineChars="200"/>
        <w:jc w:val="left"/>
        <w:rPr>
          <w:rFonts w:ascii="宋体" w:hAnsi="宋体" w:cs="宋体"/>
          <w:sz w:val="24"/>
          <w:szCs w:val="24"/>
        </w:rPr>
      </w:pPr>
      <w:r>
        <w:rPr>
          <w:rFonts w:hint="eastAsia" w:ascii="宋体" w:hAnsi="宋体" w:cs="宋体"/>
          <w:sz w:val="24"/>
          <w:szCs w:val="24"/>
        </w:rPr>
        <w:t>（一）最高限价</w:t>
      </w:r>
    </w:p>
    <w:p>
      <w:pPr>
        <w:spacing w:line="400" w:lineRule="exact"/>
        <w:ind w:firstLine="480" w:firstLineChars="200"/>
        <w:rPr>
          <w:rFonts w:hint="eastAsia" w:ascii="宋体" w:hAnsi="宋体" w:cs="宋体"/>
          <w:sz w:val="24"/>
          <w:szCs w:val="24"/>
        </w:rPr>
      </w:pPr>
      <w:bookmarkStart w:id="27" w:name="_Toc54278994"/>
      <w:r>
        <w:rPr>
          <w:rFonts w:hint="eastAsia" w:ascii="宋体" w:hAnsi="宋体" w:cs="宋体"/>
          <w:sz w:val="24"/>
          <w:szCs w:val="24"/>
        </w:rPr>
        <w:t>采用全费用综合总价包干，该费用包含但不限于完成本项目所需的空调设备及分歧管、冷媒管、支架、配电箱、电线等所有配件的购买（制造）费、辅材费、运输费、装卸费、安装费、调试费、人工费以及税费等直至空调交付使用的全部费用。因成交供应商自身原因造成漏报、少报皆由其自行承担责任，采购人不再补偿。竞标报价不得超过设置的最高限价，超过即按废标处理。报价不含外机机房土建及主机电源。</w:t>
      </w:r>
    </w:p>
    <w:p>
      <w:pPr>
        <w:spacing w:line="400" w:lineRule="exact"/>
        <w:rPr>
          <w:rFonts w:ascii="宋体" w:hAnsi="宋体" w:cs="宋体"/>
          <w:b/>
          <w:sz w:val="24"/>
          <w:szCs w:val="24"/>
        </w:rPr>
      </w:pPr>
      <w:r>
        <w:rPr>
          <w:rFonts w:hint="eastAsia" w:ascii="宋体" w:hAnsi="宋体" w:cs="宋体"/>
          <w:b/>
          <w:sz w:val="24"/>
          <w:szCs w:val="24"/>
        </w:rPr>
        <w:t>三、结算原则</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合同结算金额=合同暂定金额-违约金</w:t>
      </w:r>
    </w:p>
    <w:p>
      <w:pPr>
        <w:numPr>
          <w:ilvl w:val="0"/>
          <w:numId w:val="2"/>
        </w:numPr>
        <w:spacing w:line="400" w:lineRule="exact"/>
        <w:rPr>
          <w:rFonts w:hint="eastAsia" w:ascii="宋体" w:hAnsi="宋体" w:cs="宋体"/>
          <w:b/>
          <w:sz w:val="24"/>
          <w:szCs w:val="24"/>
        </w:rPr>
      </w:pPr>
      <w:r>
        <w:rPr>
          <w:rFonts w:hint="eastAsia" w:ascii="宋体" w:hAnsi="宋体" w:cs="宋体"/>
          <w:b/>
          <w:sz w:val="24"/>
          <w:szCs w:val="24"/>
        </w:rPr>
        <w:t>付款方式</w:t>
      </w:r>
    </w:p>
    <w:p>
      <w:pPr>
        <w:spacing w:line="540" w:lineRule="exact"/>
        <w:ind w:firstLine="480" w:firstLineChars="200"/>
        <w:jc w:val="left"/>
        <w:rPr>
          <w:rFonts w:hint="eastAsia" w:ascii="宋体" w:hAnsi="宋体" w:cs="宋体"/>
          <w:sz w:val="24"/>
          <w:szCs w:val="24"/>
          <w:lang w:eastAsia="zh-CN"/>
        </w:rPr>
      </w:pPr>
      <w:r>
        <w:rPr>
          <w:rFonts w:hint="eastAsia" w:ascii="宋体" w:hAnsi="宋体" w:cs="宋体"/>
          <w:sz w:val="24"/>
          <w:szCs w:val="24"/>
          <w:lang w:eastAsia="zh-CN"/>
        </w:rPr>
        <w:t>内机设备进场并经采购人清点无误后10工作日内，支付合同金额的30%；内机设备安装完成并经验收合格后10个工作日内，支付至合同金额的50%；整个空调系统安装调试完成，经竣工验收合格后10工作日内，支付至合同金额的97%（乙方在收款前提供足额的增值税专用发票）；剩余质保金在设备安装调试竣工验收后两年满后10工作日内支付（不计利息）。</w:t>
      </w:r>
    </w:p>
    <w:p>
      <w:pPr>
        <w:spacing w:line="540" w:lineRule="exact"/>
        <w:jc w:val="left"/>
        <w:rPr>
          <w:rFonts w:ascii="宋体" w:hAnsi="宋体" w:cs="宋体"/>
          <w:b/>
          <w:sz w:val="24"/>
          <w:szCs w:val="24"/>
        </w:rPr>
      </w:pPr>
      <w:r>
        <w:rPr>
          <w:rFonts w:hint="eastAsia" w:ascii="宋体" w:hAnsi="宋体" w:cs="宋体"/>
          <w:b/>
          <w:sz w:val="24"/>
          <w:szCs w:val="24"/>
        </w:rPr>
        <w:t>五、知识产权</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（二）涉及软件开发等服务类项目知识产权的，知识产权归采购人所有。</w:t>
      </w:r>
    </w:p>
    <w:p>
      <w:pPr>
        <w:spacing w:line="540" w:lineRule="exact"/>
        <w:jc w:val="left"/>
        <w:rPr>
          <w:rFonts w:ascii="宋体" w:hAnsi="宋体" w:cs="宋体"/>
          <w:b/>
          <w:sz w:val="24"/>
          <w:szCs w:val="24"/>
        </w:rPr>
      </w:pPr>
      <w:r>
        <w:rPr>
          <w:rFonts w:hint="eastAsia" w:ascii="宋体" w:hAnsi="宋体" w:cs="宋体"/>
          <w:b/>
          <w:sz w:val="24"/>
          <w:szCs w:val="24"/>
        </w:rPr>
        <w:t>六、其他</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（一）竞标人必须在响应文件中对以上条款和服务承诺明确列出，承诺内容必须达到本篇及竞争性磋商文件其他条款的要求。</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（二）因</w:t>
      </w:r>
      <w:r>
        <w:rPr>
          <w:rFonts w:hint="eastAsia" w:ascii="宋体" w:hAnsi="宋体" w:cs="宋体"/>
          <w:sz w:val="24"/>
          <w:szCs w:val="24"/>
          <w:lang w:eastAsia="zh-CN"/>
        </w:rPr>
        <w:t>中标人</w:t>
      </w:r>
      <w:r>
        <w:rPr>
          <w:rFonts w:hint="eastAsia" w:ascii="宋体" w:hAnsi="宋体" w:cs="宋体"/>
          <w:sz w:val="24"/>
          <w:szCs w:val="24"/>
        </w:rPr>
        <w:t>原因，所提供的</w:t>
      </w:r>
      <w:r>
        <w:rPr>
          <w:rFonts w:hint="eastAsia" w:ascii="宋体" w:hAnsi="宋体" w:cs="宋体"/>
          <w:sz w:val="24"/>
          <w:szCs w:val="24"/>
          <w:lang w:eastAsia="zh-CN"/>
        </w:rPr>
        <w:t>设备</w:t>
      </w:r>
      <w:r>
        <w:rPr>
          <w:rFonts w:hint="eastAsia" w:ascii="宋体" w:hAnsi="宋体" w:cs="宋体"/>
          <w:sz w:val="24"/>
          <w:szCs w:val="24"/>
        </w:rPr>
        <w:t>不符合规范要求和有关规定，</w:t>
      </w:r>
      <w:r>
        <w:rPr>
          <w:rFonts w:hint="eastAsia" w:ascii="宋体" w:hAnsi="宋体" w:cs="宋体"/>
          <w:sz w:val="24"/>
          <w:szCs w:val="24"/>
          <w:lang w:eastAsia="zh-CN"/>
        </w:rPr>
        <w:t>中标人</w:t>
      </w:r>
      <w:r>
        <w:rPr>
          <w:rFonts w:hint="eastAsia" w:ascii="宋体" w:hAnsi="宋体" w:cs="宋体"/>
          <w:sz w:val="24"/>
          <w:szCs w:val="24"/>
        </w:rPr>
        <w:t>承担相应损失。</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（三）</w:t>
      </w:r>
      <w:r>
        <w:rPr>
          <w:rFonts w:hint="eastAsia" w:ascii="宋体" w:hAnsi="宋体" w:cs="宋体"/>
          <w:sz w:val="24"/>
          <w:szCs w:val="24"/>
        </w:rPr>
        <w:t>中标</w:t>
      </w:r>
      <w:r>
        <w:rPr>
          <w:rFonts w:hint="eastAsia" w:ascii="宋体" w:hAnsi="宋体" w:cs="宋体"/>
          <w:sz w:val="24"/>
          <w:szCs w:val="24"/>
          <w:lang w:eastAsia="zh-CN"/>
        </w:rPr>
        <w:t>人</w:t>
      </w:r>
      <w:r>
        <w:rPr>
          <w:rFonts w:hint="eastAsia" w:ascii="宋体" w:hAnsi="宋体" w:cs="宋体"/>
          <w:sz w:val="24"/>
          <w:szCs w:val="24"/>
        </w:rPr>
        <w:t>如未按合同约定工期完工的（除不可抗力或经采购人同意），对中标</w:t>
      </w:r>
      <w:r>
        <w:rPr>
          <w:rFonts w:hint="eastAsia" w:ascii="宋体" w:hAnsi="宋体" w:cs="宋体"/>
          <w:sz w:val="24"/>
          <w:szCs w:val="24"/>
          <w:lang w:eastAsia="zh-CN"/>
        </w:rPr>
        <w:t>人</w:t>
      </w:r>
      <w:r>
        <w:rPr>
          <w:rFonts w:hint="eastAsia" w:ascii="宋体" w:hAnsi="宋体" w:cs="宋体"/>
          <w:sz w:val="24"/>
          <w:szCs w:val="24"/>
        </w:rPr>
        <w:t>处以万分之五/天的罚款。</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（四）</w:t>
      </w:r>
      <w:r>
        <w:rPr>
          <w:rFonts w:hint="eastAsia" w:ascii="宋体" w:hAnsi="宋体" w:cs="宋体"/>
          <w:sz w:val="24"/>
          <w:szCs w:val="24"/>
        </w:rPr>
        <w:t>其他未尽事宜由供需双方在采购合同中详细约定。</w:t>
      </w: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27"/>
    </w:p>
    <w:p>
      <w:pPr>
        <w:pStyle w:val="4"/>
        <w:spacing w:line="440" w:lineRule="exact"/>
        <w:rPr>
          <w:rFonts w:ascii="宋体" w:hAnsi="宋体" w:cs="宋体"/>
          <w:sz w:val="24"/>
          <w:szCs w:val="24"/>
        </w:rPr>
      </w:pPr>
      <w:bookmarkStart w:id="28" w:name="_Toc54278995"/>
      <w:r>
        <w:rPr>
          <w:rFonts w:hint="eastAsia" w:ascii="宋体" w:hAnsi="宋体" w:cs="宋体"/>
          <w:sz w:val="24"/>
          <w:szCs w:val="24"/>
        </w:rPr>
        <w:t>一、磋商程序及方法</w:t>
      </w:r>
      <w:bookmarkEnd w:id="28"/>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vAlign w:val="center"/>
          </w:tcPr>
          <w:p>
            <w:pPr>
              <w:jc w:val="center"/>
              <w:rPr>
                <w:rFonts w:ascii="宋体" w:hAnsi="宋体" w:cs="宋体"/>
                <w:b/>
                <w:kern w:val="0"/>
                <w:sz w:val="21"/>
                <w:szCs w:val="21"/>
              </w:rPr>
            </w:pPr>
            <w:r>
              <w:rPr>
                <w:rFonts w:hint="eastAsia" w:ascii="宋体" w:hAnsi="宋体" w:cs="宋体"/>
                <w:b/>
                <w:kern w:val="0"/>
                <w:sz w:val="21"/>
                <w:szCs w:val="21"/>
              </w:rPr>
              <w:t>检查因素</w:t>
            </w:r>
          </w:p>
        </w:tc>
        <w:tc>
          <w:tcPr>
            <w:tcW w:w="3542" w:type="dxa"/>
            <w:vAlign w:val="center"/>
          </w:tcPr>
          <w:p>
            <w:pPr>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sz w:val="21"/>
                <w:szCs w:val="21"/>
              </w:rPr>
            </w:pPr>
            <w:r>
              <w:rPr>
                <w:rFonts w:hint="eastAsia" w:ascii="宋体" w:hAnsi="宋体" w:cs="宋体"/>
                <w:sz w:val="21"/>
                <w:szCs w:val="21"/>
              </w:rPr>
              <w:t>1</w:t>
            </w:r>
          </w:p>
          <w:p>
            <w:pPr>
              <w:jc w:val="center"/>
              <w:rPr>
                <w:rFonts w:ascii="宋体" w:hAnsi="宋体" w:cs="宋体"/>
                <w:sz w:val="21"/>
                <w:szCs w:val="21"/>
              </w:rPr>
            </w:pPr>
          </w:p>
        </w:tc>
        <w:tc>
          <w:tcPr>
            <w:tcW w:w="709" w:type="dxa"/>
            <w:vMerge w:val="restart"/>
            <w:vAlign w:val="center"/>
          </w:tcPr>
          <w:p>
            <w:pPr>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vAlign w:val="center"/>
          </w:tcPr>
          <w:p>
            <w:pPr>
              <w:rPr>
                <w:rFonts w:ascii="宋体" w:hAnsi="宋体" w:cs="宋体"/>
                <w:sz w:val="21"/>
                <w:szCs w:val="21"/>
              </w:rPr>
            </w:pPr>
            <w:r>
              <w:rPr>
                <w:rFonts w:hint="eastAsia" w:ascii="宋体" w:hAnsi="宋体" w:cs="宋体"/>
                <w:sz w:val="21"/>
                <w:szCs w:val="21"/>
              </w:rPr>
              <w:t>（1）具有独立承担民事责任的能力</w:t>
            </w:r>
          </w:p>
        </w:tc>
        <w:tc>
          <w:tcPr>
            <w:tcW w:w="3542" w:type="dxa"/>
            <w:vAlign w:val="center"/>
          </w:tcPr>
          <w:p>
            <w:pPr>
              <w:rPr>
                <w:rFonts w:ascii="宋体" w:hAnsi="宋体" w:cs="宋体"/>
                <w:sz w:val="21"/>
                <w:szCs w:val="21"/>
              </w:rPr>
            </w:pPr>
            <w:r>
              <w:rPr>
                <w:rFonts w:hint="eastAsia" w:ascii="宋体" w:hAnsi="宋体" w:cs="宋体"/>
                <w:sz w:val="21"/>
                <w:szCs w:val="21"/>
              </w:rPr>
              <w:t>供应商法人营业执照（副本）或事业单位法人证书（副本）或个体工商户营业执照、组织机构代码证复印件（注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 xml:space="preserve">）； </w:t>
            </w:r>
          </w:p>
          <w:p>
            <w:pPr>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42" w:type="dxa"/>
            <w:vMerge w:val="restart"/>
            <w:vAlign w:val="center"/>
          </w:tcPr>
          <w:p>
            <w:pPr>
              <w:rPr>
                <w:rFonts w:ascii="宋体" w:hAnsi="宋体" w:cs="宋体"/>
                <w:sz w:val="21"/>
                <w:szCs w:val="21"/>
              </w:rPr>
            </w:pPr>
            <w:r>
              <w:rPr>
                <w:rFonts w:hint="eastAsia" w:ascii="宋体" w:hAnsi="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rPr>
              <w:t>（6）法律、行政法规规定的其他条件</w:t>
            </w:r>
          </w:p>
        </w:tc>
        <w:tc>
          <w:tcPr>
            <w:tcW w:w="3542"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Align w:val="center"/>
          </w:tcPr>
          <w:p>
            <w:pPr>
              <w:tabs>
                <w:tab w:val="left" w:pos="1494"/>
              </w:tabs>
              <w:rPr>
                <w:rFonts w:ascii="宋体" w:hAnsi="宋体" w:cs="宋体"/>
                <w:sz w:val="21"/>
                <w:szCs w:val="21"/>
              </w:rPr>
            </w:pPr>
          </w:p>
        </w:tc>
        <w:tc>
          <w:tcPr>
            <w:tcW w:w="4679" w:type="dxa"/>
            <w:vAlign w:val="center"/>
          </w:tcPr>
          <w:p>
            <w:pPr>
              <w:tabs>
                <w:tab w:val="left" w:pos="1494"/>
              </w:tabs>
              <w:rPr>
                <w:rFonts w:ascii="宋体" w:hAnsi="宋体" w:cs="宋体"/>
                <w:sz w:val="21"/>
                <w:szCs w:val="21"/>
              </w:rPr>
            </w:pPr>
            <w:r>
              <w:rPr>
                <w:rFonts w:hint="eastAsia" w:ascii="宋体" w:hAnsi="宋体" w:cs="宋体"/>
                <w:sz w:val="21"/>
                <w:szCs w:val="21"/>
              </w:rPr>
              <w:t>（7）特定资格条件</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sz w:val="21"/>
                <w:szCs w:val="21"/>
              </w:rPr>
            </w:pPr>
            <w:r>
              <w:rPr>
                <w:rFonts w:hint="eastAsia" w:ascii="宋体" w:hAnsi="宋体" w:cs="宋体"/>
                <w:sz w:val="21"/>
                <w:szCs w:val="21"/>
              </w:rPr>
              <w:t>2</w:t>
            </w:r>
          </w:p>
        </w:tc>
        <w:tc>
          <w:tcPr>
            <w:tcW w:w="5388" w:type="dxa"/>
            <w:gridSpan w:val="2"/>
            <w:vAlign w:val="center"/>
          </w:tcPr>
          <w:p>
            <w:pPr>
              <w:tabs>
                <w:tab w:val="left" w:pos="1494"/>
              </w:tabs>
              <w:rPr>
                <w:rFonts w:ascii="宋体" w:hAnsi="宋体" w:cs="宋体"/>
                <w:sz w:val="21"/>
                <w:szCs w:val="21"/>
              </w:rPr>
            </w:pPr>
            <w:r>
              <w:rPr>
                <w:rFonts w:hint="eastAsia" w:ascii="宋体" w:hAnsi="宋体" w:cs="宋体"/>
                <w:sz w:val="21"/>
                <w:szCs w:val="21"/>
              </w:rPr>
              <w:t>落实政府采购政策需满足的资格要求</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 eq \o\ac(○,1)</w:instrText>
      </w:r>
      <w:r>
        <w:rPr>
          <w:rFonts w:hint="eastAsia" w:ascii="宋体" w:hAnsi="宋体" w:cs="宋体"/>
          <w:sz w:val="21"/>
          <w:szCs w:val="21"/>
        </w:rPr>
        <w:fldChar w:fldCharType="end"/>
      </w:r>
      <w:r>
        <w:rPr>
          <w:rFonts w:hint="eastAsia" w:ascii="宋体" w:hAnsi="宋体" w:cs="宋体"/>
          <w:sz w:val="21"/>
          <w:szCs w:val="21"/>
        </w:rPr>
        <w:t>：供</w:t>
      </w:r>
      <w:r>
        <w:rPr>
          <w:rFonts w:hint="eastAsia" w:ascii="宋体" w:hAnsi="宋体" w:cs="宋体"/>
          <w:kern w:val="0"/>
          <w:sz w:val="24"/>
          <w:szCs w:val="24"/>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pPr>
      <w:r>
        <w:rPr>
          <w:rFonts w:hint="eastAsia" w:ascii="宋体" w:hAnsi="宋体" w:cs="宋体"/>
          <w:kern w:val="0"/>
          <w:sz w:val="24"/>
          <w:szCs w:val="24"/>
        </w:rPr>
        <w:t>2、符合性检查。依据磋商</w:t>
      </w:r>
      <w:r>
        <w:rPr>
          <w:rFonts w:ascii="宋体" w:hAnsi="宋体" w:cs="宋体"/>
          <w:kern w:val="0"/>
          <w:sz w:val="24"/>
          <w:szCs w:val="24"/>
        </w:rPr>
        <w:t>采购</w:t>
      </w:r>
      <w:r>
        <w:rPr>
          <w:rFonts w:hint="eastAsia" w:ascii="宋体" w:hAnsi="宋体" w:cs="宋体"/>
          <w:kern w:val="0"/>
          <w:sz w:val="24"/>
          <w:szCs w:val="24"/>
        </w:rPr>
        <w:t>文件的规定，从响应文件的有效性、完整性和对磋商</w:t>
      </w:r>
      <w:r>
        <w:rPr>
          <w:rFonts w:ascii="宋体" w:hAnsi="宋体" w:cs="宋体"/>
          <w:kern w:val="0"/>
          <w:sz w:val="24"/>
          <w:szCs w:val="24"/>
        </w:rPr>
        <w:t>采购</w:t>
      </w:r>
      <w:r>
        <w:rPr>
          <w:rFonts w:hint="eastAsia" w:ascii="宋体" w:hAnsi="宋体" w:cs="宋体"/>
          <w:kern w:val="0"/>
          <w:sz w:val="24"/>
          <w:szCs w:val="24"/>
        </w:rPr>
        <w:t>文件的响应程度进行审查，以确定是否对磋商</w:t>
      </w:r>
      <w:r>
        <w:rPr>
          <w:rFonts w:ascii="宋体" w:hAnsi="宋体" w:cs="宋体"/>
          <w:kern w:val="0"/>
          <w:sz w:val="24"/>
          <w:szCs w:val="24"/>
        </w:rPr>
        <w:t>采购</w:t>
      </w:r>
      <w:r>
        <w:rPr>
          <w:rFonts w:hint="eastAsia" w:ascii="宋体" w:hAnsi="宋体" w:cs="宋体"/>
          <w:kern w:val="0"/>
          <w:sz w:val="24"/>
          <w:szCs w:val="24"/>
        </w:rPr>
        <w:t>文件的实质性要求作出响应。符合性检查资料表如下：</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8"/>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sz w:val="24"/>
          <w:szCs w:val="24"/>
        </w:rPr>
      </w:pPr>
      <w:r>
        <w:rPr>
          <w:rFonts w:hint="eastAsia" w:ascii="宋体" w:hAnsi="宋体" w:cs="宋体"/>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400" w:lineRule="exact"/>
        <w:ind w:firstLine="480" w:firstLineChars="200"/>
        <w:rPr>
          <w:rFonts w:ascii="宋体" w:hAnsi="宋体" w:cs="宋体"/>
          <w:sz w:val="24"/>
          <w:szCs w:val="24"/>
        </w:rPr>
      </w:pPr>
      <w:r>
        <w:rPr>
          <w:rFonts w:hint="eastAsia" w:ascii="宋体" w:hAnsi="宋体" w:cs="宋体"/>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（九）磋商小组采用综合评分法对提交最后报价的供应商的响应文件和最后报价（含有效书面承诺）进行综合评分。</w:t>
      </w:r>
      <w:r>
        <w:rPr>
          <w:rFonts w:hint="eastAsia" w:ascii="宋体" w:hAnsi="宋体" w:cs="宋体"/>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kern w:val="0"/>
          <w:sz w:val="24"/>
          <w:szCs w:val="24"/>
          <w:lang w:val="en-US" w:eastAsia="zh-CN"/>
        </w:rPr>
        <w:t>0</w:t>
      </w:r>
      <w:r>
        <w:rPr>
          <w:rFonts w:hint="eastAsia" w:ascii="宋体" w:hAnsi="宋体" w:cs="宋体"/>
          <w:kern w:val="0"/>
          <w:sz w:val="24"/>
          <w:szCs w:val="24"/>
        </w:rPr>
        <w:t>分</w:t>
      </w:r>
      <w:r>
        <w:rPr>
          <w:rFonts w:hint="eastAsia" w:ascii="宋体" w:hAnsi="宋体" w:cs="宋体"/>
          <w:sz w:val="24"/>
          <w:szCs w:val="24"/>
        </w:rPr>
        <w:t>。（详见评审标准）。</w:t>
      </w:r>
    </w:p>
    <w:p>
      <w:pPr>
        <w:spacing w:line="400" w:lineRule="exact"/>
        <w:ind w:firstLine="480" w:firstLineChars="200"/>
        <w:rPr>
          <w:rFonts w:ascii="宋体" w:hAnsi="宋体" w:cs="宋体"/>
          <w:sz w:val="24"/>
          <w:szCs w:val="24"/>
        </w:rPr>
      </w:pPr>
      <w:r>
        <w:rPr>
          <w:rFonts w:hint="eastAsia" w:ascii="宋体" w:hAnsi="宋体" w:cs="宋体"/>
          <w:sz w:val="24"/>
          <w:szCs w:val="24"/>
        </w:rPr>
        <w:t>（十）磋商小组各成员独立对每个有效响应（通过资格性检查、</w:t>
      </w:r>
      <w:r>
        <w:rPr>
          <w:rFonts w:hint="eastAsia" w:ascii="宋体" w:hAnsi="宋体" w:cs="宋体"/>
          <w:kern w:val="0"/>
          <w:sz w:val="24"/>
          <w:szCs w:val="24"/>
        </w:rPr>
        <w:t>符合性检查的供应商</w:t>
      </w:r>
      <w:r>
        <w:rPr>
          <w:rFonts w:hint="eastAsia" w:ascii="宋体" w:hAnsi="宋体" w:cs="宋体"/>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spacing w:line="440" w:lineRule="exact"/>
        <w:rPr>
          <w:rFonts w:ascii="宋体" w:hAnsi="宋体" w:cs="宋体"/>
          <w:sz w:val="24"/>
          <w:szCs w:val="24"/>
        </w:rPr>
      </w:pPr>
      <w:bookmarkStart w:id="29" w:name="_Toc54278996"/>
      <w:r>
        <w:rPr>
          <w:rFonts w:hint="eastAsia" w:ascii="宋体" w:hAnsi="宋体" w:cs="宋体"/>
          <w:sz w:val="24"/>
          <w:szCs w:val="24"/>
        </w:rPr>
        <w:t>二、</w:t>
      </w:r>
      <w:bookmarkStart w:id="30" w:name="_Toc342913394"/>
      <w:bookmarkStart w:id="31" w:name="_Toc102227320"/>
      <w:r>
        <w:rPr>
          <w:rFonts w:hint="eastAsia" w:ascii="宋体" w:hAnsi="宋体" w:cs="宋体"/>
          <w:sz w:val="24"/>
          <w:szCs w:val="24"/>
        </w:rPr>
        <w:t>评审标准</w:t>
      </w:r>
      <w:bookmarkEnd w:id="29"/>
      <w:r>
        <w:rPr>
          <w:rFonts w:hint="eastAsia" w:ascii="宋体" w:hAnsi="宋体" w:cs="宋体"/>
          <w:sz w:val="24"/>
          <w:szCs w:val="24"/>
        </w:rPr>
        <w:t>注</w:t>
      </w:r>
    </w:p>
    <w:tbl>
      <w:tblPr>
        <w:tblStyle w:val="14"/>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84"/>
        <w:gridCol w:w="1761"/>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00" w:type="dxa"/>
            <w:noWrap/>
            <w:vAlign w:val="center"/>
          </w:tcPr>
          <w:p>
            <w:pPr>
              <w:spacing w:line="400" w:lineRule="exact"/>
              <w:jc w:val="center"/>
              <w:rPr>
                <w:rFonts w:ascii="宋体" w:hAnsi="宋体" w:cs="宋体"/>
                <w:b/>
                <w:sz w:val="24"/>
              </w:rPr>
            </w:pPr>
            <w:r>
              <w:rPr>
                <w:rFonts w:hint="eastAsia" w:ascii="宋体" w:hAnsi="宋体" w:cs="宋体"/>
                <w:b/>
                <w:sz w:val="24"/>
              </w:rPr>
              <w:t>序号</w:t>
            </w:r>
          </w:p>
        </w:tc>
        <w:tc>
          <w:tcPr>
            <w:tcW w:w="1284" w:type="dxa"/>
            <w:noWrap/>
            <w:vAlign w:val="center"/>
          </w:tcPr>
          <w:p>
            <w:pPr>
              <w:spacing w:line="400" w:lineRule="exact"/>
              <w:jc w:val="center"/>
              <w:rPr>
                <w:rFonts w:ascii="宋体" w:hAnsi="宋体" w:cs="宋体"/>
                <w:b/>
                <w:sz w:val="24"/>
              </w:rPr>
            </w:pPr>
            <w:r>
              <w:rPr>
                <w:rFonts w:hint="eastAsia" w:ascii="宋体" w:hAnsi="宋体" w:cs="宋体"/>
                <w:b/>
                <w:sz w:val="24"/>
              </w:rPr>
              <w:t>评分权重</w:t>
            </w:r>
          </w:p>
        </w:tc>
        <w:tc>
          <w:tcPr>
            <w:tcW w:w="1761" w:type="dxa"/>
            <w:noWrap/>
            <w:vAlign w:val="center"/>
          </w:tcPr>
          <w:p>
            <w:pPr>
              <w:spacing w:line="400" w:lineRule="exact"/>
              <w:jc w:val="center"/>
              <w:rPr>
                <w:rFonts w:ascii="宋体" w:hAnsi="宋体" w:cs="宋体"/>
                <w:b/>
                <w:sz w:val="24"/>
              </w:rPr>
            </w:pPr>
            <w:r>
              <w:rPr>
                <w:rFonts w:hint="eastAsia" w:ascii="宋体" w:hAnsi="宋体" w:cs="宋体"/>
                <w:b/>
                <w:sz w:val="24"/>
              </w:rPr>
              <w:t>分值</w:t>
            </w:r>
          </w:p>
        </w:tc>
        <w:tc>
          <w:tcPr>
            <w:tcW w:w="3640" w:type="dxa"/>
            <w:noWrap/>
            <w:vAlign w:val="center"/>
          </w:tcPr>
          <w:p>
            <w:pPr>
              <w:spacing w:line="400" w:lineRule="exact"/>
              <w:jc w:val="center"/>
              <w:rPr>
                <w:rFonts w:ascii="宋体" w:hAnsi="宋体" w:cs="宋体"/>
                <w:b/>
                <w:sz w:val="24"/>
              </w:rPr>
            </w:pPr>
            <w:r>
              <w:rPr>
                <w:rFonts w:hint="eastAsia" w:ascii="宋体" w:hAnsi="宋体" w:cs="宋体"/>
                <w:b/>
                <w:sz w:val="24"/>
              </w:rPr>
              <w:t>评分标准</w:t>
            </w:r>
          </w:p>
        </w:tc>
        <w:tc>
          <w:tcPr>
            <w:tcW w:w="2446" w:type="dxa"/>
            <w:noWrap/>
            <w:vAlign w:val="center"/>
          </w:tcPr>
          <w:p>
            <w:pPr>
              <w:spacing w:line="400" w:lineRule="exact"/>
              <w:jc w:val="center"/>
              <w:rPr>
                <w:rFonts w:ascii="宋体" w:hAnsi="宋体" w:cs="宋体"/>
                <w:b/>
                <w:sz w:val="24"/>
              </w:rPr>
            </w:pPr>
            <w:r>
              <w:rPr>
                <w:rFonts w:hint="eastAsia" w:ascii="宋体" w:hAnsi="宋体" w:cs="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00" w:type="dxa"/>
            <w:noWrap/>
            <w:vAlign w:val="center"/>
          </w:tcPr>
          <w:p>
            <w:pPr>
              <w:spacing w:line="400" w:lineRule="exact"/>
              <w:jc w:val="center"/>
              <w:rPr>
                <w:rFonts w:ascii="宋体" w:hAnsi="宋体" w:cs="宋体"/>
                <w:sz w:val="24"/>
                <w:szCs w:val="24"/>
              </w:rPr>
            </w:pPr>
            <w:r>
              <w:rPr>
                <w:rFonts w:hint="eastAsia" w:ascii="宋体" w:hAnsi="宋体" w:cs="宋体"/>
                <w:sz w:val="24"/>
                <w:szCs w:val="24"/>
              </w:rPr>
              <w:t>1</w:t>
            </w:r>
          </w:p>
        </w:tc>
        <w:tc>
          <w:tcPr>
            <w:tcW w:w="1284" w:type="dxa"/>
            <w:noWrap/>
            <w:vAlign w:val="center"/>
          </w:tcPr>
          <w:p>
            <w:pPr>
              <w:spacing w:line="400" w:lineRule="exact"/>
              <w:rPr>
                <w:rFonts w:ascii="宋体" w:hAnsi="宋体" w:cs="宋体"/>
                <w:sz w:val="24"/>
                <w:szCs w:val="24"/>
              </w:rPr>
            </w:pPr>
            <w:r>
              <w:rPr>
                <w:rFonts w:hint="eastAsia" w:ascii="宋体" w:hAnsi="宋体" w:cs="宋体"/>
                <w:sz w:val="24"/>
                <w:szCs w:val="24"/>
                <w:lang w:eastAsia="zh-CN"/>
              </w:rPr>
              <w:t>经济部分</w:t>
            </w:r>
            <w:r>
              <w:rPr>
                <w:rFonts w:hint="eastAsia" w:ascii="宋体" w:hAnsi="宋体" w:cs="宋体"/>
                <w:sz w:val="24"/>
                <w:szCs w:val="24"/>
              </w:rPr>
              <w:t>（</w:t>
            </w:r>
            <w:r>
              <w:rPr>
                <w:rFonts w:hint="eastAsia" w:ascii="宋体" w:hAnsi="宋体" w:cs="宋体"/>
                <w:sz w:val="24"/>
                <w:szCs w:val="24"/>
                <w:lang w:val="en-US" w:eastAsia="zh-CN"/>
              </w:rPr>
              <w:t>30</w:t>
            </w:r>
            <w:r>
              <w:rPr>
                <w:rFonts w:hint="eastAsia" w:ascii="宋体" w:hAnsi="宋体" w:cs="宋体"/>
                <w:sz w:val="24"/>
                <w:szCs w:val="24"/>
              </w:rPr>
              <w:t>%）</w:t>
            </w:r>
          </w:p>
        </w:tc>
        <w:tc>
          <w:tcPr>
            <w:tcW w:w="1761" w:type="dxa"/>
            <w:noWrap/>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投标报价</w:t>
            </w:r>
          </w:p>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（30</w:t>
            </w:r>
            <w:r>
              <w:rPr>
                <w:rFonts w:hint="eastAsia" w:ascii="宋体" w:hAnsi="宋体" w:cs="宋体"/>
                <w:sz w:val="24"/>
                <w:szCs w:val="24"/>
              </w:rPr>
              <w:t>分</w:t>
            </w:r>
            <w:r>
              <w:rPr>
                <w:rFonts w:hint="eastAsia" w:ascii="宋体" w:hAnsi="宋体" w:cs="宋体"/>
                <w:sz w:val="24"/>
                <w:szCs w:val="24"/>
                <w:lang w:eastAsia="zh-CN"/>
              </w:rPr>
              <w:t>）</w:t>
            </w:r>
          </w:p>
        </w:tc>
        <w:tc>
          <w:tcPr>
            <w:tcW w:w="3640"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4"/>
                <w:szCs w:val="24"/>
              </w:rPr>
            </w:pPr>
            <w:r>
              <w:rPr>
                <w:rFonts w:hint="eastAsia" w:ascii="宋体" w:hAnsi="宋体" w:cs="宋体"/>
                <w:sz w:val="24"/>
                <w:szCs w:val="24"/>
              </w:rPr>
              <w:t>有效的投标报价中的最低价为评标基准价，按照下列公式计算每个投标人的投标价格得分。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4"/>
                <w:szCs w:val="24"/>
              </w:rPr>
            </w:pPr>
            <w:r>
              <w:rPr>
                <w:rFonts w:hint="eastAsia" w:ascii="宋体" w:hAnsi="宋体" w:cs="宋体"/>
                <w:sz w:val="24"/>
                <w:szCs w:val="24"/>
              </w:rPr>
              <w:t>投标报价得分＝（评标基准价/投标报价）×价格权重×100，得数保留至小数点后两位。</w:t>
            </w:r>
          </w:p>
        </w:tc>
        <w:tc>
          <w:tcPr>
            <w:tcW w:w="2446" w:type="dxa"/>
            <w:noWrap/>
            <w:vAlign w:val="center"/>
          </w:tcPr>
          <w:p>
            <w:pPr>
              <w:spacing w:line="400" w:lineRule="exact"/>
              <w:rPr>
                <w:rFonts w:ascii="宋体" w:hAnsi="宋体" w:cs="宋体"/>
                <w:sz w:val="24"/>
                <w:szCs w:val="24"/>
              </w:rPr>
            </w:pPr>
            <w:r>
              <w:rPr>
                <w:rFonts w:hint="eastAsia" w:ascii="宋体" w:hAnsi="宋体" w:cs="宋体"/>
                <w:sz w:val="24"/>
                <w:szCs w:val="24"/>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600" w:type="dxa"/>
            <w:vMerge w:val="restart"/>
            <w:noWrap/>
            <w:vAlign w:val="center"/>
          </w:tcPr>
          <w:p>
            <w:pPr>
              <w:spacing w:line="400" w:lineRule="exact"/>
              <w:jc w:val="center"/>
              <w:rPr>
                <w:rFonts w:ascii="宋体" w:hAnsi="宋体" w:cs="宋体"/>
                <w:sz w:val="24"/>
                <w:szCs w:val="24"/>
              </w:rPr>
            </w:pPr>
            <w:r>
              <w:rPr>
                <w:rFonts w:hint="eastAsia" w:ascii="宋体" w:hAnsi="宋体" w:cs="宋体"/>
                <w:sz w:val="24"/>
                <w:szCs w:val="24"/>
              </w:rPr>
              <w:t>2</w:t>
            </w:r>
          </w:p>
        </w:tc>
        <w:tc>
          <w:tcPr>
            <w:tcW w:w="1284" w:type="dxa"/>
            <w:vMerge w:val="restart"/>
            <w:noWrap/>
            <w:vAlign w:val="center"/>
          </w:tcPr>
          <w:p>
            <w:pPr>
              <w:spacing w:line="400" w:lineRule="exact"/>
              <w:rPr>
                <w:rFonts w:ascii="宋体" w:hAnsi="宋体" w:cs="宋体"/>
                <w:sz w:val="24"/>
                <w:szCs w:val="24"/>
              </w:rPr>
            </w:pPr>
            <w:r>
              <w:rPr>
                <w:rFonts w:hint="eastAsia" w:ascii="宋体" w:hAnsi="宋体" w:cs="宋体"/>
                <w:sz w:val="24"/>
                <w:szCs w:val="24"/>
                <w:lang w:eastAsia="zh-CN"/>
              </w:rPr>
              <w:t>技术</w:t>
            </w:r>
            <w:r>
              <w:rPr>
                <w:rFonts w:hint="eastAsia" w:ascii="宋体" w:hAnsi="宋体" w:cs="宋体"/>
                <w:sz w:val="24"/>
                <w:szCs w:val="24"/>
              </w:rPr>
              <w:t>部分（</w:t>
            </w:r>
            <w:r>
              <w:rPr>
                <w:rFonts w:hint="eastAsia" w:ascii="宋体" w:hAnsi="宋体" w:cs="宋体"/>
                <w:sz w:val="24"/>
                <w:szCs w:val="24"/>
                <w:lang w:val="en-US" w:eastAsia="zh-CN"/>
              </w:rPr>
              <w:t>40</w:t>
            </w:r>
            <w:r>
              <w:rPr>
                <w:rFonts w:hint="eastAsia" w:ascii="宋体" w:hAnsi="宋体" w:cs="宋体"/>
                <w:sz w:val="24"/>
                <w:szCs w:val="24"/>
              </w:rPr>
              <w:t>%）</w:t>
            </w:r>
          </w:p>
        </w:tc>
        <w:tc>
          <w:tcPr>
            <w:tcW w:w="1761" w:type="dxa"/>
            <w:noWrap/>
            <w:vAlign w:val="center"/>
          </w:tcPr>
          <w:p>
            <w:pPr>
              <w:tabs>
                <w:tab w:val="left" w:pos="1050"/>
              </w:tabs>
              <w:spacing w:line="240" w:lineRule="atLeast"/>
              <w:jc w:val="center"/>
              <w:rPr>
                <w:rFonts w:hint="eastAsia" w:ascii="宋体" w:hAnsi="宋体" w:eastAsia="宋体" w:cs="宋体"/>
                <w:color w:val="000000"/>
                <w:kern w:val="2"/>
                <w:sz w:val="24"/>
                <w:szCs w:val="24"/>
                <w:lang w:val="en-US" w:eastAsia="zh-CN" w:bidi="ar-SA"/>
              </w:rPr>
            </w:pPr>
          </w:p>
          <w:p>
            <w:pPr>
              <w:tabs>
                <w:tab w:val="left" w:pos="1050"/>
              </w:tabs>
              <w:spacing w:line="240" w:lineRule="atLeas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设备参数（20）</w:t>
            </w:r>
          </w:p>
        </w:tc>
        <w:tc>
          <w:tcPr>
            <w:tcW w:w="3640" w:type="dxa"/>
            <w:noWrap/>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1.起评分：</w:t>
            </w:r>
          </w:p>
          <w:p>
            <w:pPr>
              <w:spacing w:line="400" w:lineRule="exact"/>
              <w:rPr>
                <w:rFonts w:hint="eastAsia" w:ascii="宋体" w:hAnsi="宋体" w:eastAsia="宋体" w:cs="宋体"/>
                <w:sz w:val="24"/>
                <w:szCs w:val="24"/>
              </w:rPr>
            </w:pPr>
            <w:r>
              <w:rPr>
                <w:rFonts w:hint="eastAsia" w:ascii="宋体" w:hAnsi="宋体" w:eastAsia="宋体" w:cs="宋体"/>
                <w:sz w:val="24"/>
                <w:szCs w:val="24"/>
              </w:rPr>
              <w:t>有效投标人的起评分为20分。</w:t>
            </w:r>
          </w:p>
          <w:p>
            <w:pPr>
              <w:spacing w:line="400" w:lineRule="exact"/>
              <w:rPr>
                <w:rFonts w:hint="eastAsia" w:ascii="宋体" w:hAnsi="宋体" w:eastAsia="宋体" w:cs="宋体"/>
                <w:sz w:val="24"/>
                <w:szCs w:val="24"/>
              </w:rPr>
            </w:pPr>
            <w:r>
              <w:rPr>
                <w:rFonts w:hint="eastAsia" w:ascii="宋体" w:hAnsi="宋体" w:eastAsia="宋体" w:cs="宋体"/>
                <w:sz w:val="24"/>
                <w:szCs w:val="24"/>
              </w:rPr>
              <w:t>2.扣分条款：</w:t>
            </w:r>
          </w:p>
          <w:p>
            <w:pPr>
              <w:spacing w:line="400" w:lineRule="exact"/>
              <w:rPr>
                <w:rFonts w:hint="eastAsia" w:ascii="宋体" w:hAnsi="宋体" w:eastAsia="宋体" w:cs="宋体"/>
                <w:sz w:val="24"/>
                <w:szCs w:val="24"/>
              </w:rPr>
            </w:pPr>
            <w:r>
              <w:rPr>
                <w:rFonts w:hint="eastAsia" w:ascii="宋体" w:hAnsi="宋体" w:eastAsia="宋体" w:cs="宋体"/>
                <w:sz w:val="24"/>
                <w:szCs w:val="24"/>
              </w:rPr>
              <w:t>2.1根据</w:t>
            </w:r>
            <w:r>
              <w:rPr>
                <w:rFonts w:hint="eastAsia" w:ascii="宋体" w:hAnsi="宋体" w:eastAsia="宋体" w:cs="宋体"/>
                <w:b/>
                <w:bCs/>
                <w:sz w:val="24"/>
                <w:szCs w:val="24"/>
                <w:lang w:val="en-US" w:eastAsia="zh-CN"/>
              </w:rPr>
              <w:t>主要设备技术参数表</w:t>
            </w:r>
            <w:r>
              <w:rPr>
                <w:rFonts w:hint="eastAsia" w:ascii="宋体" w:hAnsi="宋体" w:eastAsia="宋体" w:cs="宋体"/>
                <w:sz w:val="24"/>
                <w:szCs w:val="24"/>
              </w:rPr>
              <w:t>采购设备参数要求中重要参数中带（</w:t>
            </w:r>
            <w:r>
              <w:rPr>
                <w:rFonts w:hint="eastAsia" w:ascii="宋体" w:hAnsi="宋体" w:eastAsia="宋体" w:cs="宋体"/>
                <w:sz w:val="24"/>
                <w:szCs w:val="24"/>
                <w:lang w:val="en-US" w:eastAsia="zh-CN"/>
              </w:rPr>
              <w:t>※</w:t>
            </w:r>
            <w:r>
              <w:rPr>
                <w:rFonts w:hint="eastAsia" w:ascii="宋体" w:hAnsi="宋体" w:eastAsia="宋体" w:cs="宋体"/>
                <w:sz w:val="24"/>
                <w:szCs w:val="24"/>
              </w:rPr>
              <w:t>）号标注的部分有1条不满足的，从起评分中扣除</w:t>
            </w:r>
            <w:r>
              <w:rPr>
                <w:rFonts w:hint="eastAsia" w:ascii="宋体" w:hAnsi="宋体" w:eastAsia="宋体" w:cs="宋体"/>
                <w:sz w:val="24"/>
                <w:szCs w:val="24"/>
                <w:lang w:val="en-US" w:eastAsia="zh-CN"/>
              </w:rPr>
              <w:t>2</w:t>
            </w:r>
            <w:r>
              <w:rPr>
                <w:rFonts w:hint="eastAsia" w:ascii="宋体" w:hAnsi="宋体" w:eastAsia="宋体" w:cs="宋体"/>
                <w:sz w:val="24"/>
                <w:szCs w:val="24"/>
              </w:rPr>
              <w:t>分。</w:t>
            </w:r>
          </w:p>
          <w:p>
            <w:pPr>
              <w:spacing w:line="400" w:lineRule="exact"/>
              <w:rPr>
                <w:rFonts w:hint="eastAsia" w:ascii="宋体" w:hAnsi="宋体" w:eastAsia="宋体" w:cs="宋体"/>
                <w:sz w:val="24"/>
                <w:szCs w:val="24"/>
              </w:rPr>
            </w:pPr>
            <w:r>
              <w:rPr>
                <w:rFonts w:hint="eastAsia" w:ascii="宋体" w:hAnsi="宋体" w:eastAsia="宋体" w:cs="宋体"/>
                <w:sz w:val="24"/>
                <w:szCs w:val="24"/>
              </w:rPr>
              <w:t>2.2根据</w:t>
            </w:r>
            <w:r>
              <w:rPr>
                <w:rFonts w:hint="eastAsia" w:ascii="宋体" w:hAnsi="宋体" w:eastAsia="宋体" w:cs="宋体"/>
                <w:b/>
                <w:bCs/>
                <w:sz w:val="24"/>
                <w:szCs w:val="24"/>
                <w:lang w:val="en-US" w:eastAsia="zh-CN"/>
              </w:rPr>
              <w:t>主要设备技术参数表</w:t>
            </w:r>
            <w:r>
              <w:rPr>
                <w:rFonts w:hint="eastAsia" w:ascii="宋体" w:hAnsi="宋体" w:eastAsia="宋体" w:cs="宋体"/>
                <w:sz w:val="24"/>
                <w:szCs w:val="24"/>
              </w:rPr>
              <w:t>采购设备参数要求中一般参数中非（</w:t>
            </w:r>
            <w:r>
              <w:rPr>
                <w:rFonts w:hint="eastAsia" w:ascii="宋体" w:hAnsi="宋体" w:eastAsia="宋体" w:cs="宋体"/>
                <w:sz w:val="24"/>
                <w:szCs w:val="24"/>
                <w:lang w:val="en-US" w:eastAsia="zh-CN"/>
              </w:rPr>
              <w:t>※</w:t>
            </w:r>
            <w:r>
              <w:rPr>
                <w:rFonts w:hint="eastAsia" w:ascii="宋体" w:hAnsi="宋体" w:eastAsia="宋体" w:cs="宋体"/>
                <w:sz w:val="24"/>
                <w:szCs w:val="24"/>
              </w:rPr>
              <w:t>）号标注的部分有1条不满足的，从起评分中扣除</w:t>
            </w:r>
            <w:r>
              <w:rPr>
                <w:rFonts w:hint="eastAsia" w:ascii="宋体" w:hAnsi="宋体" w:eastAsia="宋体" w:cs="宋体"/>
                <w:sz w:val="24"/>
                <w:szCs w:val="24"/>
                <w:lang w:val="en-US" w:eastAsia="zh-CN"/>
              </w:rPr>
              <w:t>1</w:t>
            </w:r>
            <w:r>
              <w:rPr>
                <w:rFonts w:hint="eastAsia" w:ascii="宋体" w:hAnsi="宋体" w:eastAsia="宋体" w:cs="宋体"/>
                <w:sz w:val="24"/>
                <w:szCs w:val="24"/>
              </w:rPr>
              <w:t>分。</w:t>
            </w:r>
          </w:p>
        </w:tc>
        <w:tc>
          <w:tcPr>
            <w:tcW w:w="2446" w:type="dxa"/>
            <w:noWrap/>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lang w:eastAsia="zh-CN"/>
              </w:rPr>
              <w:t>参数表内</w:t>
            </w:r>
            <w:r>
              <w:rPr>
                <w:rFonts w:hint="eastAsia" w:ascii="宋体" w:hAnsi="宋体" w:eastAsia="宋体" w:cs="宋体"/>
                <w:sz w:val="24"/>
                <w:szCs w:val="24"/>
              </w:rPr>
              <w:t>序号</w:t>
            </w:r>
            <w:r>
              <w:rPr>
                <w:rFonts w:hint="eastAsia" w:ascii="宋体" w:hAnsi="宋体" w:eastAsia="宋体" w:cs="宋体"/>
                <w:sz w:val="24"/>
                <w:szCs w:val="24"/>
                <w:lang w:val="en-US" w:eastAsia="zh-CN"/>
              </w:rPr>
              <w:t>15</w:t>
            </w:r>
            <w:r>
              <w:rPr>
                <w:rFonts w:hint="eastAsia" w:ascii="宋体" w:hAnsi="宋体" w:eastAsia="宋体" w:cs="宋体"/>
                <w:sz w:val="24"/>
                <w:szCs w:val="24"/>
              </w:rPr>
              <w:t>参数需提供</w:t>
            </w:r>
            <w:r>
              <w:rPr>
                <w:rFonts w:hint="eastAsia" w:ascii="宋体" w:hAnsi="宋体" w:eastAsia="宋体" w:cs="宋体"/>
                <w:sz w:val="24"/>
                <w:szCs w:val="24"/>
                <w:lang w:val="en-US" w:eastAsia="zh-CN"/>
              </w:rPr>
              <w:t>检验报告，其余项参数需提供</w:t>
            </w:r>
            <w:r>
              <w:rPr>
                <w:rFonts w:hint="eastAsia" w:ascii="宋体" w:hAnsi="宋体" w:eastAsia="宋体" w:cs="宋体"/>
                <w:sz w:val="24"/>
                <w:szCs w:val="24"/>
              </w:rPr>
              <w:t>制造商公开发行的样本（整本）作佐证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vMerge w:val="continue"/>
            <w:noWrap/>
            <w:vAlign w:val="center"/>
          </w:tcPr>
          <w:p>
            <w:pPr>
              <w:spacing w:line="400" w:lineRule="exact"/>
              <w:rPr>
                <w:rFonts w:ascii="宋体" w:hAnsi="宋体" w:cs="宋体"/>
                <w:sz w:val="24"/>
                <w:szCs w:val="24"/>
              </w:rPr>
            </w:pPr>
          </w:p>
        </w:tc>
        <w:tc>
          <w:tcPr>
            <w:tcW w:w="1284" w:type="dxa"/>
            <w:vMerge w:val="continue"/>
            <w:noWrap/>
            <w:vAlign w:val="center"/>
          </w:tcPr>
          <w:p>
            <w:pPr>
              <w:spacing w:line="400" w:lineRule="exact"/>
              <w:rPr>
                <w:rFonts w:ascii="宋体" w:hAnsi="宋体" w:cs="宋体"/>
                <w:sz w:val="24"/>
                <w:szCs w:val="24"/>
              </w:rPr>
            </w:pPr>
          </w:p>
        </w:tc>
        <w:tc>
          <w:tcPr>
            <w:tcW w:w="1761" w:type="dxa"/>
            <w:noWrap/>
            <w:vAlign w:val="center"/>
          </w:tcPr>
          <w:p>
            <w:pPr>
              <w:tabs>
                <w:tab w:val="left" w:pos="1050"/>
              </w:tabs>
              <w:spacing w:line="240" w:lineRule="atLeas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设备专业技术</w:t>
            </w:r>
          </w:p>
          <w:p>
            <w:pPr>
              <w:tabs>
                <w:tab w:val="left" w:pos="1050"/>
              </w:tabs>
              <w:spacing w:line="240" w:lineRule="atLeas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（15）</w:t>
            </w:r>
          </w:p>
        </w:tc>
        <w:tc>
          <w:tcPr>
            <w:tcW w:w="3640" w:type="dxa"/>
            <w:noWrap/>
            <w:vAlign w:val="center"/>
          </w:tcPr>
          <w:p>
            <w:pPr>
              <w:spacing w:line="40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所投多联机室外机具有变蒸发温度控制技术得</w:t>
            </w:r>
            <w:r>
              <w:rPr>
                <w:rFonts w:hint="eastAsia" w:ascii="宋体" w:hAnsi="宋体" w:eastAsia="宋体" w:cs="宋体"/>
                <w:sz w:val="24"/>
                <w:szCs w:val="24"/>
                <w:lang w:val="en-US" w:eastAsia="zh-CN"/>
              </w:rPr>
              <w:t>5</w:t>
            </w:r>
            <w:r>
              <w:rPr>
                <w:rFonts w:hint="eastAsia" w:ascii="宋体" w:hAnsi="宋体" w:eastAsia="宋体" w:cs="宋体"/>
                <w:sz w:val="24"/>
                <w:szCs w:val="24"/>
              </w:rPr>
              <w:t>分，不满足不得分</w:t>
            </w:r>
            <w:r>
              <w:rPr>
                <w:rFonts w:hint="eastAsia" w:ascii="宋体" w:hAnsi="宋体" w:eastAsia="宋体" w:cs="宋体"/>
                <w:sz w:val="24"/>
                <w:szCs w:val="24"/>
                <w:lang w:eastAsia="zh-CN"/>
              </w:rPr>
              <w:t>；</w:t>
            </w:r>
          </w:p>
          <w:p>
            <w:pPr>
              <w:spacing w:line="40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所投多联机室外机具备电控冷媒散热技术得</w:t>
            </w:r>
            <w:r>
              <w:rPr>
                <w:rFonts w:hint="eastAsia" w:ascii="宋体" w:hAnsi="宋体" w:eastAsia="宋体" w:cs="宋体"/>
                <w:sz w:val="24"/>
                <w:szCs w:val="24"/>
                <w:lang w:val="en-US" w:eastAsia="zh-CN"/>
              </w:rPr>
              <w:t>5</w:t>
            </w:r>
            <w:r>
              <w:rPr>
                <w:rFonts w:hint="eastAsia" w:ascii="宋体" w:hAnsi="宋体" w:eastAsia="宋体" w:cs="宋体"/>
                <w:sz w:val="24"/>
                <w:szCs w:val="24"/>
              </w:rPr>
              <w:t>分，不满足不得分</w:t>
            </w:r>
            <w:r>
              <w:rPr>
                <w:rFonts w:hint="eastAsia" w:ascii="宋体" w:hAnsi="宋体" w:eastAsia="宋体" w:cs="宋体"/>
                <w:sz w:val="24"/>
                <w:szCs w:val="24"/>
                <w:lang w:eastAsia="zh-CN"/>
              </w:rPr>
              <w:t>；</w:t>
            </w:r>
          </w:p>
          <w:p>
            <w:pPr>
              <w:spacing w:line="400" w:lineRule="exac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所投多联机室外机具备芯片液冷恒温技术得</w:t>
            </w:r>
            <w:r>
              <w:rPr>
                <w:rFonts w:hint="eastAsia" w:ascii="宋体" w:hAnsi="宋体" w:eastAsia="宋体" w:cs="宋体"/>
                <w:sz w:val="24"/>
                <w:szCs w:val="24"/>
                <w:lang w:val="en-US" w:eastAsia="zh-CN"/>
              </w:rPr>
              <w:t>5</w:t>
            </w:r>
            <w:r>
              <w:rPr>
                <w:rFonts w:hint="eastAsia" w:ascii="宋体" w:hAnsi="宋体" w:eastAsia="宋体" w:cs="宋体"/>
                <w:sz w:val="24"/>
                <w:szCs w:val="24"/>
              </w:rPr>
              <w:t>分，不满足不得分。</w:t>
            </w:r>
          </w:p>
        </w:tc>
        <w:tc>
          <w:tcPr>
            <w:tcW w:w="2446" w:type="dxa"/>
            <w:noWrap/>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提供中国电器产品功能评价证书复印件并加盖投标人公章。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vMerge w:val="continue"/>
            <w:noWrap/>
            <w:vAlign w:val="center"/>
          </w:tcPr>
          <w:p>
            <w:pPr>
              <w:spacing w:line="400" w:lineRule="exact"/>
              <w:rPr>
                <w:rFonts w:ascii="宋体" w:hAnsi="宋体" w:cs="宋体"/>
                <w:sz w:val="24"/>
                <w:szCs w:val="24"/>
              </w:rPr>
            </w:pPr>
          </w:p>
        </w:tc>
        <w:tc>
          <w:tcPr>
            <w:tcW w:w="1284" w:type="dxa"/>
            <w:vMerge w:val="continue"/>
            <w:noWrap/>
            <w:vAlign w:val="center"/>
          </w:tcPr>
          <w:p>
            <w:pPr>
              <w:spacing w:line="400" w:lineRule="exact"/>
              <w:rPr>
                <w:rFonts w:ascii="宋体" w:hAnsi="宋体" w:cs="宋体"/>
                <w:sz w:val="24"/>
                <w:szCs w:val="24"/>
              </w:rPr>
            </w:pPr>
          </w:p>
        </w:tc>
        <w:tc>
          <w:tcPr>
            <w:tcW w:w="1761" w:type="dxa"/>
            <w:noWrap/>
            <w:vAlign w:val="center"/>
          </w:tcPr>
          <w:p>
            <w:pPr>
              <w:tabs>
                <w:tab w:val="left" w:pos="1050"/>
              </w:tabs>
              <w:spacing w:line="240" w:lineRule="atLeas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制造商售后水平</w:t>
            </w:r>
          </w:p>
          <w:p>
            <w:pPr>
              <w:tabs>
                <w:tab w:val="left" w:pos="1050"/>
              </w:tabs>
              <w:spacing w:line="240" w:lineRule="atLeas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w:t>
            </w:r>
          </w:p>
        </w:tc>
        <w:tc>
          <w:tcPr>
            <w:tcW w:w="3640" w:type="dxa"/>
            <w:noWrap/>
            <w:vAlign w:val="center"/>
          </w:tcPr>
          <w:p>
            <w:pPr>
              <w:spacing w:line="400" w:lineRule="exact"/>
              <w:rPr>
                <w:rFonts w:hint="eastAsia" w:ascii="宋体" w:hAnsi="宋体" w:eastAsia="宋体" w:cs="宋体"/>
                <w:sz w:val="24"/>
                <w:szCs w:val="24"/>
                <w:lang w:val="en-US" w:eastAsia="zh-CN"/>
              </w:rPr>
            </w:pPr>
            <w:r>
              <w:rPr>
                <w:rFonts w:hint="eastAsia" w:ascii="宋体" w:hAnsi="宋体" w:eastAsia="宋体" w:cs="宋体"/>
                <w:sz w:val="24"/>
                <w:szCs w:val="24"/>
              </w:rPr>
              <w:t>所投空调产品制造商通过售后服务体系完善程度认证，等级≥十二星级的得5分，十星级≤证书等级＜十二星级的得2分，其余情况不得分。</w:t>
            </w:r>
          </w:p>
        </w:tc>
        <w:tc>
          <w:tcPr>
            <w:tcW w:w="2446" w:type="dxa"/>
            <w:noWrap/>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提供证书复印件及全国认证认可信息公共服务平台网站查询截图并加盖投标人公章。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600" w:type="dxa"/>
            <w:vMerge w:val="restart"/>
            <w:noWrap/>
            <w:vAlign w:val="center"/>
          </w:tcPr>
          <w:p>
            <w:pPr>
              <w:spacing w:line="400" w:lineRule="exact"/>
              <w:rPr>
                <w:rFonts w:ascii="宋体" w:hAnsi="宋体" w:cs="宋体"/>
                <w:sz w:val="24"/>
                <w:szCs w:val="24"/>
              </w:rPr>
            </w:pPr>
            <w:r>
              <w:rPr>
                <w:rFonts w:hint="eastAsia" w:ascii="宋体" w:hAnsi="宋体" w:cs="宋体"/>
                <w:sz w:val="24"/>
                <w:szCs w:val="24"/>
              </w:rPr>
              <w:t>3</w:t>
            </w:r>
          </w:p>
        </w:tc>
        <w:tc>
          <w:tcPr>
            <w:tcW w:w="1284" w:type="dxa"/>
            <w:vMerge w:val="restart"/>
            <w:noWrap/>
            <w:vAlign w:val="center"/>
          </w:tcPr>
          <w:p>
            <w:pPr>
              <w:spacing w:line="400" w:lineRule="exact"/>
              <w:rPr>
                <w:rFonts w:ascii="宋体" w:hAnsi="宋体" w:cs="宋体"/>
                <w:sz w:val="24"/>
                <w:szCs w:val="24"/>
              </w:rPr>
            </w:pPr>
            <w:r>
              <w:rPr>
                <w:rFonts w:hint="eastAsia" w:ascii="宋体" w:hAnsi="宋体" w:cs="宋体"/>
                <w:sz w:val="24"/>
                <w:szCs w:val="24"/>
                <w:lang w:eastAsia="zh-CN"/>
              </w:rPr>
              <w:t>商务</w:t>
            </w:r>
            <w:r>
              <w:rPr>
                <w:rFonts w:hint="eastAsia" w:ascii="宋体" w:hAnsi="宋体" w:cs="宋体"/>
                <w:sz w:val="24"/>
                <w:szCs w:val="24"/>
              </w:rPr>
              <w:t>部分</w:t>
            </w:r>
          </w:p>
          <w:p>
            <w:pPr>
              <w:spacing w:line="400" w:lineRule="exac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30</w:t>
            </w:r>
            <w:r>
              <w:rPr>
                <w:rFonts w:hint="eastAsia" w:ascii="宋体" w:hAnsi="宋体" w:cs="宋体"/>
                <w:sz w:val="24"/>
                <w:szCs w:val="24"/>
              </w:rPr>
              <w:t>%）</w:t>
            </w:r>
          </w:p>
        </w:tc>
        <w:tc>
          <w:tcPr>
            <w:tcW w:w="1761" w:type="dxa"/>
            <w:vMerge w:val="restart"/>
            <w:noWrap/>
            <w:vAlign w:val="center"/>
          </w:tcPr>
          <w:p>
            <w:pPr>
              <w:pStyle w:val="5"/>
              <w:ind w:firstLine="0"/>
              <w:jc w:val="center"/>
            </w:pPr>
            <w:r>
              <w:rPr>
                <w:rFonts w:hint="eastAsia" w:hAnsi="宋体"/>
                <w:sz w:val="24"/>
                <w:szCs w:val="24"/>
                <w:lang w:eastAsia="zh-CN"/>
              </w:rPr>
              <w:t>制造商能力</w:t>
            </w:r>
            <w:r>
              <w:rPr>
                <w:rFonts w:hint="eastAsia" w:hAnsi="宋体"/>
                <w:sz w:val="24"/>
                <w:szCs w:val="24"/>
              </w:rPr>
              <w:t>（</w:t>
            </w:r>
            <w:r>
              <w:rPr>
                <w:rFonts w:hint="eastAsia" w:hAnsi="宋体"/>
                <w:sz w:val="24"/>
                <w:szCs w:val="24"/>
                <w:lang w:val="en-US" w:eastAsia="zh-CN"/>
              </w:rPr>
              <w:t>30</w:t>
            </w:r>
            <w:r>
              <w:rPr>
                <w:rFonts w:hint="eastAsia" w:hAnsi="宋体"/>
                <w:sz w:val="24"/>
                <w:szCs w:val="24"/>
              </w:rPr>
              <w:t>分）</w:t>
            </w:r>
          </w:p>
        </w:tc>
        <w:tc>
          <w:tcPr>
            <w:tcW w:w="3640" w:type="dxa"/>
            <w:noWrap/>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所投空调产品制造商</w:t>
            </w:r>
            <w:r>
              <w:rPr>
                <w:rFonts w:hint="eastAsia" w:ascii="宋体" w:hAnsi="宋体" w:cs="宋体"/>
                <w:sz w:val="24"/>
                <w:szCs w:val="24"/>
                <w:lang w:eastAsia="zh-CN"/>
              </w:rPr>
              <w:t>获得过一次</w:t>
            </w:r>
            <w:r>
              <w:rPr>
                <w:rFonts w:hint="eastAsia" w:ascii="宋体" w:hAnsi="宋体" w:eastAsia="宋体" w:cs="宋体"/>
                <w:sz w:val="24"/>
                <w:szCs w:val="24"/>
              </w:rPr>
              <w:t>“中国质量奖证书”得</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cs="宋体"/>
                <w:sz w:val="24"/>
                <w:szCs w:val="24"/>
                <w:lang w:eastAsia="zh-CN"/>
              </w:rPr>
              <w:t>获得过一次</w:t>
            </w:r>
            <w:r>
              <w:rPr>
                <w:rFonts w:hint="eastAsia" w:ascii="宋体" w:hAnsi="宋体" w:eastAsia="宋体" w:cs="宋体"/>
                <w:sz w:val="24"/>
                <w:szCs w:val="24"/>
              </w:rPr>
              <w:t>“中国质量奖提名奖证书”得</w:t>
            </w:r>
            <w:r>
              <w:rPr>
                <w:rFonts w:hint="eastAsia" w:ascii="宋体" w:hAnsi="宋体" w:eastAsia="宋体" w:cs="宋体"/>
                <w:sz w:val="24"/>
                <w:szCs w:val="24"/>
                <w:lang w:val="en-US" w:eastAsia="zh-CN"/>
              </w:rPr>
              <w:t>3</w:t>
            </w:r>
            <w:r>
              <w:rPr>
                <w:rFonts w:hint="eastAsia" w:ascii="宋体" w:hAnsi="宋体" w:eastAsia="宋体" w:cs="宋体"/>
                <w:sz w:val="24"/>
                <w:szCs w:val="24"/>
              </w:rPr>
              <w:t>分，本项最多得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r>
              <w:rPr>
                <w:rFonts w:hint="eastAsia" w:ascii="宋体" w:hAnsi="宋体" w:cs="宋体"/>
                <w:sz w:val="24"/>
                <w:szCs w:val="24"/>
                <w:lang w:eastAsia="zh-CN"/>
              </w:rPr>
              <w:t>未获奖</w:t>
            </w:r>
            <w:r>
              <w:rPr>
                <w:rFonts w:hint="eastAsia" w:ascii="宋体" w:hAnsi="宋体" w:eastAsia="宋体" w:cs="宋体"/>
                <w:sz w:val="24"/>
                <w:szCs w:val="24"/>
              </w:rPr>
              <w:t>的不得分。</w:t>
            </w:r>
          </w:p>
        </w:tc>
        <w:tc>
          <w:tcPr>
            <w:tcW w:w="2446" w:type="dxa"/>
            <w:noWrap/>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00" w:type="dxa"/>
            <w:vMerge w:val="continue"/>
            <w:noWrap/>
            <w:vAlign w:val="center"/>
          </w:tcPr>
          <w:p>
            <w:pPr>
              <w:spacing w:line="400" w:lineRule="exact"/>
              <w:rPr>
                <w:rFonts w:hint="eastAsia" w:ascii="宋体" w:hAnsi="宋体" w:cs="宋体"/>
                <w:sz w:val="24"/>
                <w:szCs w:val="24"/>
              </w:rPr>
            </w:pPr>
            <w:bookmarkStart w:id="32" w:name="_Toc54278997"/>
          </w:p>
        </w:tc>
        <w:tc>
          <w:tcPr>
            <w:tcW w:w="1284" w:type="dxa"/>
            <w:vMerge w:val="continue"/>
            <w:noWrap/>
            <w:vAlign w:val="center"/>
          </w:tcPr>
          <w:p>
            <w:pPr>
              <w:spacing w:line="400" w:lineRule="exact"/>
              <w:rPr>
                <w:rFonts w:hint="eastAsia" w:ascii="宋体" w:hAnsi="宋体" w:cs="宋体"/>
                <w:sz w:val="24"/>
                <w:szCs w:val="24"/>
              </w:rPr>
            </w:pPr>
          </w:p>
        </w:tc>
        <w:tc>
          <w:tcPr>
            <w:tcW w:w="1761" w:type="dxa"/>
            <w:vMerge w:val="continue"/>
            <w:noWrap/>
            <w:vAlign w:val="center"/>
          </w:tcPr>
          <w:p>
            <w:pPr>
              <w:pStyle w:val="5"/>
              <w:ind w:firstLine="0"/>
              <w:jc w:val="center"/>
              <w:rPr>
                <w:rFonts w:hint="eastAsia" w:hAnsi="宋体"/>
                <w:sz w:val="24"/>
                <w:szCs w:val="24"/>
                <w:lang w:eastAsia="zh-CN"/>
              </w:rPr>
            </w:pPr>
          </w:p>
        </w:tc>
        <w:tc>
          <w:tcPr>
            <w:tcW w:w="3640" w:type="dxa"/>
            <w:noWrap/>
            <w:vAlign w:val="center"/>
          </w:tcPr>
          <w:p>
            <w:pPr>
              <w:spacing w:line="400" w:lineRule="exact"/>
              <w:rPr>
                <w:rFonts w:hint="eastAsia" w:ascii="宋体" w:hAnsi="宋体" w:eastAsia="宋体" w:cs="宋体"/>
                <w:sz w:val="24"/>
                <w:szCs w:val="24"/>
                <w:lang w:val="en-US" w:eastAsia="zh-CN"/>
              </w:rPr>
            </w:pPr>
            <w:r>
              <w:rPr>
                <w:rFonts w:hint="eastAsia" w:ascii="宋体" w:hAnsi="宋体" w:eastAsia="宋体" w:cs="宋体"/>
                <w:sz w:val="24"/>
                <w:szCs w:val="24"/>
              </w:rPr>
              <w:t>所投空调产品制造商获得过国务院颁发的国家科学技术进步奖，有一个得</w:t>
            </w:r>
            <w:r>
              <w:rPr>
                <w:rFonts w:hint="eastAsia" w:ascii="宋体" w:hAnsi="宋体" w:eastAsia="宋体" w:cs="宋体"/>
                <w:sz w:val="24"/>
                <w:szCs w:val="24"/>
                <w:lang w:val="en-US" w:eastAsia="zh-CN"/>
              </w:rPr>
              <w:t>5</w:t>
            </w:r>
            <w:r>
              <w:rPr>
                <w:rFonts w:hint="eastAsia" w:ascii="宋体" w:hAnsi="宋体" w:eastAsia="宋体" w:cs="宋体"/>
                <w:sz w:val="24"/>
                <w:szCs w:val="24"/>
              </w:rPr>
              <w:t>分，最多得</w:t>
            </w:r>
            <w:r>
              <w:rPr>
                <w:rFonts w:hint="eastAsia" w:ascii="宋体" w:hAnsi="宋体" w:eastAsia="宋体" w:cs="宋体"/>
                <w:sz w:val="24"/>
                <w:szCs w:val="24"/>
                <w:lang w:val="en-US" w:eastAsia="zh-CN"/>
              </w:rPr>
              <w:t>10</w:t>
            </w:r>
            <w:r>
              <w:rPr>
                <w:rFonts w:hint="eastAsia" w:ascii="宋体" w:hAnsi="宋体" w:eastAsia="宋体" w:cs="宋体"/>
                <w:sz w:val="24"/>
                <w:szCs w:val="24"/>
              </w:rPr>
              <w:t>分，未提供不得分。</w:t>
            </w:r>
          </w:p>
        </w:tc>
        <w:tc>
          <w:tcPr>
            <w:tcW w:w="2446" w:type="dxa"/>
            <w:noWrap/>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6" w:hRule="atLeast"/>
          <w:jc w:val="center"/>
        </w:trPr>
        <w:tc>
          <w:tcPr>
            <w:tcW w:w="600" w:type="dxa"/>
            <w:vMerge w:val="continue"/>
            <w:noWrap/>
            <w:vAlign w:val="center"/>
          </w:tcPr>
          <w:p>
            <w:pPr>
              <w:spacing w:line="400" w:lineRule="exact"/>
              <w:rPr>
                <w:rFonts w:hint="eastAsia" w:ascii="宋体" w:hAnsi="宋体" w:cs="宋体"/>
                <w:sz w:val="24"/>
                <w:szCs w:val="24"/>
              </w:rPr>
            </w:pPr>
          </w:p>
        </w:tc>
        <w:tc>
          <w:tcPr>
            <w:tcW w:w="1284" w:type="dxa"/>
            <w:vMerge w:val="continue"/>
            <w:noWrap/>
            <w:vAlign w:val="center"/>
          </w:tcPr>
          <w:p>
            <w:pPr>
              <w:spacing w:line="400" w:lineRule="exact"/>
              <w:rPr>
                <w:rFonts w:hint="eastAsia" w:ascii="宋体" w:hAnsi="宋体" w:cs="宋体"/>
                <w:sz w:val="24"/>
                <w:szCs w:val="24"/>
              </w:rPr>
            </w:pPr>
          </w:p>
        </w:tc>
        <w:tc>
          <w:tcPr>
            <w:tcW w:w="1761" w:type="dxa"/>
            <w:vMerge w:val="continue"/>
            <w:noWrap/>
            <w:vAlign w:val="center"/>
          </w:tcPr>
          <w:p>
            <w:pPr>
              <w:pStyle w:val="5"/>
              <w:ind w:firstLine="0"/>
              <w:jc w:val="center"/>
              <w:rPr>
                <w:rFonts w:hint="eastAsia" w:hAnsi="宋体"/>
                <w:sz w:val="24"/>
                <w:szCs w:val="24"/>
                <w:lang w:eastAsia="zh-CN"/>
              </w:rPr>
            </w:pPr>
          </w:p>
        </w:tc>
        <w:tc>
          <w:tcPr>
            <w:tcW w:w="3640" w:type="dxa"/>
            <w:noWrap/>
            <w:vAlign w:val="center"/>
          </w:tcPr>
          <w:p>
            <w:pPr>
              <w:spacing w:line="400" w:lineRule="exact"/>
              <w:rPr>
                <w:rFonts w:hint="eastAsia" w:ascii="宋体" w:hAnsi="宋体" w:eastAsia="宋体" w:cs="宋体"/>
                <w:sz w:val="24"/>
                <w:szCs w:val="24"/>
                <w:lang w:val="en-US" w:eastAsia="zh-CN"/>
              </w:rPr>
            </w:pPr>
            <w:r>
              <w:rPr>
                <w:rFonts w:hint="eastAsia" w:ascii="宋体" w:hAnsi="宋体" w:eastAsia="宋体" w:cs="宋体"/>
                <w:sz w:val="24"/>
                <w:szCs w:val="24"/>
              </w:rPr>
              <w:t>所投空调产品制造商具有CNAS实验室认可证书得2分；所投空调产品制造商入选中国科学技术部评定的“国家级重点实验室”得</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sz w:val="24"/>
                <w:szCs w:val="24"/>
                <w:lang w:eastAsia="zh-CN"/>
              </w:rPr>
              <w:t>本项最多得</w:t>
            </w:r>
            <w:r>
              <w:rPr>
                <w:rFonts w:hint="eastAsia" w:ascii="宋体" w:hAnsi="宋体" w:eastAsia="宋体" w:cs="宋体"/>
                <w:sz w:val="24"/>
                <w:szCs w:val="24"/>
                <w:lang w:val="en-US" w:eastAsia="zh-CN"/>
              </w:rPr>
              <w:t>5分，</w:t>
            </w:r>
            <w:r>
              <w:rPr>
                <w:rFonts w:hint="eastAsia" w:ascii="宋体" w:hAnsi="宋体" w:eastAsia="宋体" w:cs="宋体"/>
                <w:sz w:val="24"/>
                <w:szCs w:val="24"/>
              </w:rPr>
              <w:t>不具备的不得分。</w:t>
            </w:r>
          </w:p>
        </w:tc>
        <w:tc>
          <w:tcPr>
            <w:tcW w:w="2446" w:type="dxa"/>
            <w:noWrap/>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提供证书复印件并加盖</w:t>
            </w:r>
            <w:r>
              <w:rPr>
                <w:rFonts w:hint="eastAsia" w:ascii="宋体" w:hAnsi="宋体" w:cs="宋体"/>
                <w:sz w:val="24"/>
                <w:szCs w:val="24"/>
                <w:lang w:eastAsia="zh-CN"/>
              </w:rPr>
              <w:t>投标人</w:t>
            </w:r>
            <w:r>
              <w:rPr>
                <w:rFonts w:hint="eastAsia" w:ascii="宋体" w:hAnsi="宋体" w:eastAsia="宋体" w:cs="宋体"/>
                <w:sz w:val="24"/>
                <w:szCs w:val="24"/>
              </w:rPr>
              <w:t>公章或提供中华人民共和国科学技术部评定的国家重点实验室清单截图加盖投标人公章。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vMerge w:val="continue"/>
            <w:noWrap/>
            <w:vAlign w:val="center"/>
          </w:tcPr>
          <w:p>
            <w:pPr>
              <w:spacing w:line="400" w:lineRule="exact"/>
              <w:rPr>
                <w:rFonts w:hint="eastAsia" w:ascii="宋体" w:hAnsi="宋体" w:cs="宋体"/>
                <w:sz w:val="24"/>
                <w:szCs w:val="24"/>
              </w:rPr>
            </w:pPr>
          </w:p>
        </w:tc>
        <w:tc>
          <w:tcPr>
            <w:tcW w:w="1284" w:type="dxa"/>
            <w:vMerge w:val="continue"/>
            <w:noWrap/>
            <w:vAlign w:val="center"/>
          </w:tcPr>
          <w:p>
            <w:pPr>
              <w:spacing w:line="400" w:lineRule="exact"/>
              <w:rPr>
                <w:rFonts w:hint="eastAsia" w:ascii="宋体" w:hAnsi="宋体" w:cs="宋体"/>
                <w:sz w:val="24"/>
                <w:szCs w:val="24"/>
              </w:rPr>
            </w:pPr>
          </w:p>
        </w:tc>
        <w:tc>
          <w:tcPr>
            <w:tcW w:w="1761" w:type="dxa"/>
            <w:vMerge w:val="continue"/>
            <w:noWrap/>
            <w:vAlign w:val="center"/>
          </w:tcPr>
          <w:p>
            <w:pPr>
              <w:pStyle w:val="5"/>
              <w:ind w:firstLine="0"/>
              <w:jc w:val="center"/>
              <w:rPr>
                <w:rFonts w:hint="eastAsia" w:hAnsi="宋体"/>
                <w:sz w:val="24"/>
                <w:szCs w:val="24"/>
                <w:lang w:eastAsia="zh-CN"/>
              </w:rPr>
            </w:pPr>
          </w:p>
        </w:tc>
        <w:tc>
          <w:tcPr>
            <w:tcW w:w="3640" w:type="dxa"/>
            <w:noWrap/>
            <w:vAlign w:val="center"/>
          </w:tcPr>
          <w:p>
            <w:pPr>
              <w:spacing w:line="400" w:lineRule="exact"/>
              <w:rPr>
                <w:rFonts w:hint="eastAsia" w:ascii="宋体" w:hAnsi="宋体" w:eastAsia="宋体" w:cs="宋体"/>
                <w:sz w:val="24"/>
                <w:szCs w:val="24"/>
                <w:lang w:val="en-US" w:eastAsia="zh-CN"/>
              </w:rPr>
            </w:pPr>
            <w:r>
              <w:rPr>
                <w:rFonts w:hint="eastAsia" w:ascii="宋体" w:hAnsi="宋体" w:eastAsia="宋体" w:cs="宋体"/>
                <w:sz w:val="24"/>
                <w:szCs w:val="24"/>
              </w:rPr>
              <w:t>在满足特定资格条件的基础上，每多提供</w:t>
            </w:r>
            <w:r>
              <w:rPr>
                <w:rFonts w:hint="eastAsia" w:ascii="宋体" w:hAnsi="宋体" w:cs="宋体"/>
                <w:sz w:val="24"/>
                <w:szCs w:val="24"/>
                <w:lang w:val="en-US" w:eastAsia="zh-CN"/>
              </w:rPr>
              <w:t>1</w:t>
            </w:r>
            <w:r>
              <w:rPr>
                <w:rFonts w:hint="eastAsia" w:ascii="宋体" w:hAnsi="宋体" w:cs="宋体"/>
                <w:sz w:val="24"/>
                <w:szCs w:val="24"/>
                <w:lang w:eastAsia="zh-CN"/>
              </w:rPr>
              <w:t>个得</w:t>
            </w:r>
            <w:r>
              <w:rPr>
                <w:rFonts w:hint="eastAsia" w:ascii="宋体" w:hAnsi="宋体" w:cs="宋体"/>
                <w:sz w:val="24"/>
                <w:szCs w:val="24"/>
                <w:lang w:val="en-US" w:eastAsia="zh-CN"/>
              </w:rPr>
              <w:t>1分</w:t>
            </w:r>
            <w:r>
              <w:rPr>
                <w:rFonts w:hint="eastAsia" w:ascii="宋体" w:hAnsi="宋体" w:eastAsia="宋体" w:cs="宋体"/>
                <w:sz w:val="24"/>
                <w:szCs w:val="24"/>
              </w:rPr>
              <w:t>，提供</w:t>
            </w:r>
            <w:r>
              <w:rPr>
                <w:rFonts w:hint="eastAsia" w:ascii="宋体" w:hAnsi="宋体" w:cs="宋体"/>
                <w:sz w:val="24"/>
                <w:szCs w:val="24"/>
                <w:lang w:val="en-US" w:eastAsia="zh-CN"/>
              </w:rPr>
              <w:t>2个得3分，</w:t>
            </w:r>
            <w:r>
              <w:rPr>
                <w:rFonts w:hint="eastAsia" w:ascii="宋体" w:hAnsi="宋体" w:eastAsia="宋体" w:cs="宋体"/>
                <w:sz w:val="24"/>
                <w:szCs w:val="24"/>
              </w:rPr>
              <w:t>提供</w:t>
            </w:r>
            <w:r>
              <w:rPr>
                <w:rFonts w:hint="eastAsia" w:ascii="宋体" w:hAnsi="宋体" w:cs="宋体"/>
                <w:sz w:val="24"/>
                <w:szCs w:val="24"/>
                <w:lang w:val="en-US" w:eastAsia="zh-CN"/>
              </w:rPr>
              <w:t>3个得5分。</w:t>
            </w:r>
          </w:p>
        </w:tc>
        <w:tc>
          <w:tcPr>
            <w:tcW w:w="2446" w:type="dxa"/>
            <w:noWrap/>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提供1、业绩合同复印件；2、中标通知书或网上（成交）结果</w:t>
            </w:r>
            <w:r>
              <w:rPr>
                <w:rFonts w:hint="eastAsia" w:ascii="宋体" w:hAnsi="宋体" w:cs="宋体"/>
                <w:sz w:val="24"/>
                <w:szCs w:val="24"/>
                <w:lang w:eastAsia="zh-CN"/>
              </w:rPr>
              <w:t>公告</w:t>
            </w:r>
            <w:r>
              <w:rPr>
                <w:rFonts w:hint="eastAsia" w:ascii="宋体" w:hAnsi="宋体" w:eastAsia="宋体" w:cs="宋体"/>
                <w:sz w:val="24"/>
                <w:szCs w:val="24"/>
              </w:rPr>
              <w:t>公示截图</w:t>
            </w:r>
            <w:r>
              <w:rPr>
                <w:rFonts w:hint="eastAsia" w:ascii="宋体" w:hAnsi="宋体" w:cs="宋体"/>
                <w:sz w:val="24"/>
                <w:szCs w:val="24"/>
                <w:lang w:eastAsia="zh-CN"/>
              </w:rPr>
              <w:t>；均需</w:t>
            </w:r>
            <w:r>
              <w:rPr>
                <w:rFonts w:hint="eastAsia" w:ascii="宋体" w:hAnsi="宋体" w:eastAsia="宋体" w:cs="宋体"/>
                <w:sz w:val="24"/>
                <w:szCs w:val="24"/>
              </w:rPr>
              <w:t>加盖投标人公章。</w:t>
            </w:r>
          </w:p>
        </w:tc>
      </w:tr>
    </w:tbl>
    <w:p>
      <w:pPr>
        <w:snapToGrid w:val="0"/>
        <w:spacing w:line="360" w:lineRule="auto"/>
        <w:ind w:firstLine="465"/>
        <w:rPr>
          <w:rFonts w:hint="eastAsia" w:ascii="宋体" w:hAnsi="宋体" w:cs="宋体"/>
          <w:sz w:val="24"/>
          <w:szCs w:val="24"/>
        </w:rPr>
      </w:pPr>
      <w:r>
        <w:rPr>
          <w:rFonts w:hint="eastAsia" w:ascii="宋体" w:hAnsi="宋体" w:cs="宋体"/>
          <w:sz w:val="24"/>
          <w:szCs w:val="24"/>
        </w:rPr>
        <w:t>所有计算及得分保留至小数点后两位，小数点后第三位四舍五入。</w:t>
      </w:r>
    </w:p>
    <w:p>
      <w:pPr>
        <w:snapToGrid w:val="0"/>
        <w:spacing w:line="360" w:lineRule="auto"/>
        <w:ind w:firstLine="465"/>
        <w:rPr>
          <w:rFonts w:hint="eastAsia" w:ascii="宋体" w:hAnsi="宋体" w:cs="宋体"/>
          <w:sz w:val="24"/>
          <w:szCs w:val="24"/>
          <w:lang w:val="en-US" w:eastAsia="zh-CN"/>
        </w:rPr>
      </w:pPr>
      <w:r>
        <w:rPr>
          <w:rFonts w:hint="eastAsia" w:ascii="宋体" w:hAnsi="宋体" w:cs="宋体"/>
          <w:sz w:val="24"/>
          <w:szCs w:val="24"/>
          <w:lang w:val="en-US" w:eastAsia="zh-CN"/>
        </w:rPr>
        <w:t>关于小微企业报价扣除比例说明</w:t>
      </w:r>
    </w:p>
    <w:p>
      <w:pPr>
        <w:snapToGrid w:val="0"/>
        <w:spacing w:line="360" w:lineRule="auto"/>
        <w:ind w:firstLine="465"/>
        <w:rPr>
          <w:rFonts w:hint="eastAsia" w:ascii="宋体" w:hAnsi="宋体" w:cs="宋体"/>
          <w:sz w:val="24"/>
          <w:szCs w:val="24"/>
          <w:lang w:val="en-US" w:eastAsia="zh-CN"/>
        </w:rPr>
      </w:pPr>
      <w:r>
        <w:rPr>
          <w:rFonts w:hint="eastAsia" w:ascii="宋体" w:hAnsi="宋体" w:cs="宋体"/>
          <w:sz w:val="24"/>
          <w:szCs w:val="24"/>
          <w:lang w:val="en-US" w:eastAsia="zh-CN"/>
        </w:rPr>
        <w:t>1.对小微型企业给予6%的扣除，以扣除后的报价参与评审。</w:t>
      </w:r>
    </w:p>
    <w:p>
      <w:pPr>
        <w:snapToGrid w:val="0"/>
        <w:spacing w:line="360" w:lineRule="auto"/>
        <w:ind w:firstLine="465"/>
        <w:rPr>
          <w:rFonts w:hint="eastAsia" w:ascii="宋体" w:hAnsi="宋体" w:cs="宋体"/>
          <w:sz w:val="24"/>
          <w:szCs w:val="24"/>
          <w:lang w:val="en-US" w:eastAsia="zh-CN"/>
        </w:rPr>
      </w:pPr>
      <w:r>
        <w:rPr>
          <w:rFonts w:hint="eastAsia" w:ascii="宋体" w:hAnsi="宋体" w:cs="宋体"/>
          <w:sz w:val="24"/>
          <w:szCs w:val="24"/>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sz w:val="24"/>
          <w:szCs w:val="24"/>
        </w:rPr>
      </w:pPr>
      <w:r>
        <w:rPr>
          <w:rFonts w:hint="eastAsia" w:ascii="宋体" w:hAnsi="宋体" w:cs="宋体"/>
          <w:b/>
          <w:bCs/>
          <w:sz w:val="24"/>
          <w:szCs w:val="24"/>
        </w:rPr>
        <w:t>三、无效响应</w:t>
      </w:r>
      <w:bookmarkEnd w:id="32"/>
    </w:p>
    <w:p>
      <w:pPr>
        <w:snapToGrid w:val="0"/>
        <w:spacing w:line="360" w:lineRule="auto"/>
        <w:ind w:firstLine="465"/>
        <w:rPr>
          <w:rFonts w:ascii="宋体" w:hAnsi="宋体" w:cs="宋体"/>
          <w:sz w:val="24"/>
          <w:szCs w:val="24"/>
        </w:rPr>
      </w:pPr>
      <w:bookmarkStart w:id="33" w:name="_Toc54278998"/>
      <w:r>
        <w:rPr>
          <w:rFonts w:hint="eastAsia" w:ascii="宋体" w:hAnsi="宋体" w:cs="宋体"/>
          <w:sz w:val="24"/>
          <w:szCs w:val="24"/>
        </w:rPr>
        <w:t>竞标人发生以下条款情况之一者，视为无效响应，其响应文件将被拒绝：</w:t>
      </w:r>
    </w:p>
    <w:p>
      <w:pPr>
        <w:snapToGrid w:val="0"/>
        <w:spacing w:line="360" w:lineRule="auto"/>
        <w:ind w:firstLine="465"/>
        <w:rPr>
          <w:rFonts w:ascii="宋体" w:hAnsi="宋体" w:cs="宋体"/>
          <w:sz w:val="24"/>
          <w:szCs w:val="24"/>
        </w:rPr>
      </w:pPr>
      <w:r>
        <w:rPr>
          <w:rFonts w:hint="eastAsia" w:ascii="宋体" w:hAnsi="宋体" w:cs="宋体"/>
          <w:sz w:val="24"/>
          <w:szCs w:val="24"/>
        </w:rPr>
        <w:t>（一）竞标人不符合规定的基本资格条件或特定资格条件的；</w:t>
      </w:r>
    </w:p>
    <w:p>
      <w:pPr>
        <w:snapToGrid w:val="0"/>
        <w:spacing w:line="360" w:lineRule="auto"/>
        <w:ind w:firstLine="465"/>
        <w:rPr>
          <w:rFonts w:ascii="宋体" w:hAnsi="宋体" w:cs="宋体"/>
          <w:sz w:val="24"/>
          <w:szCs w:val="24"/>
        </w:rPr>
      </w:pPr>
      <w:r>
        <w:rPr>
          <w:rFonts w:hint="eastAsia" w:ascii="宋体" w:hAnsi="宋体" w:cs="宋体"/>
          <w:sz w:val="24"/>
          <w:szCs w:val="24"/>
        </w:rPr>
        <w:t>（二）竞标人的法定代表人或其授权代表未参加磋商；</w:t>
      </w:r>
    </w:p>
    <w:p>
      <w:pPr>
        <w:snapToGrid w:val="0"/>
        <w:spacing w:line="360" w:lineRule="auto"/>
        <w:ind w:firstLine="465"/>
        <w:rPr>
          <w:rFonts w:ascii="宋体" w:hAnsi="宋体" w:cs="宋体"/>
          <w:sz w:val="24"/>
          <w:szCs w:val="24"/>
        </w:rPr>
      </w:pPr>
      <w:r>
        <w:rPr>
          <w:rFonts w:hint="eastAsia" w:ascii="宋体" w:hAnsi="宋体" w:cs="宋体"/>
          <w:sz w:val="24"/>
          <w:szCs w:val="24"/>
        </w:rPr>
        <w:t>（三）竞标人未按照竞争性磋商文件的要求缴纳磋商保证金；</w:t>
      </w:r>
    </w:p>
    <w:p>
      <w:pPr>
        <w:snapToGrid w:val="0"/>
        <w:spacing w:line="360" w:lineRule="auto"/>
        <w:ind w:firstLine="465"/>
        <w:rPr>
          <w:rFonts w:ascii="宋体" w:hAnsi="宋体" w:cs="宋体"/>
          <w:sz w:val="24"/>
          <w:szCs w:val="24"/>
        </w:rPr>
      </w:pPr>
      <w:r>
        <w:rPr>
          <w:rFonts w:hint="eastAsia" w:ascii="宋体" w:hAnsi="宋体" w:cs="宋体"/>
          <w:sz w:val="24"/>
          <w:szCs w:val="24"/>
        </w:rPr>
        <w:t>（四）竞标人所提交的响应文件不按第七篇“响应文件编制要求”规定编制或签字、盖章；</w:t>
      </w:r>
    </w:p>
    <w:p>
      <w:pPr>
        <w:snapToGrid w:val="0"/>
        <w:spacing w:line="360" w:lineRule="auto"/>
        <w:ind w:firstLine="465"/>
        <w:rPr>
          <w:rFonts w:ascii="宋体" w:hAnsi="宋体" w:cs="宋体"/>
          <w:sz w:val="24"/>
          <w:szCs w:val="24"/>
        </w:rPr>
      </w:pPr>
      <w:r>
        <w:rPr>
          <w:rFonts w:hint="eastAsia" w:ascii="宋体" w:hAnsi="宋体" w:cs="宋体"/>
          <w:sz w:val="24"/>
          <w:szCs w:val="24"/>
        </w:rPr>
        <w:t>（五）竞标人的最后报价超过采购预算的；</w:t>
      </w:r>
    </w:p>
    <w:p>
      <w:pPr>
        <w:snapToGrid w:val="0"/>
        <w:spacing w:line="360" w:lineRule="auto"/>
        <w:ind w:firstLine="465"/>
        <w:rPr>
          <w:rFonts w:ascii="宋体" w:hAnsi="宋体" w:cs="宋体"/>
          <w:sz w:val="24"/>
          <w:szCs w:val="24"/>
        </w:rPr>
      </w:pPr>
      <w:r>
        <w:rPr>
          <w:rFonts w:hint="eastAsia" w:ascii="宋体" w:hAnsi="宋体" w:cs="宋体"/>
          <w:sz w:val="24"/>
          <w:szCs w:val="24"/>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sz w:val="24"/>
          <w:szCs w:val="24"/>
        </w:rPr>
      </w:pPr>
      <w:r>
        <w:rPr>
          <w:rFonts w:hint="eastAsia" w:ascii="宋体" w:hAnsi="宋体" w:cs="宋体"/>
          <w:sz w:val="24"/>
          <w:szCs w:val="24"/>
        </w:rPr>
        <w:t>（七）单位负责人为同一人或者存在直接控股、管理关系的不同竞标人，参加同一合同项下的政府采购活动的；</w:t>
      </w:r>
    </w:p>
    <w:p>
      <w:pPr>
        <w:snapToGrid w:val="0"/>
        <w:spacing w:line="360" w:lineRule="auto"/>
        <w:ind w:firstLine="465"/>
        <w:rPr>
          <w:rFonts w:ascii="宋体" w:hAnsi="宋体" w:cs="宋体"/>
          <w:sz w:val="24"/>
          <w:szCs w:val="24"/>
        </w:rPr>
      </w:pPr>
      <w:r>
        <w:rPr>
          <w:rFonts w:hint="eastAsia" w:ascii="宋体" w:hAnsi="宋体" w:cs="宋体"/>
          <w:sz w:val="24"/>
          <w:szCs w:val="24"/>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sz w:val="24"/>
          <w:szCs w:val="24"/>
        </w:rPr>
      </w:pPr>
      <w:r>
        <w:rPr>
          <w:rFonts w:hint="eastAsia" w:ascii="宋体" w:hAnsi="宋体" w:cs="宋体"/>
          <w:sz w:val="24"/>
          <w:szCs w:val="24"/>
        </w:rPr>
        <w:t>（九）竞标人响应文件内容有与国家现行法律法规相违背的内容，或附有采购人无法接受的条件。</w:t>
      </w:r>
    </w:p>
    <w:p>
      <w:pPr>
        <w:snapToGrid w:val="0"/>
        <w:spacing w:line="360" w:lineRule="auto"/>
        <w:ind w:firstLine="465"/>
        <w:rPr>
          <w:rFonts w:ascii="宋体" w:hAnsi="宋体" w:cs="宋体"/>
          <w:sz w:val="24"/>
          <w:szCs w:val="24"/>
        </w:rPr>
      </w:pPr>
      <w:r>
        <w:rPr>
          <w:rFonts w:hint="eastAsia" w:ascii="宋体" w:hAnsi="宋体" w:cs="宋体"/>
          <w:sz w:val="24"/>
          <w:szCs w:val="24"/>
        </w:rPr>
        <w:t>（十）本磋商文件规定的其它情形。</w:t>
      </w:r>
    </w:p>
    <w:p>
      <w:pPr>
        <w:pStyle w:val="4"/>
        <w:spacing w:line="360" w:lineRule="auto"/>
        <w:rPr>
          <w:rFonts w:ascii="宋体" w:hAnsi="宋体" w:cs="宋体"/>
          <w:sz w:val="24"/>
          <w:szCs w:val="24"/>
        </w:rPr>
      </w:pPr>
      <w:r>
        <w:rPr>
          <w:rFonts w:hint="eastAsia" w:ascii="宋体" w:hAnsi="宋体" w:cs="宋体"/>
          <w:sz w:val="24"/>
          <w:szCs w:val="24"/>
        </w:rPr>
        <w:t>四、</w:t>
      </w:r>
      <w:bookmarkEnd w:id="30"/>
      <w:bookmarkEnd w:id="31"/>
      <w:r>
        <w:rPr>
          <w:rFonts w:hint="eastAsia" w:ascii="宋体" w:hAnsi="宋体" w:cs="宋体"/>
          <w:sz w:val="24"/>
          <w:szCs w:val="24"/>
        </w:rPr>
        <w:t>采购终止</w:t>
      </w:r>
      <w:bookmarkEnd w:id="33"/>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footerReference r:id="rId7" w:type="default"/>
          <w:pgSz w:w="11907" w:h="16840"/>
          <w:pgMar w:top="1134" w:right="1191" w:bottom="1134" w:left="1304" w:header="964" w:footer="992" w:gutter="0"/>
          <w:pgNumType w:fmt="numberInDash"/>
          <w:cols w:space="720" w:num="1"/>
          <w:docGrid w:linePitch="312" w:charSpace="0"/>
        </w:sectPr>
      </w:pPr>
    </w:p>
    <w:p>
      <w:pPr>
        <w:pStyle w:val="3"/>
        <w:spacing w:line="312" w:lineRule="auto"/>
        <w:jc w:val="center"/>
        <w:rPr>
          <w:rFonts w:ascii="宋体" w:hAnsi="宋体" w:eastAsia="宋体" w:cs="宋体"/>
          <w:bCs/>
          <w:szCs w:val="30"/>
        </w:rPr>
      </w:pPr>
      <w:bookmarkStart w:id="34" w:name="_Toc102227313"/>
      <w:bookmarkStart w:id="35" w:name="_Toc21400"/>
      <w:bookmarkStart w:id="36" w:name="_Toc25636"/>
      <w:bookmarkStart w:id="37" w:name="_Toc25652"/>
      <w:bookmarkStart w:id="38" w:name="_Toc11641055"/>
      <w:bookmarkStart w:id="39" w:name="_Toc12789059"/>
      <w:r>
        <w:rPr>
          <w:rFonts w:hint="eastAsia" w:ascii="宋体" w:hAnsi="宋体" w:eastAsia="宋体" w:cs="宋体"/>
          <w:bCs/>
          <w:sz w:val="36"/>
          <w:szCs w:val="30"/>
        </w:rPr>
        <w:t>第五篇  供应商须知</w:t>
      </w:r>
      <w:bookmarkEnd w:id="34"/>
      <w:bookmarkEnd w:id="35"/>
      <w:bookmarkEnd w:id="36"/>
      <w:bookmarkEnd w:id="37"/>
    </w:p>
    <w:p>
      <w:pPr>
        <w:pStyle w:val="4"/>
        <w:spacing w:before="0" w:after="0" w:line="360" w:lineRule="auto"/>
        <w:rPr>
          <w:rFonts w:ascii="宋体" w:hAnsi="宋体" w:cs="宋体"/>
          <w:sz w:val="24"/>
          <w:szCs w:val="24"/>
        </w:rPr>
      </w:pPr>
      <w:bookmarkStart w:id="40" w:name="_Toc24338"/>
      <w:bookmarkStart w:id="41" w:name="_Toc18058"/>
      <w:bookmarkStart w:id="42" w:name="_Toc342913389"/>
      <w:bookmarkStart w:id="43" w:name="_Toc465"/>
      <w:r>
        <w:rPr>
          <w:rFonts w:hint="eastAsia" w:ascii="宋体" w:hAnsi="宋体" w:cs="宋体"/>
          <w:sz w:val="24"/>
          <w:szCs w:val="24"/>
        </w:rPr>
        <w:t>一、磋商费用</w:t>
      </w:r>
      <w:bookmarkEnd w:id="40"/>
      <w:bookmarkEnd w:id="41"/>
      <w:bookmarkEnd w:id="42"/>
      <w:bookmarkEnd w:id="43"/>
    </w:p>
    <w:p>
      <w:pPr>
        <w:pStyle w:val="18"/>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4"/>
        <w:tabs>
          <w:tab w:val="left" w:pos="2640"/>
        </w:tabs>
        <w:spacing w:before="0" w:after="0" w:line="360" w:lineRule="auto"/>
        <w:rPr>
          <w:rFonts w:ascii="宋体" w:hAnsi="宋体" w:cs="宋体"/>
          <w:sz w:val="24"/>
          <w:szCs w:val="24"/>
        </w:rPr>
      </w:pPr>
      <w:bookmarkStart w:id="44" w:name="_Toc342913391"/>
      <w:bookmarkStart w:id="45" w:name="_Toc29852"/>
      <w:bookmarkStart w:id="46" w:name="_Toc889"/>
      <w:bookmarkStart w:id="47" w:name="_Toc9574"/>
      <w:r>
        <w:rPr>
          <w:rFonts w:hint="eastAsia" w:ascii="宋体" w:hAnsi="宋体" w:cs="宋体"/>
          <w:sz w:val="24"/>
          <w:szCs w:val="24"/>
        </w:rPr>
        <w:t>二、磋商</w:t>
      </w:r>
      <w:r>
        <w:rPr>
          <w:rFonts w:ascii="宋体" w:hAnsi="宋体" w:cs="宋体"/>
          <w:sz w:val="24"/>
          <w:szCs w:val="24"/>
        </w:rPr>
        <w:t>采购</w:t>
      </w:r>
      <w:r>
        <w:rPr>
          <w:rFonts w:hint="eastAsia" w:ascii="宋体" w:hAnsi="宋体" w:cs="宋体"/>
          <w:sz w:val="24"/>
          <w:szCs w:val="24"/>
        </w:rPr>
        <w:t>文件</w:t>
      </w:r>
      <w:bookmarkEnd w:id="44"/>
      <w:bookmarkEnd w:id="45"/>
      <w:bookmarkEnd w:id="46"/>
      <w:bookmarkEnd w:id="47"/>
    </w:p>
    <w:p>
      <w:pPr>
        <w:pStyle w:val="4"/>
        <w:spacing w:before="0" w:after="0" w:line="360" w:lineRule="auto"/>
        <w:ind w:firstLine="480" w:firstLineChars="200"/>
        <w:rPr>
          <w:rFonts w:ascii="宋体" w:hAnsi="宋体" w:cs="宋体"/>
          <w:b w:val="0"/>
          <w:sz w:val="24"/>
          <w:szCs w:val="24"/>
        </w:rPr>
      </w:pPr>
      <w:bookmarkStart w:id="48" w:name="_Toc1269"/>
      <w:bookmarkStart w:id="49" w:name="_Toc102227318"/>
      <w:bookmarkStart w:id="50" w:name="_Toc19161"/>
      <w:bookmarkStart w:id="51" w:name="_Toc342913392"/>
      <w:bookmarkStart w:id="52" w:name="_Toc16134"/>
      <w:bookmarkStart w:id="53" w:name="_Toc179714297"/>
      <w:r>
        <w:rPr>
          <w:rFonts w:hint="eastAsia" w:ascii="宋体" w:hAnsi="宋体" w:cs="宋体"/>
          <w:b w:val="0"/>
          <w:sz w:val="24"/>
          <w:szCs w:val="24"/>
        </w:rPr>
        <w:t>（一）竞争性磋商文件由采购邀请书、项目服务需求、供应商须知、项目商务需求、磋商程序及方法、评审标准、无效响应和采购终止、供应商须知、政府采购合同、响应文件编制要求七部分组成。</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（二）采购人所作的一切有效的书面通知、修改及补充，都是竞争性磋商文件不可分割的部分。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（三）竞争性磋商文件的解释</w:t>
      </w:r>
    </w:p>
    <w:p>
      <w:pPr>
        <w:pStyle w:val="4"/>
        <w:spacing w:before="0" w:after="0" w:line="360" w:lineRule="auto"/>
        <w:rPr>
          <w:rFonts w:ascii="宋体" w:hAnsi="宋体" w:cs="宋体"/>
          <w:b w:val="0"/>
          <w:sz w:val="24"/>
          <w:szCs w:val="24"/>
        </w:rPr>
      </w:pPr>
      <w:r>
        <w:rPr>
          <w:rFonts w:hint="eastAsia" w:ascii="宋体" w:hAnsi="宋体" w:cs="宋体"/>
          <w:b w:val="0"/>
          <w:sz w:val="24"/>
          <w:szCs w:val="24"/>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（四）本竞争性磋商文件中，磋商小组根据与供应商进行磋商可能实质性变动的内容为竞争性磋商文件第二、三、六篇全部内容。</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（五）评审的依据为竞争性磋商文件和响应文件（含有效的书面承诺）。磋商小组判断响应文件对竞争性磋商文件的响应，仅基于响应文件本身而不靠外部证据。</w:t>
      </w:r>
    </w:p>
    <w:p>
      <w:pPr>
        <w:pStyle w:val="4"/>
        <w:spacing w:before="0" w:after="0" w:line="360" w:lineRule="auto"/>
        <w:rPr>
          <w:rFonts w:ascii="宋体" w:hAnsi="宋体" w:cs="宋体"/>
          <w:sz w:val="24"/>
          <w:szCs w:val="24"/>
        </w:rPr>
      </w:pPr>
      <w:r>
        <w:rPr>
          <w:rFonts w:hint="eastAsia" w:ascii="宋体" w:hAnsi="宋体" w:cs="宋体"/>
          <w:sz w:val="24"/>
          <w:szCs w:val="24"/>
        </w:rPr>
        <w:t>三、磋商要求</w:t>
      </w:r>
      <w:bookmarkEnd w:id="48"/>
      <w:bookmarkEnd w:id="49"/>
      <w:bookmarkEnd w:id="50"/>
      <w:bookmarkEnd w:id="51"/>
      <w:bookmarkEnd w:id="52"/>
      <w:bookmarkEnd w:id="53"/>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bookmarkStart w:id="54" w:name="_Toc10966"/>
      <w:bookmarkStart w:id="55" w:name="_Toc13950"/>
      <w:bookmarkStart w:id="56" w:name="_Toc18360"/>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（二）磋商有效期：响应文件及有关承诺文件有效期为提交响应文件截止时间起90天。</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（三）修正错误</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1.若供应商所递交的响应文件或最后报价中的价格出现大写金额和小写金额不一致的错误，以大写金额修正为准。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（四）提交响应文件的份数和签署</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1.响应文件一式两份，其中正本一份，副本一份；副本可为正本的复印件，应与正本一致，如出现不一致情况以正本为准。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2.响应文件按竞争性磋商文件“第七篇响应文件编制要求”要求签署或盖章。</w:t>
      </w:r>
    </w:p>
    <w:p>
      <w:pPr>
        <w:pStyle w:val="4"/>
        <w:spacing w:before="0" w:after="0" w:line="360" w:lineRule="auto"/>
        <w:ind w:firstLine="240" w:firstLineChars="100"/>
        <w:rPr>
          <w:rFonts w:ascii="宋体" w:hAnsi="宋体" w:cs="宋体"/>
          <w:b w:val="0"/>
          <w:sz w:val="24"/>
          <w:szCs w:val="24"/>
        </w:rPr>
      </w:pPr>
      <w:r>
        <w:rPr>
          <w:rFonts w:hint="eastAsia" w:ascii="宋体" w:hAnsi="宋体" w:cs="宋体"/>
          <w:b w:val="0"/>
          <w:sz w:val="24"/>
          <w:szCs w:val="24"/>
        </w:rPr>
        <w:t>（五）响应文件的递交</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响应文件的正本、副本均应密封送达磋商地点，应在封套上注明磋商项目名称、供应商名称。若正本、副本分别进行密封的，还应在封套上注明“正本”、“副本”字样。</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（六）供应商参与人员</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各个供应商应当派1-2名代表参与磋商，至少1人应为法定代表人（或其授权代表）或自然人（供应商为自然人）。</w:t>
      </w:r>
    </w:p>
    <w:p>
      <w:pPr>
        <w:pStyle w:val="4"/>
        <w:spacing w:before="0" w:after="0" w:line="360" w:lineRule="auto"/>
        <w:rPr>
          <w:rFonts w:ascii="宋体" w:hAnsi="宋体" w:cs="宋体"/>
          <w:sz w:val="24"/>
          <w:szCs w:val="24"/>
        </w:rPr>
      </w:pPr>
      <w:r>
        <w:rPr>
          <w:rFonts w:hint="eastAsia" w:ascii="宋体" w:hAnsi="宋体" w:cs="宋体"/>
          <w:sz w:val="24"/>
          <w:szCs w:val="24"/>
        </w:rPr>
        <w:t>四、成交供应商的确认和变更</w:t>
      </w:r>
      <w:bookmarkEnd w:id="54"/>
      <w:bookmarkEnd w:id="55"/>
      <w:bookmarkEnd w:id="56"/>
    </w:p>
    <w:p>
      <w:pPr>
        <w:pStyle w:val="4"/>
        <w:spacing w:before="0" w:after="0" w:line="360" w:lineRule="auto"/>
        <w:ind w:firstLine="480" w:firstLineChars="200"/>
        <w:rPr>
          <w:rFonts w:ascii="宋体" w:hAnsi="宋体" w:cs="宋体"/>
          <w:b w:val="0"/>
          <w:sz w:val="24"/>
          <w:szCs w:val="24"/>
        </w:rPr>
      </w:pPr>
      <w:bookmarkStart w:id="57" w:name="_Toc342913395"/>
      <w:bookmarkStart w:id="58" w:name="_Toc9338"/>
      <w:bookmarkStart w:id="59" w:name="_Toc16678"/>
      <w:bookmarkStart w:id="60" w:name="_Toc12171"/>
      <w:bookmarkStart w:id="61" w:name="_Toc102227321"/>
      <w:r>
        <w:rPr>
          <w:rFonts w:hint="eastAsia" w:ascii="宋体" w:hAnsi="宋体" w:cs="宋体"/>
          <w:b w:val="0"/>
          <w:sz w:val="24"/>
          <w:szCs w:val="24"/>
        </w:rPr>
        <w:t>（一）成交供应商的确认</w:t>
      </w:r>
    </w:p>
    <w:p>
      <w:pPr>
        <w:pStyle w:val="4"/>
        <w:spacing w:before="0" w:after="0" w:line="360" w:lineRule="auto"/>
        <w:ind w:firstLine="480" w:firstLineChars="200"/>
        <w:rPr>
          <w:rFonts w:hint="eastAsia" w:ascii="宋体" w:hAnsi="宋体" w:cs="宋体"/>
          <w:b w:val="0"/>
          <w:sz w:val="24"/>
          <w:szCs w:val="24"/>
        </w:rPr>
      </w:pPr>
      <w:r>
        <w:rPr>
          <w:rFonts w:hint="eastAsia" w:ascii="宋体" w:hAnsi="宋体" w:cs="宋体"/>
          <w:b w:val="0"/>
          <w:sz w:val="24"/>
          <w:szCs w:val="24"/>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（二）成交供应商的变更</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成交供应商拒绝与采购人签订合同的，采购人可以按照评标报告推荐的成交候选供应商顺序，确定排名下一位的候选人为成交供应商，也可以重新开展政府采购活动。</w:t>
      </w:r>
    </w:p>
    <w:p>
      <w:pPr>
        <w:pStyle w:val="4"/>
        <w:spacing w:before="0" w:after="0" w:line="360" w:lineRule="auto"/>
        <w:rPr>
          <w:rFonts w:ascii="宋体" w:hAnsi="宋体" w:cs="宋体"/>
          <w:sz w:val="24"/>
          <w:szCs w:val="24"/>
        </w:rPr>
      </w:pPr>
      <w:r>
        <w:rPr>
          <w:rFonts w:hint="eastAsia" w:ascii="宋体" w:hAnsi="宋体" w:cs="宋体"/>
          <w:sz w:val="24"/>
          <w:szCs w:val="24"/>
        </w:rPr>
        <w:t>五、成交通知</w:t>
      </w:r>
      <w:bookmarkEnd w:id="57"/>
      <w:bookmarkEnd w:id="58"/>
      <w:bookmarkEnd w:id="59"/>
      <w:bookmarkEnd w:id="60"/>
      <w:bookmarkEnd w:id="61"/>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4"/>
        <w:spacing w:before="0" w:after="0" w:line="360" w:lineRule="auto"/>
        <w:rPr>
          <w:rFonts w:ascii="宋体" w:hAnsi="宋体" w:cs="宋体"/>
          <w:sz w:val="24"/>
          <w:szCs w:val="24"/>
        </w:rPr>
      </w:pPr>
      <w:bookmarkStart w:id="62" w:name="_Toc4498"/>
      <w:bookmarkStart w:id="63" w:name="_Toc1331"/>
      <w:bookmarkStart w:id="64" w:name="_Toc14603"/>
      <w:r>
        <w:rPr>
          <w:rFonts w:hint="eastAsia" w:ascii="宋体" w:hAnsi="宋体" w:cs="宋体"/>
          <w:sz w:val="24"/>
          <w:szCs w:val="24"/>
        </w:rPr>
        <w:t>六、关于咨询</w:t>
      </w:r>
      <w:bookmarkEnd w:id="62"/>
      <w:bookmarkEnd w:id="63"/>
      <w:bookmarkEnd w:id="64"/>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firstLine="480" w:firstLineChars="200"/>
        <w:rPr>
          <w:rFonts w:ascii="宋体" w:hAnsi="宋体" w:cs="宋体"/>
          <w:sz w:val="24"/>
          <w:szCs w:val="24"/>
        </w:rPr>
      </w:pPr>
      <w:r>
        <w:rPr>
          <w:rFonts w:hint="eastAsia" w:ascii="宋体" w:hAnsi="宋体" w:cs="宋体"/>
          <w:sz w:val="24"/>
          <w:szCs w:val="24"/>
        </w:rPr>
        <w:t>1.质疑时限、内容</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sz w:val="24"/>
          <w:szCs w:val="24"/>
        </w:rPr>
      </w:pPr>
      <w:r>
        <w:rPr>
          <w:rFonts w:hint="eastAsia" w:ascii="宋体" w:hAnsi="宋体" w:cs="宋体"/>
          <w:sz w:val="24"/>
          <w:szCs w:val="24"/>
        </w:rPr>
        <w:t>1.2供应商提出质疑应当提交质疑函和必要的证明材料，质疑函应当包括下列内容：</w:t>
      </w:r>
    </w:p>
    <w:p>
      <w:pPr>
        <w:spacing w:line="360" w:lineRule="auto"/>
        <w:ind w:firstLine="480" w:firstLineChars="200"/>
        <w:rPr>
          <w:rFonts w:ascii="宋体" w:hAnsi="宋体" w:cs="宋体"/>
          <w:sz w:val="24"/>
          <w:szCs w:val="24"/>
        </w:rPr>
      </w:pPr>
      <w:r>
        <w:rPr>
          <w:rFonts w:hint="eastAsia" w:ascii="宋体" w:hAnsi="宋体" w:cs="宋体"/>
          <w:sz w:val="24"/>
          <w:szCs w:val="24"/>
        </w:rPr>
        <w:t>1.2.1供应商的姓名或者名称、地址、邮编、联系人及联系电话；</w:t>
      </w:r>
    </w:p>
    <w:p>
      <w:pPr>
        <w:spacing w:line="360" w:lineRule="auto"/>
        <w:ind w:firstLine="480" w:firstLineChars="200"/>
        <w:rPr>
          <w:rFonts w:ascii="宋体" w:hAnsi="宋体" w:cs="宋体"/>
          <w:sz w:val="24"/>
          <w:szCs w:val="24"/>
        </w:rPr>
      </w:pPr>
      <w:r>
        <w:rPr>
          <w:rFonts w:hint="eastAsia" w:ascii="宋体" w:hAnsi="宋体" w:cs="宋体"/>
          <w:sz w:val="24"/>
          <w:szCs w:val="24"/>
        </w:rPr>
        <w:t>1.2.2质疑项目的名称、项目号以及磋商项目编号；</w:t>
      </w:r>
    </w:p>
    <w:p>
      <w:pPr>
        <w:spacing w:line="360" w:lineRule="auto"/>
        <w:ind w:firstLine="480" w:firstLineChars="200"/>
        <w:rPr>
          <w:rFonts w:ascii="宋体" w:hAnsi="宋体" w:cs="宋体"/>
          <w:sz w:val="24"/>
          <w:szCs w:val="24"/>
        </w:rPr>
      </w:pPr>
      <w:r>
        <w:rPr>
          <w:rFonts w:hint="eastAsia" w:ascii="宋体" w:hAnsi="宋体" w:cs="宋体"/>
          <w:sz w:val="24"/>
          <w:szCs w:val="24"/>
        </w:rPr>
        <w:t>1.2.3具体、明确的质疑事项和与质疑事项相关的请求；</w:t>
      </w:r>
    </w:p>
    <w:p>
      <w:pPr>
        <w:spacing w:line="360" w:lineRule="auto"/>
        <w:ind w:firstLine="480" w:firstLineChars="200"/>
        <w:rPr>
          <w:rFonts w:ascii="宋体" w:hAnsi="宋体" w:cs="宋体"/>
          <w:sz w:val="24"/>
          <w:szCs w:val="24"/>
        </w:rPr>
      </w:pPr>
      <w:r>
        <w:rPr>
          <w:rFonts w:hint="eastAsia" w:ascii="宋体" w:hAnsi="宋体" w:cs="宋体"/>
          <w:sz w:val="24"/>
          <w:szCs w:val="24"/>
        </w:rPr>
        <w:t>1.2.4事实依据；</w:t>
      </w:r>
    </w:p>
    <w:p>
      <w:pPr>
        <w:spacing w:line="360" w:lineRule="auto"/>
        <w:ind w:firstLine="480" w:firstLineChars="200"/>
        <w:rPr>
          <w:rFonts w:ascii="宋体" w:hAnsi="宋体" w:cs="宋体"/>
          <w:sz w:val="24"/>
          <w:szCs w:val="24"/>
        </w:rPr>
      </w:pPr>
      <w:r>
        <w:rPr>
          <w:rFonts w:hint="eastAsia" w:ascii="宋体" w:hAnsi="宋体" w:cs="宋体"/>
          <w:sz w:val="24"/>
          <w:szCs w:val="24"/>
        </w:rPr>
        <w:t>1.2.5必要的法律依据；</w:t>
      </w:r>
    </w:p>
    <w:p>
      <w:pPr>
        <w:spacing w:line="360" w:lineRule="auto"/>
        <w:ind w:firstLine="480" w:firstLineChars="200"/>
        <w:rPr>
          <w:rFonts w:ascii="宋体" w:hAnsi="宋体" w:cs="宋体"/>
          <w:sz w:val="24"/>
          <w:szCs w:val="24"/>
        </w:rPr>
      </w:pPr>
      <w:r>
        <w:rPr>
          <w:rFonts w:hint="eastAsia" w:ascii="宋体" w:hAnsi="宋体" w:cs="宋体"/>
          <w:sz w:val="24"/>
          <w:szCs w:val="24"/>
        </w:rPr>
        <w:t>1.2.6提出质疑的日期；</w:t>
      </w:r>
    </w:p>
    <w:p>
      <w:pPr>
        <w:spacing w:line="360" w:lineRule="auto"/>
        <w:ind w:firstLine="480" w:firstLineChars="200"/>
        <w:rPr>
          <w:rFonts w:ascii="宋体" w:hAnsi="宋体" w:cs="宋体"/>
          <w:sz w:val="24"/>
          <w:szCs w:val="24"/>
        </w:rPr>
      </w:pPr>
      <w:r>
        <w:rPr>
          <w:rFonts w:hint="eastAsia" w:ascii="宋体" w:hAnsi="宋体" w:cs="宋体"/>
          <w:sz w:val="24"/>
          <w:szCs w:val="24"/>
        </w:rPr>
        <w:t>1.2.7营业执照（或事业单位法人证书，或个体工商户营业执照或有效的自然人身份证明）复印件；</w:t>
      </w:r>
    </w:p>
    <w:p>
      <w:pPr>
        <w:spacing w:line="360" w:lineRule="auto"/>
        <w:ind w:firstLine="480" w:firstLineChars="200"/>
        <w:rPr>
          <w:rFonts w:ascii="宋体" w:hAnsi="宋体" w:cs="宋体"/>
          <w:sz w:val="24"/>
          <w:szCs w:val="24"/>
        </w:rPr>
      </w:pPr>
      <w:r>
        <w:rPr>
          <w:rFonts w:hint="eastAsia" w:ascii="宋体" w:hAnsi="宋体" w:cs="宋体"/>
          <w:sz w:val="24"/>
          <w:szCs w:val="24"/>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sz w:val="24"/>
          <w:szCs w:val="24"/>
        </w:rPr>
      </w:pPr>
      <w:r>
        <w:rPr>
          <w:rFonts w:hint="eastAsia" w:ascii="宋体" w:hAnsi="宋体" w:cs="宋体"/>
          <w:sz w:val="24"/>
          <w:szCs w:val="24"/>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2.质疑答复</w:t>
      </w:r>
    </w:p>
    <w:p>
      <w:pPr>
        <w:spacing w:line="360" w:lineRule="auto"/>
        <w:ind w:firstLine="480" w:firstLineChars="200"/>
        <w:rPr>
          <w:rFonts w:ascii="宋体" w:hAnsi="宋体" w:cs="宋体"/>
          <w:sz w:val="24"/>
          <w:szCs w:val="24"/>
        </w:rPr>
      </w:pPr>
      <w:r>
        <w:rPr>
          <w:rFonts w:hint="eastAsia" w:ascii="宋体" w:hAnsi="宋体" w:cs="宋体"/>
          <w:sz w:val="24"/>
          <w:szCs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firstLine="480" w:firstLineChars="200"/>
        <w:rPr>
          <w:rFonts w:ascii="宋体" w:hAnsi="宋体" w:cs="宋体"/>
          <w:sz w:val="24"/>
          <w:szCs w:val="24"/>
        </w:rPr>
      </w:pPr>
      <w:r>
        <w:rPr>
          <w:rFonts w:hint="eastAsia" w:ascii="宋体" w:hAnsi="宋体" w:cs="宋体"/>
          <w:sz w:val="24"/>
          <w:szCs w:val="24"/>
        </w:rPr>
        <w:t>3.其他</w:t>
      </w:r>
    </w:p>
    <w:p>
      <w:pPr>
        <w:spacing w:line="360" w:lineRule="auto"/>
        <w:ind w:firstLine="480" w:firstLineChars="200"/>
        <w:rPr>
          <w:rFonts w:ascii="宋体" w:hAnsi="宋体" w:cs="宋体"/>
          <w:sz w:val="24"/>
          <w:szCs w:val="24"/>
        </w:rPr>
      </w:pPr>
      <w:r>
        <w:rPr>
          <w:rFonts w:hint="eastAsia" w:ascii="宋体" w:hAnsi="宋体" w:cs="宋体"/>
          <w:sz w:val="24"/>
          <w:szCs w:val="24"/>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sz w:val="24"/>
          <w:szCs w:val="24"/>
        </w:rPr>
      </w:pPr>
      <w:r>
        <w:rPr>
          <w:rFonts w:hint="eastAsia" w:ascii="宋体" w:hAnsi="宋体" w:cs="宋体"/>
          <w:sz w:val="24"/>
          <w:szCs w:val="24"/>
        </w:rPr>
        <w:t>3.2质疑函范本可在财政部门户网站和中国政府采购网下载。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（二）投诉</w:t>
      </w:r>
    </w:p>
    <w:p>
      <w:pPr>
        <w:spacing w:line="360" w:lineRule="auto"/>
        <w:ind w:firstLine="480" w:firstLineChars="200"/>
        <w:rPr>
          <w:rFonts w:ascii="宋体" w:hAnsi="宋体" w:cs="宋体"/>
          <w:sz w:val="24"/>
          <w:szCs w:val="24"/>
        </w:rPr>
      </w:pPr>
      <w:r>
        <w:rPr>
          <w:rFonts w:hint="eastAsia" w:ascii="宋体" w:hAnsi="宋体" w:cs="宋体"/>
          <w:sz w:val="24"/>
          <w:szCs w:val="24"/>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360" w:lineRule="auto"/>
        <w:rPr>
          <w:rFonts w:ascii="宋体" w:hAnsi="宋体" w:cs="宋体"/>
          <w:sz w:val="24"/>
          <w:szCs w:val="24"/>
        </w:rPr>
      </w:pPr>
      <w:bookmarkStart w:id="65" w:name="_Toc102227322"/>
      <w:bookmarkStart w:id="66" w:name="_Toc9382"/>
      <w:bookmarkStart w:id="67" w:name="_Toc3254"/>
      <w:bookmarkStart w:id="68" w:name="_Toc9092"/>
      <w:bookmarkStart w:id="69" w:name="_Toc342913396"/>
      <w:r>
        <w:rPr>
          <w:rFonts w:hint="eastAsia" w:ascii="宋体" w:hAnsi="宋体" w:cs="宋体"/>
          <w:sz w:val="24"/>
          <w:szCs w:val="24"/>
        </w:rPr>
        <w:t>七、签订</w:t>
      </w:r>
      <w:bookmarkEnd w:id="65"/>
      <w:r>
        <w:rPr>
          <w:rFonts w:hint="eastAsia" w:ascii="宋体" w:hAnsi="宋体" w:cs="宋体"/>
          <w:sz w:val="24"/>
          <w:szCs w:val="24"/>
        </w:rPr>
        <w:t>合同</w:t>
      </w:r>
      <w:bookmarkEnd w:id="66"/>
      <w:bookmarkEnd w:id="67"/>
      <w:bookmarkEnd w:id="68"/>
      <w:bookmarkEnd w:id="69"/>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12"/>
        <w:tabs>
          <w:tab w:val="left" w:pos="1260"/>
          <w:tab w:val="left" w:pos="1685"/>
          <w:tab w:val="right" w:leader="dot" w:pos="8400"/>
        </w:tabs>
        <w:spacing w:line="360" w:lineRule="auto"/>
        <w:ind w:firstLine="0" w:firstLineChars="0"/>
        <w:rPr>
          <w:rFonts w:ascii="宋体" w:hAnsi="宋体" w:cs="宋体"/>
          <w:b/>
          <w:sz w:val="24"/>
          <w:szCs w:val="24"/>
        </w:rPr>
      </w:pPr>
      <w:r>
        <w:rPr>
          <w:rFonts w:hint="eastAsia" w:ascii="宋体" w:hAnsi="宋体" w:cs="宋体"/>
          <w:b/>
          <w:sz w:val="24"/>
          <w:szCs w:val="24"/>
        </w:rPr>
        <w:t>八、政府采购信用融资</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3"/>
        <w:spacing w:line="360" w:lineRule="auto"/>
        <w:jc w:val="both"/>
        <w:rPr>
          <w:rFonts w:ascii="宋体" w:hAnsi="宋体" w:eastAsia="宋体" w:cs="宋体"/>
          <w:b w:val="0"/>
          <w:sz w:val="36"/>
          <w:szCs w:val="30"/>
        </w:rPr>
      </w:pPr>
      <w:r>
        <w:rPr>
          <w:rFonts w:hint="eastAsia" w:ascii="宋体" w:hAnsi="宋体" w:eastAsia="宋体" w:cs="宋体"/>
          <w:b w:val="0"/>
          <w:kern w:val="2"/>
          <w:sz w:val="24"/>
          <w:szCs w:val="24"/>
          <w:lang w:val="en-US" w:eastAsia="zh-CN" w:bidi="ar-SA"/>
        </w:rPr>
        <w:t>18580766891。</w:t>
      </w:r>
      <w:r>
        <w:rPr>
          <w:rFonts w:hint="eastAsia" w:ascii="宋体" w:hAnsi="宋体" w:eastAsia="宋体" w:cs="宋体"/>
          <w:sz w:val="36"/>
          <w:szCs w:val="30"/>
        </w:rPr>
        <w:br w:type="page"/>
      </w:r>
      <w:bookmarkStart w:id="70" w:name="_Toc54279010"/>
      <w:r>
        <w:rPr>
          <w:rFonts w:hint="eastAsia" w:ascii="宋体" w:hAnsi="宋体" w:eastAsia="宋体" w:cs="宋体"/>
          <w:b w:val="0"/>
          <w:sz w:val="36"/>
          <w:szCs w:val="30"/>
        </w:rPr>
        <w:t xml:space="preserve">第六篇  </w:t>
      </w:r>
      <w:bookmarkEnd w:id="38"/>
      <w:bookmarkEnd w:id="39"/>
      <w:r>
        <w:rPr>
          <w:rFonts w:hint="eastAsia" w:ascii="宋体" w:hAnsi="宋体" w:eastAsia="宋体" w:cs="宋体"/>
          <w:b w:val="0"/>
          <w:sz w:val="36"/>
          <w:szCs w:val="30"/>
        </w:rPr>
        <w:t>合同</w:t>
      </w:r>
      <w:bookmarkEnd w:id="70"/>
    </w:p>
    <w:p>
      <w:pPr>
        <w:tabs>
          <w:tab w:val="left" w:pos="9000"/>
        </w:tabs>
        <w:spacing w:line="360" w:lineRule="auto"/>
        <w:jc w:val="center"/>
        <w:rPr>
          <w:rFonts w:ascii="宋体" w:hAnsi="宋体" w:cs="宋体"/>
          <w:sz w:val="21"/>
          <w:szCs w:val="21"/>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sz w:val="44"/>
        </w:rPr>
        <w:t>格式自拟</w:t>
      </w:r>
    </w:p>
    <w:p>
      <w:pPr>
        <w:pStyle w:val="3"/>
        <w:spacing w:before="0" w:after="0" w:line="312" w:lineRule="auto"/>
        <w:jc w:val="center"/>
        <w:rPr>
          <w:rFonts w:ascii="宋体" w:hAnsi="宋体" w:eastAsia="宋体" w:cs="宋体"/>
          <w:bCs/>
          <w:color w:val="auto"/>
          <w:sz w:val="36"/>
          <w:szCs w:val="30"/>
          <w:highlight w:val="none"/>
        </w:rPr>
      </w:pPr>
      <w:bookmarkStart w:id="71" w:name="_Hlt41879464"/>
      <w:bookmarkEnd w:id="71"/>
      <w:bookmarkStart w:id="72" w:name="_Toc12789072"/>
      <w:bookmarkStart w:id="73" w:name="_Toc3907"/>
      <w:bookmarkStart w:id="74" w:name="_Toc29402"/>
      <w:bookmarkStart w:id="75" w:name="_Toc32160"/>
      <w:bookmarkStart w:id="76" w:name="_Toc54279012"/>
      <w:bookmarkStart w:id="77" w:name="_Toc342913419"/>
      <w:bookmarkStart w:id="78" w:name="_Toc313008356"/>
      <w:bookmarkStart w:id="79" w:name="_Toc313888360"/>
      <w:bookmarkStart w:id="80" w:name="_Toc12789073"/>
      <w:bookmarkStart w:id="81" w:name="_Toc283382454"/>
      <w:r>
        <w:rPr>
          <w:rFonts w:hint="eastAsia" w:ascii="宋体" w:hAnsi="宋体" w:eastAsia="宋体" w:cs="宋体"/>
          <w:bCs/>
          <w:color w:val="auto"/>
          <w:sz w:val="36"/>
          <w:szCs w:val="30"/>
          <w:highlight w:val="none"/>
        </w:rPr>
        <w:t xml:space="preserve">第七篇  </w:t>
      </w:r>
      <w:bookmarkEnd w:id="72"/>
      <w:r>
        <w:rPr>
          <w:rFonts w:hint="eastAsia" w:ascii="宋体" w:hAnsi="宋体" w:eastAsia="宋体" w:cs="宋体"/>
          <w:bCs/>
          <w:color w:val="auto"/>
          <w:sz w:val="36"/>
          <w:szCs w:val="30"/>
          <w:highlight w:val="none"/>
        </w:rPr>
        <w:t>响应文件编制要求</w:t>
      </w:r>
      <w:bookmarkEnd w:id="73"/>
      <w:bookmarkEnd w:id="74"/>
      <w:bookmarkEnd w:id="75"/>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一、经济部分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二、服务部分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三、商务部分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（二）其它优惠服务承诺（格式自定）</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四、资格条件及其他</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五、其他资料</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（三）其他与项目有关的资料</w:t>
      </w: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ascii="宋体" w:hAnsi="宋体" w:cs="宋体"/>
          <w:sz w:val="24"/>
          <w:szCs w:val="24"/>
        </w:rPr>
      </w:pPr>
      <w:r>
        <w:rPr>
          <w:rFonts w:hint="eastAsia" w:ascii="宋体" w:hAnsi="宋体" w:cs="宋体"/>
          <w:sz w:val="24"/>
          <w:szCs w:val="24"/>
        </w:rPr>
        <w:t>一、经济部分</w:t>
      </w:r>
      <w:bookmarkEnd w:id="76"/>
      <w:bookmarkEnd w:id="77"/>
      <w:bookmarkEnd w:id="78"/>
      <w:bookmarkEnd w:id="79"/>
    </w:p>
    <w:bookmarkEnd w:id="80"/>
    <w:bookmarkEnd w:id="81"/>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（一）竞争性磋商报价函</w:t>
      </w:r>
    </w:p>
    <w:p>
      <w:pPr>
        <w:jc w:val="center"/>
        <w:rPr>
          <w:rFonts w:ascii="宋体" w:hAnsi="宋体" w:cs="宋体"/>
          <w:b/>
          <w:szCs w:val="28"/>
        </w:rPr>
      </w:pPr>
      <w:r>
        <w:rPr>
          <w:rFonts w:hint="eastAsia" w:ascii="宋体" w:hAnsi="宋体" w:cs="宋体"/>
          <w:b/>
          <w:szCs w:val="28"/>
        </w:rPr>
        <w:t>竞争性磋商报价函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1、愿意按照竞争性磋商文件中的一切要求，提供本项目的服务费初始报价为人民币：</w:t>
      </w:r>
      <w:r>
        <w:rPr>
          <w:rFonts w:hint="eastAsia" w:ascii="宋体" w:hAnsi="宋体" w:cs="宋体"/>
          <w:sz w:val="24"/>
          <w:szCs w:val="24"/>
          <w:u w:val="single"/>
        </w:rPr>
        <w:t>       </w:t>
      </w:r>
      <w:r>
        <w:rPr>
          <w:rFonts w:hint="eastAsia" w:ascii="宋体" w:hAnsi="宋体" w:cs="宋体"/>
          <w:sz w:val="24"/>
          <w:szCs w:val="24"/>
          <w:u w:val="none"/>
        </w:rPr>
        <w:t>元</w:t>
      </w:r>
      <w:r>
        <w:rPr>
          <w:rFonts w:hint="eastAsia" w:ascii="宋体" w:hAnsi="宋体" w:cs="宋体"/>
          <w:sz w:val="24"/>
          <w:szCs w:val="24"/>
          <w:u w:val="none"/>
          <w:lang w:eastAsia="zh-CN"/>
        </w:rPr>
        <w:t>，大写：</w:t>
      </w:r>
      <w:r>
        <w:rPr>
          <w:rFonts w:hint="eastAsia" w:ascii="宋体" w:hAnsi="宋体" w:cs="宋体"/>
          <w:sz w:val="24"/>
          <w:szCs w:val="24"/>
          <w:u w:val="single"/>
          <w:lang w:val="en-US" w:eastAsia="zh-CN"/>
        </w:rPr>
        <w:t xml:space="preserve">           </w:t>
      </w:r>
      <w:r>
        <w:rPr>
          <w:rFonts w:hint="eastAsia" w:ascii="宋体" w:hAnsi="宋体" w:cs="宋体"/>
          <w:sz w:val="24"/>
          <w:szCs w:val="24"/>
        </w:rPr>
        <w:t>。以我公司最后报价为准。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2.我方现提交的响应文件为：响应文件正本1份，副本1份。</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3、我方承诺：本次磋商的有效期为</w:t>
      </w:r>
      <w:r>
        <w:rPr>
          <w:rFonts w:hint="eastAsia" w:ascii="宋体" w:hAnsi="宋体" w:cs="宋体"/>
          <w:sz w:val="24"/>
          <w:szCs w:val="24"/>
          <w:u w:val="single"/>
        </w:rPr>
        <w:t>90</w:t>
      </w:r>
      <w:r>
        <w:rPr>
          <w:rFonts w:hint="eastAsia" w:ascii="宋体" w:hAnsi="宋体" w:cs="宋体"/>
          <w:sz w:val="24"/>
          <w:szCs w:val="24"/>
        </w:rPr>
        <w:t>天。</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sz w:val="24"/>
          <w:szCs w:val="24"/>
        </w:rPr>
      </w:pPr>
      <w:r>
        <w:rPr>
          <w:rFonts w:hint="eastAsia" w:ascii="宋体" w:hAnsi="宋体" w:cs="宋体"/>
          <w:sz w:val="24"/>
          <w:szCs w:val="24"/>
        </w:rPr>
        <w:t>9、我方未为采购项目提供整体设计、规范编制或者项目管理、监理、检测等服务。</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竞标人（公章）：</w:t>
      </w:r>
    </w:p>
    <w:p>
      <w:pPr>
        <w:snapToGrid w:val="0"/>
        <w:spacing w:line="312" w:lineRule="auto"/>
        <w:ind w:firstLine="480" w:firstLineChars="200"/>
        <w:rPr>
          <w:rFonts w:ascii="宋体" w:hAnsi="宋体" w:cs="宋体"/>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pStyle w:val="4"/>
        <w:spacing w:before="0" w:after="0" w:line="312" w:lineRule="auto"/>
        <w:rPr>
          <w:rFonts w:ascii="宋体" w:hAnsi="宋体" w:cs="宋体"/>
          <w:color w:val="auto"/>
          <w:sz w:val="24"/>
          <w:szCs w:val="24"/>
          <w:highlight w:val="none"/>
        </w:rPr>
      </w:pPr>
      <w:bookmarkStart w:id="82" w:name="_Toc9573"/>
      <w:bookmarkStart w:id="83" w:name="_Toc24044"/>
      <w:bookmarkStart w:id="84" w:name="_Toc313888361"/>
      <w:bookmarkStart w:id="85" w:name="_Toc342913420"/>
      <w:bookmarkStart w:id="86" w:name="_Toc313008357"/>
      <w:bookmarkStart w:id="87" w:name="_Toc5448"/>
      <w:r>
        <w:rPr>
          <w:rFonts w:hint="eastAsia" w:ascii="宋体" w:hAnsi="宋体" w:cs="宋体"/>
          <w:color w:val="auto"/>
          <w:sz w:val="24"/>
          <w:szCs w:val="24"/>
          <w:highlight w:val="none"/>
        </w:rPr>
        <w:t>二、服务部分</w:t>
      </w:r>
      <w:bookmarkEnd w:id="82"/>
      <w:bookmarkEnd w:id="83"/>
      <w:bookmarkEnd w:id="84"/>
      <w:bookmarkEnd w:id="85"/>
      <w:bookmarkEnd w:id="86"/>
      <w:bookmarkEnd w:id="87"/>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8"/>
        <w:tabs>
          <w:tab w:val="left" w:pos="6300"/>
        </w:tabs>
        <w:snapToGrid w:val="0"/>
        <w:spacing w:line="312" w:lineRule="auto"/>
        <w:ind w:firstLine="480" w:firstLineChars="200"/>
        <w:outlineLvl w:val="0"/>
        <w:rPr>
          <w:rFonts w:ascii="宋体" w:hAnsi="宋体" w:cs="宋体"/>
          <w:color w:val="auto"/>
          <w:sz w:val="24"/>
          <w:highlight w:val="none"/>
        </w:rPr>
      </w:pPr>
    </w:p>
    <w:p>
      <w:pPr>
        <w:pStyle w:val="8"/>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w:t>
      </w:r>
      <w:r>
        <w:rPr>
          <w:rFonts w:hint="eastAsia" w:ascii="宋体" w:hAnsi="宋体" w:cs="宋体"/>
          <w:color w:val="auto"/>
          <w:sz w:val="24"/>
          <w:highlight w:val="none"/>
          <w:lang w:eastAsia="zh-CN"/>
        </w:rPr>
        <w:t>服务</w:t>
      </w:r>
      <w:r>
        <w:rPr>
          <w:rFonts w:hint="eastAsia" w:ascii="宋体" w:hAnsi="宋体" w:cs="宋体"/>
          <w:color w:val="auto"/>
          <w:sz w:val="24"/>
          <w:highlight w:val="none"/>
        </w:rPr>
        <w:t>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88" w:name="_Toc9361"/>
      <w:bookmarkStart w:id="89" w:name="_Toc30652"/>
      <w:bookmarkStart w:id="90" w:name="_Toc313008358"/>
      <w:bookmarkStart w:id="91" w:name="_Toc5445"/>
      <w:bookmarkStart w:id="92" w:name="_Toc313888362"/>
      <w:bookmarkStart w:id="93" w:name="_Toc342913421"/>
      <w:r>
        <w:rPr>
          <w:rFonts w:hint="eastAsia" w:ascii="宋体" w:hAnsi="宋体" w:cs="宋体"/>
          <w:color w:val="auto"/>
          <w:sz w:val="24"/>
          <w:szCs w:val="24"/>
          <w:highlight w:val="none"/>
        </w:rPr>
        <w:t>三、商务部分</w:t>
      </w:r>
      <w:bookmarkEnd w:id="88"/>
      <w:bookmarkEnd w:id="89"/>
      <w:bookmarkEnd w:id="90"/>
      <w:bookmarkEnd w:id="91"/>
      <w:bookmarkEnd w:id="92"/>
      <w:bookmarkEnd w:id="93"/>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94"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4"/>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4"/>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94"/>
      <w:bookmarkStart w:id="95" w:name="_Toc13012"/>
      <w:bookmarkStart w:id="96" w:name="_Toc10102"/>
      <w:bookmarkStart w:id="97" w:name="_Toc5971"/>
      <w:bookmarkStart w:id="98" w:name="_Toc313888363"/>
      <w:bookmarkStart w:id="99" w:name="_Toc313008359"/>
      <w:bookmarkStart w:id="100" w:name="_Toc342913422"/>
      <w:r>
        <w:rPr>
          <w:rFonts w:hint="eastAsia" w:ascii="宋体" w:hAnsi="宋体" w:cs="宋体"/>
          <w:color w:val="auto"/>
          <w:sz w:val="24"/>
          <w:szCs w:val="24"/>
          <w:highlight w:val="none"/>
        </w:rPr>
        <w:t>四、资格条件及其他</w:t>
      </w:r>
      <w:bookmarkEnd w:id="95"/>
      <w:bookmarkEnd w:id="96"/>
      <w:bookmarkEnd w:id="97"/>
      <w:bookmarkEnd w:id="98"/>
      <w:bookmarkEnd w:id="99"/>
      <w:bookmarkEnd w:id="100"/>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3"/>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1" w:name="_Toc76462354"/>
      <w:bookmarkStart w:id="102" w:name="_Toc106030910"/>
      <w:bookmarkStart w:id="103" w:name="_Toc14422"/>
      <w:r>
        <w:rPr>
          <w:rFonts w:hint="eastAsia" w:asciiTheme="minorEastAsia" w:hAnsiTheme="minorEastAsia" w:eastAsiaTheme="minorEastAsia" w:cstheme="minorEastAsia"/>
          <w:color w:val="auto"/>
          <w:sz w:val="24"/>
          <w:highlight w:val="none"/>
        </w:rPr>
        <w:t>五、其他资料</w:t>
      </w:r>
      <w:bookmarkEnd w:id="101"/>
      <w:bookmarkEnd w:id="102"/>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03"/>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60" w:lineRule="auto"/>
        <w:rPr>
          <w:rFonts w:ascii="黑体" w:hAnsi="黑体" w:eastAsia="黑体" w:cs="黑体"/>
          <w:color w:val="auto"/>
          <w:sz w:val="36"/>
          <w:szCs w:val="36"/>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color w:val="auto"/>
          <w:highlight w:val="none"/>
        </w:rPr>
      </w:pPr>
      <w:r>
        <w:rPr>
          <w:rFonts w:hint="eastAsia" w:ascii="宋体" w:hAnsi="宋体" w:cs="宋体"/>
          <w:color w:val="auto"/>
          <w:sz w:val="24"/>
          <w:szCs w:val="24"/>
          <w:highlight w:val="none"/>
        </w:rPr>
        <w:t>（结束）</w:t>
      </w:r>
    </w:p>
    <w:p>
      <w:pPr>
        <w:rPr>
          <w:color w:val="auto"/>
          <w:highlight w:val="none"/>
        </w:rPr>
      </w:pPr>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16"/>
        <w:rFonts w:ascii="宋体"/>
        <w:sz w:val="21"/>
        <w:szCs w:val="21"/>
      </w:rPr>
    </w:pPr>
    <w:r>
      <w:rPr>
        <w:rFonts w:ascii="宋体"/>
        <w:sz w:val="21"/>
        <w:szCs w:val="21"/>
      </w:rPr>
      <w:fldChar w:fldCharType="begin"/>
    </w:r>
    <w:r>
      <w:rPr>
        <w:rStyle w:val="16"/>
        <w:rFonts w:ascii="宋体"/>
        <w:sz w:val="21"/>
        <w:szCs w:val="21"/>
      </w:rPr>
      <w:instrText xml:space="preserve">PAGE  </w:instrText>
    </w:r>
    <w:r>
      <w:rPr>
        <w:rFonts w:ascii="宋体"/>
        <w:sz w:val="21"/>
        <w:szCs w:val="21"/>
      </w:rPr>
      <w:fldChar w:fldCharType="separate"/>
    </w:r>
    <w:r>
      <w:rPr>
        <w:rStyle w:val="16"/>
        <w:rFonts w:ascii="宋体"/>
        <w:sz w:val="21"/>
        <w:szCs w:val="21"/>
      </w:rPr>
      <w:t>- 3 -</w:t>
    </w:r>
    <w:r>
      <w:rPr>
        <w:rFonts w:ascii="宋体"/>
        <w:sz w:val="21"/>
        <w:szCs w:val="21"/>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p>
  <w:p>
    <w:pPr>
      <w:pStyle w:val="10"/>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Style w:val="16"/>
        <w:rFonts w:ascii="宋体" w:hAnsi="宋体"/>
        <w:sz w:val="21"/>
        <w:szCs w:val="21"/>
      </w:rPr>
      <w:instrText xml:space="preserve"> PAGE </w:instrText>
    </w:r>
    <w:r>
      <w:rPr>
        <w:rFonts w:ascii="宋体" w:hAnsi="宋体"/>
        <w:sz w:val="21"/>
        <w:szCs w:val="21"/>
      </w:rPr>
      <w:fldChar w:fldCharType="separate"/>
    </w:r>
    <w:r>
      <w:rPr>
        <w:rStyle w:val="16"/>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Style w:val="16"/>
        <w:rFonts w:ascii="宋体" w:hAnsi="宋体"/>
        <w:sz w:val="21"/>
        <w:szCs w:val="21"/>
      </w:rPr>
      <w:instrText xml:space="preserve"> PAGE </w:instrText>
    </w:r>
    <w:r>
      <w:rPr>
        <w:rFonts w:ascii="宋体" w:hAnsi="宋体"/>
        <w:sz w:val="21"/>
        <w:szCs w:val="21"/>
      </w:rPr>
      <w:fldChar w:fldCharType="separate"/>
    </w:r>
    <w:r>
      <w:rPr>
        <w:rStyle w:val="16"/>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CECC1"/>
    <w:multiLevelType w:val="singleLevel"/>
    <w:tmpl w:val="C2BCECC1"/>
    <w:lvl w:ilvl="0" w:tentative="0">
      <w:start w:val="2"/>
      <w:numFmt w:val="decimal"/>
      <w:lvlText w:val="%1."/>
      <w:lvlJc w:val="left"/>
      <w:pPr>
        <w:tabs>
          <w:tab w:val="left" w:pos="312"/>
        </w:tabs>
      </w:pPr>
    </w:lvl>
  </w:abstractNum>
  <w:abstractNum w:abstractNumId="1">
    <w:nsid w:val="6AD80A59"/>
    <w:multiLevelType w:val="singleLevel"/>
    <w:tmpl w:val="6AD80A59"/>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MGM5ZDNlNWNkOWVkZjVhMTI5YWFkNzhkMjdjZDEifQ=="/>
  </w:docVars>
  <w:rsids>
    <w:rsidRoot w:val="3FE663C7"/>
    <w:rsid w:val="06402E70"/>
    <w:rsid w:val="068F4DD4"/>
    <w:rsid w:val="08EC72F8"/>
    <w:rsid w:val="09046B22"/>
    <w:rsid w:val="0A6C5FB1"/>
    <w:rsid w:val="0BCD42E5"/>
    <w:rsid w:val="0C10190A"/>
    <w:rsid w:val="0E5D0A0F"/>
    <w:rsid w:val="0E624708"/>
    <w:rsid w:val="0E745939"/>
    <w:rsid w:val="0F0E3557"/>
    <w:rsid w:val="0F381EC5"/>
    <w:rsid w:val="0FE469B6"/>
    <w:rsid w:val="11137389"/>
    <w:rsid w:val="12735DA7"/>
    <w:rsid w:val="133B5E92"/>
    <w:rsid w:val="14023132"/>
    <w:rsid w:val="15DB0C2C"/>
    <w:rsid w:val="15EB2ED4"/>
    <w:rsid w:val="16365169"/>
    <w:rsid w:val="16367CB4"/>
    <w:rsid w:val="171B64D3"/>
    <w:rsid w:val="1A532509"/>
    <w:rsid w:val="1ACE6650"/>
    <w:rsid w:val="1B11314B"/>
    <w:rsid w:val="1CB33AD0"/>
    <w:rsid w:val="1E43205F"/>
    <w:rsid w:val="1EE600CD"/>
    <w:rsid w:val="2190071D"/>
    <w:rsid w:val="22E93E60"/>
    <w:rsid w:val="237128B3"/>
    <w:rsid w:val="2446697F"/>
    <w:rsid w:val="24BA3E6E"/>
    <w:rsid w:val="2BD732FC"/>
    <w:rsid w:val="2C335F5B"/>
    <w:rsid w:val="2C944CDB"/>
    <w:rsid w:val="2E98041D"/>
    <w:rsid w:val="2EE75977"/>
    <w:rsid w:val="30617EF3"/>
    <w:rsid w:val="309732B2"/>
    <w:rsid w:val="33C51A98"/>
    <w:rsid w:val="34557310"/>
    <w:rsid w:val="3C080AB6"/>
    <w:rsid w:val="3E2C3B8F"/>
    <w:rsid w:val="3FD6577A"/>
    <w:rsid w:val="3FE663C7"/>
    <w:rsid w:val="40D37C6F"/>
    <w:rsid w:val="412B1CEF"/>
    <w:rsid w:val="4498681E"/>
    <w:rsid w:val="46772A10"/>
    <w:rsid w:val="46941653"/>
    <w:rsid w:val="46C16077"/>
    <w:rsid w:val="491F5BE9"/>
    <w:rsid w:val="4B880892"/>
    <w:rsid w:val="4CE515FF"/>
    <w:rsid w:val="4E1F752C"/>
    <w:rsid w:val="518221E5"/>
    <w:rsid w:val="53A56A01"/>
    <w:rsid w:val="56942B05"/>
    <w:rsid w:val="5825531E"/>
    <w:rsid w:val="5AC829A9"/>
    <w:rsid w:val="5ADD5AAD"/>
    <w:rsid w:val="5AEF4847"/>
    <w:rsid w:val="5C1F6DF0"/>
    <w:rsid w:val="5E370BAB"/>
    <w:rsid w:val="5FB72F1A"/>
    <w:rsid w:val="603850D2"/>
    <w:rsid w:val="60B41A34"/>
    <w:rsid w:val="60C40834"/>
    <w:rsid w:val="61901438"/>
    <w:rsid w:val="619E5B8C"/>
    <w:rsid w:val="62626A23"/>
    <w:rsid w:val="62B21225"/>
    <w:rsid w:val="637D2031"/>
    <w:rsid w:val="64090DE6"/>
    <w:rsid w:val="65E825DF"/>
    <w:rsid w:val="67A453B9"/>
    <w:rsid w:val="67E77C6A"/>
    <w:rsid w:val="688E31DD"/>
    <w:rsid w:val="68D93B18"/>
    <w:rsid w:val="69E33B3D"/>
    <w:rsid w:val="6BE449EA"/>
    <w:rsid w:val="71061C27"/>
    <w:rsid w:val="739F5740"/>
    <w:rsid w:val="754D218B"/>
    <w:rsid w:val="75892B3B"/>
    <w:rsid w:val="75E6156F"/>
    <w:rsid w:val="7733710C"/>
    <w:rsid w:val="77BB5C7F"/>
    <w:rsid w:val="78D76CC2"/>
    <w:rsid w:val="78DE38D0"/>
    <w:rsid w:val="796A6CE4"/>
    <w:rsid w:val="79C46836"/>
    <w:rsid w:val="7BBF7A98"/>
    <w:rsid w:val="7BE16971"/>
    <w:rsid w:val="7DCC21EE"/>
    <w:rsid w:val="7EBC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5">
    <w:name w:val="Normal Indent"/>
    <w:basedOn w:val="1"/>
    <w:qFormat/>
    <w:uiPriority w:val="0"/>
    <w:pPr>
      <w:adjustRightInd w:val="0"/>
      <w:snapToGrid w:val="0"/>
      <w:spacing w:line="360" w:lineRule="auto"/>
      <w:ind w:firstLine="420"/>
    </w:pPr>
    <w:rPr>
      <w:sz w:val="24"/>
    </w:rPr>
  </w:style>
  <w:style w:type="paragraph" w:styleId="6">
    <w:name w:val="toc 3"/>
    <w:basedOn w:val="1"/>
    <w:next w:val="1"/>
    <w:qFormat/>
    <w:uiPriority w:val="39"/>
    <w:pPr>
      <w:ind w:left="840" w:leftChars="400"/>
    </w:pPr>
  </w:style>
  <w:style w:type="paragraph" w:styleId="7">
    <w:name w:val="Plain Text"/>
    <w:basedOn w:val="1"/>
    <w:qFormat/>
    <w:uiPriority w:val="0"/>
    <w:rPr>
      <w:rFonts w:ascii="宋体" w:hAnsi="Courier New"/>
      <w:sz w:val="21"/>
    </w:rPr>
  </w:style>
  <w:style w:type="paragraph" w:styleId="8">
    <w:name w:val="Date"/>
    <w:basedOn w:val="1"/>
    <w:next w:val="1"/>
    <w:qFormat/>
    <w:uiPriority w:val="0"/>
  </w:style>
  <w:style w:type="paragraph" w:styleId="9">
    <w:name w:val="Body Text Indent 2"/>
    <w:basedOn w:val="1"/>
    <w:qFormat/>
    <w:uiPriority w:val="0"/>
    <w:pPr>
      <w:snapToGrid w:val="0"/>
      <w:spacing w:line="560" w:lineRule="atLeast"/>
      <w:ind w:firstLine="540"/>
    </w:pPr>
    <w:rPr>
      <w:rFonts w:ascii="Calibri" w:hAnsi="Calibri"/>
      <w:kern w:val="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pPr>
      <w:spacing w:before="120" w:after="120"/>
      <w:jc w:val="left"/>
    </w:pPr>
    <w:rPr>
      <w:caps/>
      <w:sz w:val="20"/>
    </w:rPr>
  </w:style>
  <w:style w:type="paragraph" w:styleId="13">
    <w:name w:val="toc 2"/>
    <w:basedOn w:val="1"/>
    <w:next w:val="1"/>
    <w:qFormat/>
    <w:uiPriority w:val="39"/>
    <w:pPr>
      <w:ind w:left="420" w:leftChars="200"/>
    </w:pPr>
  </w:style>
  <w:style w:type="character" w:styleId="16">
    <w:name w:val="page number"/>
    <w:basedOn w:val="15"/>
    <w:qFormat/>
    <w:uiPriority w:val="0"/>
  </w:style>
  <w:style w:type="character" w:styleId="17">
    <w:name w:val="Hyperlink"/>
    <w:qFormat/>
    <w:uiPriority w:val="99"/>
    <w:rPr>
      <w:color w:val="0000FF"/>
      <w:u w:val="single"/>
    </w:rPr>
  </w:style>
  <w:style w:type="paragraph" w:customStyle="1" w:styleId="18">
    <w:name w:val="1"/>
    <w:basedOn w:val="1"/>
    <w:next w:val="7"/>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16823</Words>
  <Characters>17829</Characters>
  <Lines>0</Lines>
  <Paragraphs>0</Paragraphs>
  <TotalTime>4</TotalTime>
  <ScaleCrop>false</ScaleCrop>
  <LinksUpToDate>false</LinksUpToDate>
  <CharactersWithSpaces>18839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2023-04-06T07:30:00Z</dcterms:created>
  <dc:creator>王小勇</dc:creator>
  <cp:lastModifiedBy>李淮</cp:lastModifiedBy>
  <dcterms:modified xsi:type="dcterms:W3CDTF">2023-07-26T09:49:57Z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B24FE80903FD484CB7EC01A6A7E99F07_12</vt:lpwstr>
  </property>
</Properties>
</file>