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lang w:eastAsia="zh-CN"/>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20" w:hanging="2520" w:hangingChars="700"/>
        <w:rPr>
          <w:rFonts w:hint="eastAsia" w:ascii="宋体" w:hAnsi="宋体" w:cs="宋体"/>
          <w:sz w:val="36"/>
          <w:szCs w:val="30"/>
        </w:rPr>
      </w:pPr>
      <w:r>
        <w:rPr>
          <w:rFonts w:hint="eastAsia" w:ascii="宋体" w:hAnsi="宋体" w:cs="宋体"/>
          <w:sz w:val="36"/>
          <w:szCs w:val="30"/>
        </w:rPr>
        <w:t>磋商项目名称：重庆红九九食品有限公司总部项目供电外线建设工程</w:t>
      </w:r>
    </w:p>
    <w:p>
      <w:pPr>
        <w:spacing w:line="700" w:lineRule="exact"/>
        <w:ind w:firstLine="1749" w:firstLineChars="486"/>
        <w:rPr>
          <w:rFonts w:ascii="宋体" w:hAnsi="宋体" w:cs="宋体"/>
          <w:sz w:val="36"/>
          <w:szCs w:val="30"/>
        </w:rPr>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jc w:val="center"/>
        <w:rPr>
          <w:rFonts w:ascii="宋体" w:hAnsi="宋体" w:cs="宋体"/>
          <w:sz w:val="36"/>
          <w:szCs w:val="30"/>
        </w:rPr>
      </w:pPr>
      <w:r>
        <w:rPr>
          <w:rFonts w:hint="eastAsia" w:ascii="宋体" w:hAnsi="宋体" w:cs="宋体"/>
          <w:sz w:val="36"/>
          <w:szCs w:val="30"/>
        </w:rPr>
        <w:t>采购人：重庆建桥实业发展有限公司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w:t>
      </w:r>
      <w:r>
        <w:rPr>
          <w:rFonts w:hint="eastAsia" w:ascii="宋体" w:hAnsi="宋体" w:cs="宋体"/>
          <w:sz w:val="36"/>
          <w:szCs w:val="30"/>
          <w:lang w:eastAsia="zh-CN"/>
        </w:rPr>
        <w:t>三</w:t>
      </w:r>
      <w:r>
        <w:rPr>
          <w:rFonts w:hint="eastAsia" w:ascii="宋体" w:hAnsi="宋体" w:cs="宋体"/>
          <w:sz w:val="36"/>
          <w:szCs w:val="30"/>
        </w:rPr>
        <w:t>年</w:t>
      </w:r>
      <w:r>
        <w:rPr>
          <w:rFonts w:hint="eastAsia" w:ascii="宋体" w:hAnsi="宋体" w:cs="宋体"/>
          <w:sz w:val="36"/>
          <w:szCs w:val="30"/>
          <w:lang w:eastAsia="zh-CN"/>
        </w:rPr>
        <w:t>五</w:t>
      </w:r>
      <w:r>
        <w:rPr>
          <w:rFonts w:hint="eastAsia" w:ascii="宋体" w:hAnsi="宋体" w:cs="宋体"/>
          <w:sz w:val="36"/>
          <w:szCs w:val="30"/>
        </w:rPr>
        <w:t>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2"/>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6"/>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6"/>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6"/>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6"/>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Style w:val="16"/>
          <w:rFonts w:ascii="宋体" w:hAnsi="宋体" w:cs="宋体"/>
          <w:color w:val="auto"/>
        </w:rPr>
      </w:pPr>
      <w:r>
        <w:fldChar w:fldCharType="begin"/>
      </w:r>
      <w:r>
        <w:instrText xml:space="preserve"> HYPERLINK \l "_Toc54278972" </w:instrText>
      </w:r>
      <w:r>
        <w:fldChar w:fldCharType="separate"/>
      </w:r>
      <w:r>
        <w:rPr>
          <w:rStyle w:val="16"/>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Style w:val="16"/>
          <w:rFonts w:ascii="宋体" w:hAnsi="宋体" w:cs="宋体"/>
          <w:color w:val="auto"/>
        </w:rPr>
      </w:pPr>
      <w:r>
        <w:fldChar w:fldCharType="begin"/>
      </w:r>
      <w:r>
        <w:instrText xml:space="preserve"> HYPERLINK \l "_Toc54278972" </w:instrText>
      </w:r>
      <w:r>
        <w:fldChar w:fldCharType="separate"/>
      </w:r>
      <w:r>
        <w:rPr>
          <w:rStyle w:val="16"/>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6"/>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6"/>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6"/>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6"/>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6"/>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"_Toc54278978" </w:instrText>
      </w:r>
      <w:r>
        <w:fldChar w:fldCharType="separate"/>
      </w:r>
      <w:r>
        <w:rPr>
          <w:rStyle w:val="16"/>
          <w:rFonts w:hint="eastAsia" w:ascii="宋体" w:hAnsi="宋体" w:cs="宋体"/>
          <w:color w:val="auto"/>
        </w:rPr>
        <w:t>一、项目基本概况介绍</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_Toc54278978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"_Toc54278979" </w:instrText>
      </w:r>
      <w:r>
        <w:fldChar w:fldCharType="separate"/>
      </w:r>
      <w:r>
        <w:rPr>
          <w:rStyle w:val="16"/>
          <w:rFonts w:hint="eastAsia" w:ascii="宋体" w:hAnsi="宋体" w:cs="宋体"/>
          <w:color w:val="auto"/>
        </w:rPr>
        <w:t>二、工作内容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"_Toc54278980" </w:instrText>
      </w:r>
      <w:r>
        <w:fldChar w:fldCharType="separate"/>
      </w:r>
      <w:r>
        <w:rPr>
          <w:rStyle w:val="16"/>
          <w:rFonts w:hint="eastAsia" w:ascii="宋体" w:hAnsi="宋体" w:cs="宋体"/>
          <w:color w:val="auto"/>
        </w:rPr>
        <w:t>三、工程质量及施工要求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_Toc54278980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"_Toc54278981" </w:instrText>
      </w:r>
      <w:r>
        <w:fldChar w:fldCharType="separate"/>
      </w:r>
      <w:r>
        <w:rPr>
          <w:rStyle w:val="16"/>
          <w:rFonts w:hint="eastAsia" w:ascii="宋体" w:hAnsi="宋体" w:cs="宋体"/>
          <w:color w:val="auto"/>
        </w:rPr>
        <w:t>四、施工图及工程量清单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_Toc54278981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Style w:val="16"/>
          <w:rFonts w:ascii="宋体" w:hAnsi="宋体" w:cs="宋体"/>
          <w:color w:val="auto"/>
        </w:rPr>
      </w:pPr>
      <w:r>
        <w:fldChar w:fldCharType="begin"/>
      </w:r>
      <w:r>
        <w:instrText xml:space="preserve"> HYPERLINK \l "_Toc54278983" </w:instrText>
      </w:r>
      <w:r>
        <w:fldChar w:fldCharType="separate"/>
      </w:r>
      <w:r>
        <w:rPr>
          <w:rStyle w:val="16"/>
          <w:rFonts w:hint="eastAsia" w:ascii="宋体" w:hAnsi="宋体" w:cs="宋体"/>
          <w:color w:val="auto"/>
        </w:rPr>
        <w:t>五、现场踏勘</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_Toc54278983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"_Toc54278983" </w:instrText>
      </w:r>
      <w:r>
        <w:fldChar w:fldCharType="separate"/>
      </w:r>
      <w:r>
        <w:rPr>
          <w:rStyle w:val="16"/>
          <w:rFonts w:hint="eastAsia" w:ascii="宋体" w:hAnsi="宋体" w:cs="宋体"/>
          <w:color w:val="auto"/>
        </w:rPr>
        <w:t>六、其他要求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_Toc54278983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6"/>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6"/>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"_Toc54278986" </w:instrText>
      </w:r>
      <w:r>
        <w:fldChar w:fldCharType="separate"/>
      </w:r>
      <w:r>
        <w:rPr>
          <w:rStyle w:val="16"/>
          <w:rFonts w:hint="eastAsia" w:ascii="宋体" w:hAnsi="宋体" w:cs="宋体"/>
          <w:color w:val="auto"/>
        </w:rPr>
        <w:t>二、报价要求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_Toc54278986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"_Toc54278987" </w:instrText>
      </w:r>
      <w:r>
        <w:fldChar w:fldCharType="separate"/>
      </w:r>
      <w:r>
        <w:rPr>
          <w:rStyle w:val="16"/>
          <w:rFonts w:hint="eastAsia" w:ascii="宋体" w:hAnsi="宋体" w:cs="宋体"/>
          <w:color w:val="auto"/>
        </w:rPr>
        <w:t>三、结算原则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_Toc54278987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"_Toc54278988" </w:instrText>
      </w:r>
      <w:r>
        <w:fldChar w:fldCharType="separate"/>
      </w:r>
      <w:r>
        <w:rPr>
          <w:rStyle w:val="16"/>
          <w:rFonts w:hint="eastAsia" w:ascii="宋体" w:hAnsi="宋体" w:cs="宋体"/>
          <w:color w:val="auto"/>
        </w:rPr>
        <w:t>四、质量保证及售后服务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6"/>
          <w:rFonts w:hint="eastAsia" w:ascii="宋体" w:hAnsi="宋体" w:cs="宋体"/>
          <w:color w:val="auto"/>
        </w:rPr>
        <w:t>五、付款方式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"_Toc54278991" </w:instrText>
      </w:r>
      <w:r>
        <w:fldChar w:fldCharType="separate"/>
      </w:r>
      <w:r>
        <w:rPr>
          <w:rStyle w:val="16"/>
          <w:rFonts w:hint="eastAsia" w:ascii="宋体" w:hAnsi="宋体" w:cs="宋体"/>
          <w:color w:val="auto"/>
        </w:rPr>
        <w:t>六、施工安全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"_Toc54278993" </w:instrText>
      </w:r>
      <w:r>
        <w:fldChar w:fldCharType="separate"/>
      </w:r>
      <w:r>
        <w:rPr>
          <w:rStyle w:val="16"/>
          <w:rFonts w:hint="eastAsia" w:ascii="宋体" w:hAnsi="宋体" w:cs="宋体"/>
          <w:color w:val="auto"/>
        </w:rPr>
        <w:t>七、其他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_Toc54278993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6"/>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6"/>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- 20 -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6"/>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- 22 -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6"/>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- 24 -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6"/>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6"/>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6"/>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6"/>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6"/>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6"/>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6"/>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6"/>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rFonts w:hint="eastAsia" w:ascii="宋体" w:hAnsi="宋体" w:cs="宋体"/>
        </w:rPr>
        <w:t>- 28 -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6"/>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rFonts w:hint="eastAsia" w:ascii="宋体" w:hAnsi="宋体" w:cs="宋体"/>
        </w:rPr>
        <w:t>- 29 -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6"/>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rFonts w:hint="eastAsia" w:ascii="宋体" w:hAnsi="宋体" w:cs="宋体"/>
        </w:rPr>
        <w:t>- 30 -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6"/>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rFonts w:hint="eastAsia" w:ascii="宋体" w:hAnsi="宋体" w:cs="宋体"/>
        </w:rPr>
        <w:t>- 31 -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6"/>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rFonts w:hint="eastAsia" w:ascii="宋体" w:hAnsi="宋体" w:cs="宋体"/>
        </w:rPr>
        <w:t>- 32 -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6"/>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rFonts w:hint="eastAsia" w:ascii="宋体" w:hAnsi="宋体" w:cs="宋体"/>
        </w:rPr>
        <w:t>- 33 -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6"/>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rFonts w:hint="eastAsia" w:ascii="宋体" w:hAnsi="宋体" w:cs="宋体"/>
        </w:rPr>
        <w:t>- 35 -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6"/>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rFonts w:hint="eastAsia" w:ascii="宋体" w:hAnsi="宋体" w:cs="宋体"/>
        </w:rPr>
        <w:t>- 37 -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6"/>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rFonts w:hint="eastAsia" w:ascii="宋体" w:hAnsi="宋体" w:cs="宋体"/>
        </w:rPr>
        <w:t>- 40 -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6"/>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rFonts w:hint="eastAsia" w:ascii="宋体" w:hAnsi="宋体" w:cs="宋体"/>
        </w:rPr>
        <w:t>- 46 -</w:t>
      </w:r>
      <w:r>
        <w:rPr>
          <w:rFonts w:hint="eastAsia" w:ascii="宋体" w:hAnsi="宋体" w:cs="宋体"/>
        </w:rPr>
        <w:fldChar w:fldCharType="end"/>
      </w:r>
      <w:r>
        <w:rPr>
          <w:rFonts w:hint="eastAsia" w:ascii="宋体" w:hAnsi="宋体" w:cs="宋体"/>
        </w:rPr>
        <w:fldChar w:fldCharType="end"/>
      </w:r>
    </w:p>
    <w:p>
      <w:pPr>
        <w:pStyle w:val="12"/>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3"/>
        <w:spacing w:line="360" w:lineRule="auto"/>
        <w:jc w:val="center"/>
        <w:rPr>
          <w:rFonts w:ascii="宋体" w:hAnsi="宋体" w:eastAsia="宋体" w:cs="宋体"/>
          <w:b w:val="0"/>
          <w:szCs w:val="30"/>
        </w:rPr>
      </w:pPr>
      <w:bookmarkStart w:id="0" w:name="_Toc12789052"/>
      <w:bookmarkStart w:id="1" w:name="_Toc11641050"/>
      <w:bookmarkStart w:id="2" w:name="_Toc54278968"/>
      <w:r>
        <w:rPr>
          <w:rFonts w:hint="eastAsia" w:ascii="宋体" w:hAnsi="宋体" w:eastAsia="宋体" w:cs="宋体"/>
          <w:b w:val="0"/>
          <w:sz w:val="36"/>
          <w:szCs w:val="30"/>
        </w:rPr>
        <w:t>第一篇  采购邀请书</w:t>
      </w:r>
      <w:bookmarkEnd w:id="0"/>
      <w:bookmarkEnd w:id="1"/>
      <w:bookmarkEnd w:id="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我司对重庆红九九食品有限公司总部项目供电外线建设工程进行竞争性磋商采购。欢迎有资格的供应商前来参与磋商。</w:t>
      </w:r>
    </w:p>
    <w:p>
      <w:pPr>
        <w:pStyle w:val="2"/>
        <w:spacing w:line="360" w:lineRule="auto"/>
        <w:rPr>
          <w:rFonts w:ascii="宋体" w:hAnsi="宋体" w:cs="宋体"/>
          <w:sz w:val="24"/>
          <w:szCs w:val="24"/>
        </w:rPr>
      </w:pPr>
      <w:bookmarkStart w:id="3" w:name="_Toc317775175"/>
      <w:bookmarkStart w:id="4" w:name="_Toc313893526"/>
      <w:bookmarkStart w:id="5" w:name="_Toc54278969"/>
      <w:r>
        <w:rPr>
          <w:rFonts w:hint="eastAsia" w:ascii="宋体" w:hAnsi="宋体" w:cs="宋体"/>
          <w:sz w:val="24"/>
          <w:szCs w:val="24"/>
        </w:rPr>
        <w:t>一、竞争性磋商内容</w:t>
      </w:r>
      <w:bookmarkEnd w:id="3"/>
      <w:bookmarkEnd w:id="4"/>
      <w:bookmarkEnd w:id="5"/>
    </w:p>
    <w:tbl>
      <w:tblPr>
        <w:tblStyle w:val="13"/>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kern w:val="0"/>
                <w:sz w:val="21"/>
                <w:szCs w:val="24"/>
              </w:rPr>
            </w:pPr>
            <w:bookmarkStart w:id="6" w:name="_Hlk344477914"/>
            <w:r>
              <w:rPr>
                <w:rFonts w:hint="eastAsia" w:ascii="宋体" w:hAnsi="宋体" w:cs="宋体"/>
                <w:sz w:val="24"/>
                <w:szCs w:val="24"/>
              </w:rPr>
              <w:t>重庆红九九食品有限公司总部项目供电外线建设工程</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777234.01</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建筑业</w:t>
            </w:r>
          </w:p>
        </w:tc>
      </w:tr>
      <w:bookmarkEnd w:id="6"/>
    </w:tbl>
    <w:p>
      <w:pPr>
        <w:pStyle w:val="2"/>
        <w:spacing w:line="360" w:lineRule="auto"/>
        <w:rPr>
          <w:rFonts w:ascii="宋体" w:hAnsi="宋体" w:cs="宋体"/>
          <w:sz w:val="24"/>
          <w:szCs w:val="24"/>
        </w:rPr>
      </w:pPr>
      <w:bookmarkStart w:id="7" w:name="_Toc54278970"/>
      <w:bookmarkStart w:id="8" w:name="_Toc373860293"/>
      <w:bookmarkStart w:id="9" w:name="_Toc317775178"/>
      <w:r>
        <w:rPr>
          <w:rFonts w:hint="eastAsia" w:ascii="宋体" w:hAnsi="宋体" w:cs="宋体"/>
          <w:sz w:val="24"/>
          <w:szCs w:val="24"/>
        </w:rPr>
        <w:t>二、资金来源</w:t>
      </w:r>
      <w:bookmarkEnd w:id="7"/>
    </w:p>
    <w:p>
      <w:pPr>
        <w:spacing w:line="360" w:lineRule="auto"/>
        <w:ind w:firstLine="480" w:firstLineChars="200"/>
        <w:rPr>
          <w:rFonts w:ascii="宋体" w:hAnsi="宋体" w:cs="宋体"/>
          <w:sz w:val="24"/>
          <w:szCs w:val="24"/>
        </w:rPr>
      </w:pPr>
      <w:r>
        <w:rPr>
          <w:rFonts w:hint="eastAsia" w:ascii="宋体" w:hAnsi="宋体" w:cs="宋体"/>
          <w:sz w:val="24"/>
          <w:szCs w:val="24"/>
        </w:rPr>
        <w:t>自筹资金，采购预算</w:t>
      </w:r>
      <w:r>
        <w:rPr>
          <w:rFonts w:hint="eastAsia" w:ascii="宋体" w:hAnsi="宋体" w:cs="宋体"/>
          <w:sz w:val="24"/>
          <w:szCs w:val="24"/>
          <w:lang w:val="en-US" w:eastAsia="zh-CN"/>
        </w:rPr>
        <w:t>777234.01</w:t>
      </w:r>
      <w:r>
        <w:rPr>
          <w:rFonts w:hint="eastAsia" w:ascii="宋体" w:hAnsi="宋体" w:cs="宋体"/>
          <w:sz w:val="24"/>
          <w:szCs w:val="24"/>
        </w:rPr>
        <w:t>元。</w:t>
      </w:r>
    </w:p>
    <w:p>
      <w:pPr>
        <w:pStyle w:val="2"/>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ascii="宋体" w:hAnsi="宋体" w:cs="宋体"/>
          <w:sz w:val="24"/>
          <w:szCs w:val="24"/>
        </w:rPr>
      </w:pPr>
      <w:r>
        <w:rPr>
          <w:rFonts w:hint="eastAsia" w:ascii="宋体" w:hAnsi="宋体" w:cs="宋体"/>
          <w:sz w:val="24"/>
          <w:szCs w:val="24"/>
        </w:rPr>
        <w:t>（二）特定资格条件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1.资质条件、营业执照、组织机构代码证</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1）具有独立承担民事责任能力、具有独立法人资格。（提供有效的营业执照、组织机构代码证，或三证合一的营业执照，复印件并加盖公章（鲜章））</w:t>
      </w:r>
    </w:p>
    <w:p>
      <w:pPr>
        <w:spacing w:line="360" w:lineRule="auto"/>
        <w:ind w:firstLine="480" w:firstLineChars="200"/>
        <w:rPr>
          <w:rFonts w:ascii="宋体" w:hAnsi="宋体" w:cs="宋体"/>
          <w:sz w:val="24"/>
          <w:szCs w:val="24"/>
        </w:rPr>
      </w:pPr>
      <w:r>
        <w:rPr>
          <w:rFonts w:hint="eastAsia" w:ascii="宋体" w:hAnsi="宋体" w:cs="宋体"/>
          <w:sz w:val="24"/>
          <w:szCs w:val="24"/>
        </w:rPr>
        <w:t>2）供应商须同时具备以下资质并在人员、设备、资金等方面具备相应的施工能力</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①建设行政主管部门颁发的有效的输变电工程专业承包三级及以上资质或电力工程施工总承包三级及以上资质，并具备市政公用工程总承包三级及以上资质。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②具有国家电力监管委员会颁发的承装电力设施许可证</w:t>
      </w:r>
      <w:r>
        <w:rPr>
          <w:rFonts w:hint="default" w:ascii="宋体" w:hAnsi="宋体" w:cs="宋体"/>
          <w:sz w:val="24"/>
          <w:szCs w:val="24"/>
        </w:rPr>
        <w:t>五</w:t>
      </w:r>
      <w:r>
        <w:rPr>
          <w:rFonts w:hint="eastAsia" w:ascii="宋体" w:hAnsi="宋体" w:cs="宋体"/>
          <w:sz w:val="24"/>
          <w:szCs w:val="24"/>
        </w:rPr>
        <w:t>级及以上资质、承修电力设施许可证</w:t>
      </w:r>
      <w:r>
        <w:rPr>
          <w:rFonts w:hint="default" w:ascii="宋体" w:hAnsi="宋体" w:cs="宋体"/>
          <w:sz w:val="24"/>
          <w:szCs w:val="24"/>
        </w:rPr>
        <w:t>五</w:t>
      </w:r>
      <w:r>
        <w:rPr>
          <w:rFonts w:hint="eastAsia" w:ascii="宋体" w:hAnsi="宋体" w:cs="宋体"/>
          <w:sz w:val="24"/>
          <w:szCs w:val="24"/>
        </w:rPr>
        <w:t>级及以上资质、承试电力设施许可证</w:t>
      </w:r>
      <w:r>
        <w:rPr>
          <w:rFonts w:hint="default" w:ascii="宋体" w:hAnsi="宋体" w:cs="宋体"/>
          <w:sz w:val="24"/>
          <w:szCs w:val="24"/>
        </w:rPr>
        <w:t>五</w:t>
      </w:r>
      <w:r>
        <w:rPr>
          <w:rFonts w:hint="eastAsia" w:ascii="宋体" w:hAnsi="宋体" w:cs="宋体"/>
          <w:sz w:val="24"/>
          <w:szCs w:val="24"/>
        </w:rPr>
        <w:t>级及以上资质。</w:t>
      </w:r>
    </w:p>
    <w:p>
      <w:pPr>
        <w:spacing w:line="360" w:lineRule="auto"/>
        <w:ind w:firstLine="480" w:firstLineChars="200"/>
        <w:rPr>
          <w:rFonts w:ascii="宋体" w:hAnsi="宋体" w:cs="宋体"/>
          <w:sz w:val="24"/>
          <w:szCs w:val="24"/>
        </w:rPr>
      </w:pPr>
      <w:r>
        <w:rPr>
          <w:rFonts w:hint="eastAsia" w:ascii="宋体" w:hAnsi="宋体" w:cs="宋体"/>
          <w:sz w:val="24"/>
          <w:szCs w:val="24"/>
        </w:rPr>
        <w:t>3）业绩要求</w:t>
      </w:r>
    </w:p>
    <w:p>
      <w:pPr>
        <w:spacing w:line="360" w:lineRule="auto"/>
        <w:ind w:firstLine="480" w:firstLineChars="200"/>
        <w:rPr>
          <w:rFonts w:ascii="宋体" w:hAnsi="宋体" w:cs="宋体"/>
          <w:sz w:val="24"/>
          <w:szCs w:val="24"/>
        </w:rPr>
      </w:pPr>
      <w:r>
        <w:rPr>
          <w:rFonts w:hint="eastAsia" w:ascii="宋体" w:hAnsi="宋体" w:cs="宋体"/>
          <w:sz w:val="24"/>
          <w:szCs w:val="24"/>
        </w:rPr>
        <w:t>投标截止日前3年内，指 20</w:t>
      </w:r>
      <w:r>
        <w:rPr>
          <w:rFonts w:hint="eastAsia" w:ascii="宋体" w:hAnsi="宋体" w:cs="宋体"/>
          <w:sz w:val="24"/>
          <w:szCs w:val="24"/>
          <w:lang w:val="en-US" w:eastAsia="zh-CN"/>
        </w:rPr>
        <w:t>20</w:t>
      </w:r>
      <w:r>
        <w:rPr>
          <w:rFonts w:hint="eastAsia" w:ascii="宋体" w:hAnsi="宋体" w:cs="宋体"/>
          <w:sz w:val="24"/>
          <w:szCs w:val="24"/>
        </w:rPr>
        <w:t>年1月1日起至投标截止日止（以合同签订时间为准）单个项目合同有与本招标项目在合同金额、工程类别、工程规模的具体技术参数类似的1个配电工程业绩（以上全部信息以工程竣工验收证明为准）。</w:t>
      </w:r>
    </w:p>
    <w:p>
      <w:pPr>
        <w:spacing w:line="360" w:lineRule="auto"/>
        <w:ind w:firstLine="480" w:firstLineChars="200"/>
        <w:rPr>
          <w:rFonts w:ascii="宋体" w:hAnsi="宋体" w:cs="宋体"/>
          <w:sz w:val="24"/>
          <w:szCs w:val="24"/>
        </w:rPr>
      </w:pPr>
      <w:r>
        <w:rPr>
          <w:rFonts w:hint="eastAsia" w:ascii="宋体" w:hAnsi="宋体" w:cs="宋体"/>
          <w:sz w:val="24"/>
          <w:szCs w:val="24"/>
        </w:rPr>
        <w:t>类似工程业绩应满足以下要求：</w:t>
      </w:r>
    </w:p>
    <w:p>
      <w:pPr>
        <w:spacing w:line="360" w:lineRule="auto"/>
        <w:ind w:firstLine="480" w:firstLineChars="200"/>
        <w:rPr>
          <w:rFonts w:ascii="宋体" w:hAnsi="宋体" w:cs="宋体"/>
          <w:sz w:val="24"/>
          <w:szCs w:val="24"/>
        </w:rPr>
      </w:pPr>
      <w:r>
        <w:rPr>
          <w:rFonts w:hint="eastAsia" w:ascii="宋体" w:hAnsi="宋体" w:cs="宋体"/>
          <w:sz w:val="24"/>
          <w:szCs w:val="24"/>
        </w:rPr>
        <w:t>合同金额：</w:t>
      </w:r>
      <w:r>
        <w:rPr>
          <w:rFonts w:hint="eastAsia" w:ascii="宋体" w:hAnsi="宋体" w:cs="宋体"/>
          <w:sz w:val="24"/>
          <w:szCs w:val="24"/>
          <w:lang w:val="en-US" w:eastAsia="zh-CN"/>
        </w:rPr>
        <w:t>70</w:t>
      </w:r>
      <w:r>
        <w:rPr>
          <w:rFonts w:hint="eastAsia" w:ascii="宋体" w:hAnsi="宋体" w:cs="宋体"/>
          <w:sz w:val="24"/>
          <w:szCs w:val="24"/>
        </w:rPr>
        <w:t xml:space="preserve">万元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工程类别：配电工程        </w:t>
      </w:r>
    </w:p>
    <w:p>
      <w:pPr>
        <w:spacing w:line="360" w:lineRule="auto"/>
        <w:ind w:firstLine="480" w:firstLineChars="200"/>
        <w:rPr>
          <w:rFonts w:ascii="宋体" w:hAnsi="宋体" w:cs="宋体"/>
          <w:sz w:val="24"/>
          <w:szCs w:val="24"/>
        </w:rPr>
      </w:pPr>
      <w:r>
        <w:rPr>
          <w:rFonts w:hint="eastAsia" w:ascii="宋体" w:hAnsi="宋体" w:cs="宋体"/>
          <w:sz w:val="24"/>
          <w:szCs w:val="24"/>
        </w:rPr>
        <w:t>须提供该业绩的合同协议书复印件并加盖公司公章（鲜章）。若上述资料无法体现业绩规模、类别特征的，应提供业主证明。不满足上述要求的业绩无效。</w:t>
      </w:r>
    </w:p>
    <w:p>
      <w:pPr>
        <w:pStyle w:val="2"/>
        <w:spacing w:line="360" w:lineRule="auto"/>
        <w:rPr>
          <w:rFonts w:ascii="宋体" w:hAnsi="宋体" w:cs="宋体"/>
          <w:sz w:val="24"/>
          <w:szCs w:val="24"/>
        </w:rPr>
      </w:pPr>
      <w:bookmarkStart w:id="11" w:name="_Toc54278972"/>
      <w:r>
        <w:rPr>
          <w:rFonts w:hint="eastAsia" w:ascii="宋体" w:hAnsi="宋体" w:cs="宋体"/>
          <w:sz w:val="24"/>
          <w:szCs w:val="24"/>
        </w:rPr>
        <w:t>四、磋商有关说明</w:t>
      </w:r>
      <w:bookmarkEnd w:id="8"/>
      <w:bookmarkEnd w:id="11"/>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b/>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sz w:val="24"/>
          <w:szCs w:val="24"/>
        </w:rPr>
      </w:pPr>
      <w:r>
        <w:rPr>
          <w:rFonts w:hint="eastAsia" w:ascii="宋体" w:hAnsi="宋体" w:cs="宋体"/>
          <w:sz w:val="24"/>
          <w:szCs w:val="24"/>
        </w:rPr>
        <w:t>（二）凡有意参加磋商的供应商，请于公告发布之日（20</w:t>
      </w:r>
      <w:r>
        <w:rPr>
          <w:rFonts w:hint="eastAsia" w:ascii="宋体" w:hAnsi="宋体" w:cs="宋体"/>
          <w:sz w:val="24"/>
          <w:szCs w:val="24"/>
          <w:lang w:val="en-US" w:eastAsia="zh-CN"/>
        </w:rPr>
        <w:t>23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22</w:t>
      </w:r>
      <w:r>
        <w:rPr>
          <w:rFonts w:hint="eastAsia" w:ascii="宋体" w:hAnsi="宋体" w:cs="宋体"/>
          <w:sz w:val="24"/>
          <w:szCs w:val="24"/>
        </w:rPr>
        <w:t>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（三）竞争性磋商公告期限：自采购公告发布之日（2</w:t>
      </w:r>
      <w:r>
        <w:rPr>
          <w:rFonts w:hint="eastAsia" w:ascii="宋体" w:hAnsi="宋体" w:cs="宋体"/>
          <w:sz w:val="24"/>
          <w:szCs w:val="24"/>
          <w:lang w:val="en-US" w:eastAsia="zh-CN"/>
        </w:rPr>
        <w:t>023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22</w:t>
      </w:r>
      <w:r>
        <w:rPr>
          <w:rFonts w:hint="eastAsia" w:ascii="宋体" w:hAnsi="宋体" w:cs="宋体"/>
          <w:sz w:val="24"/>
          <w:szCs w:val="24"/>
        </w:rPr>
        <w:t>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（四）竞标人须满足以下三种要件，其响应文件才被接受：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（六）响应文件递交时间：202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日北京时间</w:t>
      </w:r>
      <w:r>
        <w:rPr>
          <w:rFonts w:hint="eastAsia" w:ascii="宋体" w:hAnsi="宋体" w:cs="宋体"/>
          <w:sz w:val="24"/>
          <w:szCs w:val="24"/>
          <w:lang w:val="en-US" w:eastAsia="zh-CN"/>
        </w:rPr>
        <w:t>14</w:t>
      </w:r>
      <w:r>
        <w:rPr>
          <w:rFonts w:hint="eastAsia" w:ascii="宋体" w:hAnsi="宋体" w:cs="宋体"/>
          <w:sz w:val="24"/>
          <w:szCs w:val="24"/>
        </w:rPr>
        <w:t>：00-</w:t>
      </w:r>
      <w:r>
        <w:rPr>
          <w:rFonts w:hint="eastAsia" w:ascii="宋体" w:hAnsi="宋体" w:cs="宋体"/>
          <w:sz w:val="24"/>
          <w:szCs w:val="24"/>
          <w:lang w:val="en-US" w:eastAsia="zh-CN"/>
        </w:rPr>
        <w:t>14</w:t>
      </w:r>
      <w:r>
        <w:rPr>
          <w:rFonts w:hint="eastAsia" w:ascii="宋体" w:hAnsi="宋体" w:cs="宋体"/>
          <w:sz w:val="24"/>
          <w:szCs w:val="24"/>
        </w:rPr>
        <w:t>:30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日北京时间</w:t>
      </w:r>
      <w:r>
        <w:rPr>
          <w:rFonts w:hint="eastAsia" w:ascii="宋体" w:hAnsi="宋体" w:cs="宋体"/>
          <w:sz w:val="24"/>
          <w:szCs w:val="24"/>
          <w:lang w:val="en-US" w:eastAsia="zh-CN"/>
        </w:rPr>
        <w:t>14</w:t>
      </w:r>
      <w:r>
        <w:rPr>
          <w:rFonts w:hint="eastAsia" w:ascii="宋体" w:hAnsi="宋体" w:cs="宋体"/>
          <w:sz w:val="24"/>
          <w:szCs w:val="24"/>
        </w:rPr>
        <w:t>:30</w:t>
      </w:r>
    </w:p>
    <w:p>
      <w:pPr>
        <w:spacing w:line="360" w:lineRule="auto"/>
        <w:ind w:firstLine="480" w:firstLineChars="200"/>
        <w:rPr>
          <w:rFonts w:ascii="宋体" w:hAnsi="宋体" w:cs="宋体"/>
          <w:sz w:val="24"/>
          <w:szCs w:val="24"/>
        </w:rPr>
      </w:pPr>
      <w:r>
        <w:rPr>
          <w:rFonts w:hint="eastAsia" w:ascii="宋体" w:hAnsi="宋体" w:cs="宋体"/>
          <w:sz w:val="24"/>
          <w:szCs w:val="24"/>
        </w:rPr>
        <w:t>（七）磋商开始时间：202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26</w:t>
      </w:r>
      <w:r>
        <w:rPr>
          <w:rFonts w:hint="eastAsia" w:ascii="宋体" w:hAnsi="宋体" w:cs="宋体"/>
          <w:sz w:val="24"/>
          <w:szCs w:val="24"/>
        </w:rPr>
        <w:t>日北京时间</w:t>
      </w:r>
      <w:r>
        <w:rPr>
          <w:rFonts w:hint="eastAsia" w:ascii="宋体" w:hAnsi="宋体" w:cs="宋体"/>
          <w:sz w:val="24"/>
          <w:szCs w:val="24"/>
          <w:lang w:val="en-US" w:eastAsia="zh-CN"/>
        </w:rPr>
        <w:t>14</w:t>
      </w:r>
      <w:r>
        <w:rPr>
          <w:rFonts w:hint="eastAsia" w:ascii="宋体" w:hAnsi="宋体" w:cs="宋体"/>
          <w:sz w:val="24"/>
          <w:szCs w:val="24"/>
        </w:rPr>
        <w:t>:30</w:t>
      </w:r>
    </w:p>
    <w:p>
      <w:pPr>
        <w:pStyle w:val="2"/>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w:t>
      </w:r>
      <w:r>
        <w:rPr>
          <w:rFonts w:hint="eastAsia" w:ascii="宋体" w:hAnsi="宋体" w:cs="宋体"/>
          <w:b/>
          <w:sz w:val="24"/>
          <w:szCs w:val="24"/>
          <w:u w:val="single"/>
          <w:lang w:val="en-US" w:eastAsia="zh-CN"/>
        </w:rPr>
        <w:t>23</w:t>
      </w:r>
      <w:r>
        <w:rPr>
          <w:rFonts w:hint="eastAsia" w:ascii="宋体" w:hAnsi="宋体" w:cs="宋体"/>
          <w:b/>
          <w:sz w:val="24"/>
          <w:szCs w:val="24"/>
          <w:u w:val="single"/>
        </w:rPr>
        <w:t>年</w:t>
      </w:r>
      <w:r>
        <w:rPr>
          <w:rFonts w:hint="eastAsia" w:ascii="宋体" w:hAnsi="宋体" w:cs="宋体"/>
          <w:b/>
          <w:sz w:val="24"/>
          <w:szCs w:val="24"/>
          <w:u w:val="single"/>
          <w:lang w:val="en-US" w:eastAsia="zh-CN"/>
        </w:rPr>
        <w:t>5</w:t>
      </w:r>
      <w:r>
        <w:rPr>
          <w:rFonts w:hint="eastAsia" w:ascii="宋体" w:hAnsi="宋体" w:cs="宋体"/>
          <w:b/>
          <w:sz w:val="24"/>
          <w:szCs w:val="24"/>
          <w:u w:val="single"/>
        </w:rPr>
        <w:t>月</w:t>
      </w:r>
      <w:r>
        <w:rPr>
          <w:rFonts w:hint="eastAsia" w:ascii="宋体" w:hAnsi="宋体" w:cs="宋体"/>
          <w:b/>
          <w:sz w:val="24"/>
          <w:szCs w:val="24"/>
          <w:u w:val="single"/>
          <w:lang w:val="en-US" w:eastAsia="zh-CN"/>
        </w:rPr>
        <w:t>25</w:t>
      </w:r>
      <w:r>
        <w:rPr>
          <w:rFonts w:hint="eastAsia" w:ascii="宋体" w:hAnsi="宋体" w:cs="宋体"/>
          <w:b/>
          <w:sz w:val="24"/>
          <w:szCs w:val="24"/>
          <w:u w:val="single"/>
        </w:rPr>
        <w:t>日1</w:t>
      </w:r>
      <w:r>
        <w:rPr>
          <w:rFonts w:hint="eastAsia" w:ascii="宋体" w:hAnsi="宋体" w:cs="宋体"/>
          <w:b/>
          <w:sz w:val="24"/>
          <w:szCs w:val="24"/>
          <w:u w:val="single"/>
          <w:lang w:val="en-US" w:eastAsia="zh-CN"/>
        </w:rPr>
        <w:t>7</w:t>
      </w:r>
      <w:r>
        <w:rPr>
          <w:rFonts w:hint="eastAsia" w:ascii="宋体" w:hAnsi="宋体" w:cs="宋体"/>
          <w:b/>
          <w:sz w:val="24"/>
          <w:szCs w:val="24"/>
          <w:u w:val="single"/>
        </w:rPr>
        <w:t>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竞标保证金的金额：人民币1</w:t>
      </w:r>
      <w:r>
        <w:rPr>
          <w:rFonts w:hint="eastAsia" w:ascii="宋体" w:hAnsi="宋体" w:cs="宋体"/>
          <w:b/>
          <w:sz w:val="24"/>
          <w:szCs w:val="24"/>
          <w:u w:val="single"/>
          <w:lang w:val="en-US" w:eastAsia="zh-CN"/>
        </w:rPr>
        <w:t>2</w:t>
      </w:r>
      <w:r>
        <w:rPr>
          <w:rFonts w:hint="eastAsia" w:ascii="宋体" w:hAnsi="宋体" w:cs="宋体"/>
          <w:b/>
          <w:sz w:val="24"/>
          <w:szCs w:val="24"/>
          <w:u w:val="single"/>
        </w:rPr>
        <w:t>000元（大写：壹万</w:t>
      </w:r>
      <w:r>
        <w:rPr>
          <w:rFonts w:hint="eastAsia" w:ascii="宋体" w:hAnsi="宋体" w:cs="宋体"/>
          <w:b/>
          <w:sz w:val="24"/>
          <w:szCs w:val="24"/>
          <w:u w:val="single"/>
          <w:lang w:eastAsia="zh-CN"/>
        </w:rPr>
        <w:t>贰仟</w:t>
      </w:r>
      <w:r>
        <w:rPr>
          <w:rFonts w:hint="eastAsia" w:ascii="宋体" w:hAnsi="宋体" w:cs="宋体"/>
          <w:b/>
          <w:sz w:val="24"/>
          <w:szCs w:val="24"/>
          <w:u w:val="single"/>
        </w:rPr>
        <w:t>元整）。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pageBreakBefore w:val="0"/>
        <w:kinsoku/>
        <w:wordWrap/>
        <w:overflowPunct/>
        <w:topLinePunct w:val="0"/>
        <w:autoSpaceDE/>
        <w:autoSpaceDN/>
        <w:bidi w:val="0"/>
        <w:adjustRightInd/>
        <w:spacing w:line="360" w:lineRule="auto"/>
        <w:ind w:firstLine="480" w:firstLineChars="200"/>
        <w:textAlignment w:val="auto"/>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2"/>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ascii="宋体" w:hAnsi="宋体" w:cs="宋体"/>
          <w:b/>
          <w:sz w:val="24"/>
          <w:szCs w:val="24"/>
        </w:rPr>
      </w:pPr>
      <w:r>
        <w:rPr>
          <w:rFonts w:hint="eastAsia" w:ascii="宋体" w:hAnsi="宋体" w:cs="宋体"/>
          <w:b/>
          <w:sz w:val="24"/>
          <w:szCs w:val="24"/>
        </w:rPr>
        <w:t>履约保证金金额为：项目成交金额的10%。</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成交人应当在</w:t>
      </w:r>
      <w:r>
        <w:rPr>
          <w:rFonts w:hint="eastAsia" w:ascii="宋体" w:hAnsi="宋体" w:cs="宋体"/>
          <w:sz w:val="24"/>
          <w:szCs w:val="24"/>
          <w:lang w:eastAsia="zh-CN"/>
        </w:rPr>
        <w:t>成交通知书发出之日</w:t>
      </w:r>
      <w:r>
        <w:rPr>
          <w:rFonts w:hint="eastAsia" w:ascii="宋体" w:hAnsi="宋体" w:cs="宋体"/>
          <w:sz w:val="24"/>
          <w:szCs w:val="24"/>
          <w:lang w:val="en-US" w:eastAsia="zh-CN"/>
        </w:rPr>
        <w:t>15个工作日内</w:t>
      </w:r>
      <w:r>
        <w:rPr>
          <w:rFonts w:hint="eastAsia" w:ascii="宋体" w:hAnsi="宋体" w:cs="宋体"/>
          <w:sz w:val="24"/>
          <w:szCs w:val="24"/>
        </w:rPr>
        <w:t>将履约保证金汇入采购人指定账户（注明项目名称），缴纳方式请与采购人联系。</w:t>
      </w:r>
    </w:p>
    <w:p>
      <w:pPr>
        <w:pStyle w:val="2"/>
        <w:spacing w:line="360" w:lineRule="auto"/>
        <w:ind w:firstLine="480" w:firstLineChars="200"/>
        <w:rPr>
          <w:rFonts w:ascii="宋体" w:hAnsi="宋体" w:cs="宋体"/>
          <w:b w:val="0"/>
          <w:color w:val="FF0000"/>
          <w:sz w:val="24"/>
          <w:szCs w:val="24"/>
        </w:rPr>
      </w:pPr>
      <w:r>
        <w:rPr>
          <w:rFonts w:hint="eastAsia" w:ascii="宋体" w:hAnsi="宋体" w:eastAsia="宋体" w:cs="宋体"/>
          <w:b w:val="0"/>
          <w:kern w:val="2"/>
          <w:sz w:val="24"/>
          <w:szCs w:val="24"/>
          <w:lang w:val="en-US" w:eastAsia="zh-CN" w:bidi="ar-SA"/>
        </w:rPr>
        <w:t>在本项目验收合格后无息退还。</w:t>
      </w:r>
    </w:p>
    <w:p>
      <w:pPr>
        <w:pStyle w:val="2"/>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80466698"/>
      <w:bookmarkStart w:id="15" w:name="_Toc479668114"/>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2"/>
        <w:spacing w:line="360" w:lineRule="auto"/>
        <w:rPr>
          <w:rFonts w:ascii="宋体" w:hAnsi="宋体" w:cs="宋体"/>
          <w:sz w:val="24"/>
          <w:szCs w:val="24"/>
        </w:rPr>
      </w:pPr>
      <w:bookmarkStart w:id="16" w:name="_Toc54278974"/>
      <w:bookmarkStart w:id="17" w:name="_Toc480466699"/>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2"/>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采购人：重庆建桥实业发展有限公司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电  话：023-68955002</w:t>
      </w:r>
      <w:bookmarkStart w:id="20" w:name="_Toc54278977"/>
    </w:p>
    <w:p>
      <w:pPr>
        <w:pStyle w:val="2"/>
        <w:rPr>
          <w:rFonts w:hint="eastAsia" w:ascii="宋体" w:hAnsi="宋体" w:cs="宋体"/>
          <w:sz w:val="24"/>
          <w:szCs w:val="24"/>
        </w:rPr>
      </w:pPr>
    </w:p>
    <w:p>
      <w:pPr>
        <w:rPr>
          <w:rFonts w:hint="default" w:eastAsia="宋体"/>
          <w:lang w:val="en-US" w:eastAsia="zh-CN"/>
        </w:rPr>
      </w:pPr>
      <w:r>
        <w:rPr>
          <w:rFonts w:hint="eastAsia" w:ascii="宋体" w:hAnsi="宋体" w:cs="宋体"/>
          <w:sz w:val="24"/>
          <w:szCs w:val="24"/>
          <w:lang w:val="en-US" w:eastAsia="zh-CN"/>
        </w:rPr>
        <w:t xml:space="preserve">         </w:t>
      </w:r>
    </w:p>
    <w:p>
      <w:pPr>
        <w:pStyle w:val="3"/>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项目服务需求</w:t>
      </w:r>
      <w:bookmarkEnd w:id="20"/>
    </w:p>
    <w:p>
      <w:pPr>
        <w:pStyle w:val="2"/>
        <w:spacing w:line="360" w:lineRule="auto"/>
        <w:rPr>
          <w:rFonts w:ascii="宋体" w:hAnsi="宋体" w:cs="宋体"/>
          <w:sz w:val="24"/>
          <w:szCs w:val="24"/>
        </w:rPr>
      </w:pPr>
      <w:bookmarkStart w:id="21" w:name="_Toc54278978"/>
      <w:bookmarkStart w:id="22" w:name="_Toc12789058"/>
      <w:r>
        <w:rPr>
          <w:rFonts w:hint="eastAsia" w:ascii="宋体" w:hAnsi="宋体" w:cs="宋体"/>
          <w:sz w:val="24"/>
          <w:szCs w:val="24"/>
        </w:rPr>
        <w:t>一、项目基本概况介绍</w:t>
      </w:r>
      <w:bookmarkEnd w:id="21"/>
    </w:p>
    <w:p>
      <w:pPr>
        <w:pStyle w:val="2"/>
        <w:spacing w:line="360" w:lineRule="auto"/>
        <w:ind w:firstLine="480" w:firstLineChars="200"/>
        <w:rPr>
          <w:rFonts w:ascii="宋体" w:hAnsi="宋体" w:cs="宋体"/>
          <w:b w:val="0"/>
          <w:sz w:val="24"/>
          <w:szCs w:val="24"/>
        </w:rPr>
      </w:pPr>
      <w:bookmarkStart w:id="23" w:name="_Toc54278979"/>
      <w:r>
        <w:rPr>
          <w:rFonts w:hint="eastAsia" w:ascii="宋体" w:hAnsi="宋体" w:cs="宋体"/>
          <w:b w:val="0"/>
          <w:sz w:val="24"/>
          <w:szCs w:val="24"/>
        </w:rPr>
        <w:t>重庆红九九食品有限公司总部项目供电外线建设工程位于大渡口区跳磴镇，本工程主要包括新建ZA-YJV22-8.7/15-3*150mm2电缆1070米、10kV/150高压终端头1套、10kV/150高压电缆中间头4套、2kg气溶胶灭火装置8个；新建直线井3座、新建12孔车行道排管32米、新建12孔人行道排管35米等内容。（具体详见施工设计图及工程量清单，施工设计图和工程量清单不一致时以工程量清单为准）。</w:t>
      </w:r>
    </w:p>
    <w:p>
      <w:pPr>
        <w:pStyle w:val="2"/>
        <w:spacing w:line="360" w:lineRule="auto"/>
        <w:rPr>
          <w:rFonts w:ascii="宋体" w:hAnsi="宋体" w:cs="宋体"/>
          <w:sz w:val="24"/>
          <w:szCs w:val="24"/>
        </w:rPr>
      </w:pPr>
      <w:r>
        <w:rPr>
          <w:rFonts w:hint="eastAsia" w:ascii="宋体" w:hAnsi="宋体" w:cs="宋体"/>
          <w:sz w:val="24"/>
          <w:szCs w:val="24"/>
        </w:rPr>
        <w:t>二、工作内容</w:t>
      </w:r>
      <w:bookmarkEnd w:id="23"/>
    </w:p>
    <w:p>
      <w:pPr>
        <w:spacing w:line="360" w:lineRule="auto"/>
        <w:ind w:firstLine="480" w:firstLineChars="200"/>
        <w:rPr>
          <w:rFonts w:ascii="宋体" w:hAnsi="宋体" w:cs="宋体"/>
          <w:sz w:val="24"/>
          <w:szCs w:val="24"/>
        </w:rPr>
      </w:pPr>
      <w:r>
        <w:rPr>
          <w:rFonts w:hint="eastAsia" w:ascii="宋体" w:hAnsi="宋体" w:cs="宋体"/>
          <w:sz w:val="24"/>
          <w:szCs w:val="24"/>
        </w:rPr>
        <w:t>具体以采购人所提供的图纸及工程量清单为准。</w:t>
      </w:r>
      <w:bookmarkStart w:id="24" w:name="_Toc313536013"/>
      <w:bookmarkStart w:id="25" w:name="_Toc54278980"/>
      <w:bookmarkStart w:id="26" w:name="_Toc344475116"/>
    </w:p>
    <w:p>
      <w:pPr>
        <w:spacing w:line="360" w:lineRule="auto"/>
        <w:rPr>
          <w:rFonts w:ascii="宋体" w:hAnsi="宋体" w:cs="宋体"/>
          <w:b/>
          <w:sz w:val="24"/>
          <w:szCs w:val="24"/>
        </w:rPr>
      </w:pPr>
      <w:r>
        <w:rPr>
          <w:rFonts w:hint="eastAsia" w:ascii="宋体" w:hAnsi="宋体" w:cs="宋体"/>
          <w:b/>
          <w:sz w:val="24"/>
          <w:szCs w:val="24"/>
        </w:rPr>
        <w:t>三、</w:t>
      </w:r>
      <w:bookmarkEnd w:id="24"/>
      <w:bookmarkEnd w:id="25"/>
      <w:bookmarkEnd w:id="26"/>
      <w:bookmarkStart w:id="27" w:name="_Toc54278981"/>
      <w:r>
        <w:rPr>
          <w:rFonts w:hint="eastAsia" w:ascii="宋体" w:hAnsi="宋体" w:cs="宋体"/>
          <w:b/>
          <w:sz w:val="24"/>
          <w:szCs w:val="24"/>
        </w:rPr>
        <w:t>工程质量及施工要求</w:t>
      </w:r>
    </w:p>
    <w:p>
      <w:pPr>
        <w:spacing w:line="360" w:lineRule="auto"/>
        <w:ind w:firstLine="480" w:firstLineChars="200"/>
        <w:rPr>
          <w:rFonts w:ascii="宋体" w:hAnsi="宋体" w:cs="宋体"/>
          <w:sz w:val="24"/>
          <w:szCs w:val="24"/>
        </w:rPr>
      </w:pPr>
      <w:r>
        <w:rPr>
          <w:rFonts w:hint="eastAsia" w:ascii="宋体" w:hAnsi="宋体" w:cs="宋体"/>
          <w:sz w:val="24"/>
          <w:szCs w:val="24"/>
        </w:rPr>
        <w:t>达到国家现行规范及验收合格标准 。</w:t>
      </w:r>
    </w:p>
    <w:p>
      <w:pPr>
        <w:pStyle w:val="2"/>
        <w:spacing w:line="360" w:lineRule="auto"/>
        <w:rPr>
          <w:rFonts w:ascii="宋体" w:hAnsi="宋体" w:cs="宋体"/>
          <w:sz w:val="24"/>
          <w:szCs w:val="24"/>
        </w:rPr>
      </w:pPr>
      <w:r>
        <w:rPr>
          <w:rFonts w:hint="eastAsia" w:ascii="宋体" w:hAnsi="宋体" w:cs="宋体"/>
          <w:sz w:val="24"/>
          <w:szCs w:val="24"/>
        </w:rPr>
        <w:t>四、施工图及工程量清单</w:t>
      </w:r>
      <w:bookmarkEnd w:id="27"/>
    </w:p>
    <w:p>
      <w:pPr>
        <w:spacing w:line="360" w:lineRule="auto"/>
        <w:ind w:firstLine="480" w:firstLineChars="200"/>
        <w:rPr>
          <w:rFonts w:ascii="宋体" w:hAnsi="宋体" w:cs="宋体"/>
          <w:sz w:val="24"/>
          <w:szCs w:val="24"/>
        </w:rPr>
      </w:pPr>
      <w:r>
        <w:rPr>
          <w:rFonts w:hint="eastAsia" w:ascii="宋体" w:hAnsi="宋体" w:cs="宋体"/>
          <w:sz w:val="24"/>
          <w:szCs w:val="24"/>
        </w:rPr>
        <w:t>工程量清单及施工图请供应商在建桥工业园（http://www.jqgyy.com/）上自行下载。</w:t>
      </w:r>
    </w:p>
    <w:p>
      <w:pPr>
        <w:pStyle w:val="2"/>
        <w:spacing w:line="360" w:lineRule="auto"/>
        <w:rPr>
          <w:rFonts w:ascii="宋体" w:hAnsi="宋体" w:cs="宋体"/>
          <w:sz w:val="24"/>
          <w:szCs w:val="24"/>
        </w:rPr>
      </w:pPr>
      <w:bookmarkStart w:id="28" w:name="_Toc54278976"/>
      <w:bookmarkStart w:id="29" w:name="_Toc53232925"/>
      <w:bookmarkStart w:id="30" w:name="_Toc50299508"/>
      <w:bookmarkStart w:id="31" w:name="_Toc18330601"/>
      <w:bookmarkStart w:id="32" w:name="_Toc54278983"/>
      <w:r>
        <w:rPr>
          <w:rFonts w:hint="eastAsia" w:ascii="宋体" w:hAnsi="宋体" w:cs="宋体"/>
          <w:sz w:val="24"/>
          <w:szCs w:val="24"/>
        </w:rPr>
        <w:t>五、现场踏勘</w:t>
      </w:r>
      <w:bookmarkEnd w:id="28"/>
      <w:bookmarkEnd w:id="29"/>
      <w:bookmarkEnd w:id="30"/>
      <w:bookmarkEnd w:id="31"/>
    </w:p>
    <w:p>
      <w:pPr>
        <w:spacing w:line="360" w:lineRule="auto"/>
        <w:ind w:firstLine="480" w:firstLineChars="200"/>
        <w:rPr>
          <w:rFonts w:ascii="宋体" w:hAnsi="宋体" w:cs="宋体"/>
          <w:sz w:val="24"/>
          <w:szCs w:val="24"/>
        </w:rPr>
      </w:pPr>
      <w:r>
        <w:rPr>
          <w:rFonts w:hint="eastAsia" w:ascii="宋体" w:hAnsi="宋体" w:cs="宋体"/>
          <w:sz w:val="24"/>
          <w:szCs w:val="24"/>
        </w:rPr>
        <w:t>供应商应自行现场踏勘（无论供应商是否踏勘现场，均视为供应商已踏勘现场。因踏勘造成的人员伤亡、财务损失及产生的所有费用由供应商自行承担）。</w:t>
      </w:r>
    </w:p>
    <w:bookmarkEnd w:id="32"/>
    <w:p>
      <w:pPr>
        <w:spacing w:line="360" w:lineRule="auto"/>
      </w:pPr>
    </w:p>
    <w:p/>
    <w:p>
      <w:pPr>
        <w:spacing w:line="400" w:lineRule="exact"/>
        <w:rPr>
          <w:rFonts w:ascii="宋体" w:hAnsi="宋体" w:cs="宋体"/>
          <w:sz w:val="24"/>
          <w:szCs w:val="24"/>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 w:val="36"/>
          <w:szCs w:val="30"/>
        </w:rPr>
      </w:pPr>
      <w:bookmarkStart w:id="33" w:name="_Toc54278984"/>
      <w:r>
        <w:rPr>
          <w:rFonts w:hint="eastAsia" w:ascii="宋体" w:hAnsi="宋体" w:eastAsia="宋体" w:cs="宋体"/>
          <w:b w:val="0"/>
          <w:sz w:val="36"/>
          <w:szCs w:val="30"/>
        </w:rPr>
        <w:t xml:space="preserve">第三篇  </w:t>
      </w:r>
      <w:bookmarkEnd w:id="22"/>
      <w:r>
        <w:rPr>
          <w:rFonts w:hint="eastAsia" w:ascii="宋体" w:hAnsi="宋体" w:eastAsia="宋体" w:cs="宋体"/>
          <w:b w:val="0"/>
          <w:sz w:val="36"/>
          <w:szCs w:val="30"/>
        </w:rPr>
        <w:t>项目商务需求</w:t>
      </w:r>
      <w:bookmarkEnd w:id="33"/>
    </w:p>
    <w:p>
      <w:pPr>
        <w:pStyle w:val="2"/>
        <w:spacing w:line="440" w:lineRule="exact"/>
        <w:rPr>
          <w:rFonts w:ascii="宋体" w:hAnsi="宋体" w:cs="宋体"/>
          <w:sz w:val="24"/>
          <w:szCs w:val="24"/>
        </w:rPr>
      </w:pPr>
      <w:bookmarkStart w:id="34" w:name="_Toc54278985"/>
      <w:bookmarkStart w:id="35" w:name="_Toc344475120"/>
      <w:r>
        <w:rPr>
          <w:rFonts w:hint="eastAsia" w:ascii="宋体" w:hAnsi="宋体" w:cs="宋体"/>
          <w:sz w:val="24"/>
          <w:szCs w:val="24"/>
        </w:rPr>
        <w:t>一、服务期、地点及验收方式</w:t>
      </w:r>
      <w:bookmarkEnd w:id="34"/>
      <w:bookmarkEnd w:id="35"/>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rPr>
        <w:t>（一）服务期</w:t>
      </w:r>
      <w:r>
        <w:rPr>
          <w:rFonts w:hint="eastAsia" w:ascii="宋体" w:hAnsi="宋体" w:cs="宋体"/>
          <w:sz w:val="24"/>
          <w:szCs w:val="24"/>
          <w:lang w:val="en-US" w:eastAsia="zh-CN"/>
        </w:rPr>
        <w:t>：合同签订之日有效，具体开始时间以甲方通知为准，6</w:t>
      </w:r>
      <w:bookmarkStart w:id="104" w:name="_GoBack"/>
      <w:bookmarkEnd w:id="104"/>
      <w:r>
        <w:rPr>
          <w:rFonts w:hint="eastAsia" w:ascii="宋体" w:hAnsi="宋体" w:cs="宋体"/>
          <w:sz w:val="24"/>
          <w:szCs w:val="24"/>
          <w:lang w:val="en-US" w:eastAsia="zh-CN"/>
        </w:rPr>
        <w:t>0天。</w:t>
      </w:r>
    </w:p>
    <w:p>
      <w:pPr>
        <w:spacing w:line="540" w:lineRule="exact"/>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（二）服务地点：大渡口区建桥工业园C区。</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（三）验收方式及标准</w:t>
      </w:r>
      <w:bookmarkStart w:id="36" w:name="_Toc344475121"/>
      <w:bookmarkStart w:id="37" w:name="_Toc54278986"/>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1.验收单位：采购人、市电力公司、设计单位、监理单位等相关部门验收。如验收不合格，对采购人造成损失的，成交单位应承担修复、重做、赔偿损失等责任，采购人不再另行付费。</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2.验收标准：满足图纸技术要求， 达到国家及行业现行施工质量验收规范和标准的要求，并一次性验收合格。</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 xml:space="preserve">3.验收解决：采购人对工程质量提出异议要求检验或检测的：结果为合格的，费用由采购人承担。结果为不合格或达不到本条标准的，其费用由承包人承担。 </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4.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5.工程完工后30日应通过市电力公司验收。</w:t>
      </w:r>
    </w:p>
    <w:p>
      <w:pPr>
        <w:pStyle w:val="2"/>
        <w:spacing w:line="400" w:lineRule="exact"/>
        <w:rPr>
          <w:rFonts w:ascii="宋体" w:hAnsi="宋体" w:cs="宋体"/>
          <w:sz w:val="24"/>
          <w:szCs w:val="24"/>
        </w:rPr>
      </w:pPr>
      <w:r>
        <w:rPr>
          <w:rFonts w:hint="eastAsia" w:ascii="宋体" w:hAnsi="宋体" w:cs="宋体"/>
          <w:sz w:val="24"/>
          <w:szCs w:val="24"/>
        </w:rPr>
        <w:t>二、</w:t>
      </w:r>
      <w:bookmarkEnd w:id="36"/>
      <w:r>
        <w:rPr>
          <w:rFonts w:hint="eastAsia" w:ascii="宋体" w:hAnsi="宋体" w:cs="宋体"/>
          <w:sz w:val="24"/>
          <w:szCs w:val="24"/>
        </w:rPr>
        <w:t>报价要求</w:t>
      </w:r>
      <w:bookmarkEnd w:id="37"/>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（一）报价要求</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1.本次磋商报价须为人民币报价，采用固定单价合同。</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2.供应商须严格按照随磋商文件一并发出的分部分项工程项目清单计价表逐项填报清单单价及总价，清单单价及总价不得超出采购人给出的限价，同时清单总价应与报价函中的总价一致，不一致的按清单总价修正。</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3.磋商过程中二次报价时，供应商只需对总价进行二次报价，分部分项工程项目清单计价表中的单项报价在签订合同时按照（二次报价/初始报价）的价格比例进行等比例调整即可，二次报价中供应商无需再逐项进行单项报价。</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4.供应商的报价中对于采购人给出的安全文明施工费以及暂列金额都不能进行改动，须按照采购人给出的金额报价，否则视为无效响应。</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5.磋商报价范围：各供应商对采购人提供的工程量清单和现场情况进行自主报价。</w:t>
      </w:r>
    </w:p>
    <w:p>
      <w:pPr>
        <w:spacing w:line="540" w:lineRule="exact"/>
        <w:ind w:firstLine="480" w:firstLineChars="200"/>
        <w:jc w:val="left"/>
        <w:rPr>
          <w:rFonts w:ascii="宋体" w:hAnsi="宋体" w:cs="宋体"/>
          <w:sz w:val="24"/>
          <w:szCs w:val="24"/>
        </w:rPr>
      </w:pPr>
      <w:bookmarkStart w:id="38" w:name="_Toc54278994"/>
      <w:r>
        <w:rPr>
          <w:rFonts w:hint="eastAsia" w:ascii="宋体" w:hAnsi="宋体" w:cs="宋体"/>
          <w:sz w:val="24"/>
          <w:szCs w:val="24"/>
        </w:rPr>
        <w:t>（二）竞标报价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本项目设最高限价为人民币:</w:t>
      </w:r>
      <w:r>
        <w:rPr>
          <w:rFonts w:hint="eastAsia" w:ascii="宋体" w:hAnsi="宋体" w:cs="宋体"/>
          <w:sz w:val="24"/>
          <w:szCs w:val="24"/>
          <w:lang w:val="en-US" w:eastAsia="zh-CN"/>
        </w:rPr>
        <w:t>777234.01</w:t>
      </w:r>
      <w:r>
        <w:rPr>
          <w:rFonts w:hint="eastAsia" w:ascii="宋体" w:hAnsi="宋体" w:cs="宋体"/>
          <w:sz w:val="24"/>
          <w:szCs w:val="24"/>
        </w:rPr>
        <w:t>（</w:t>
      </w:r>
      <w:r>
        <w:rPr>
          <w:rFonts w:hint="eastAsia" w:ascii="宋体" w:hAnsi="宋体" w:cs="宋体"/>
          <w:sz w:val="24"/>
          <w:szCs w:val="24"/>
          <w:lang w:eastAsia="zh-CN"/>
        </w:rPr>
        <w:t>大写：柒拾柒万柒仟贰佰叁拾肆元零壹分</w:t>
      </w:r>
      <w:r>
        <w:rPr>
          <w:rFonts w:hint="eastAsia" w:ascii="宋体" w:hAnsi="宋体" w:cs="宋体"/>
          <w:sz w:val="24"/>
          <w:szCs w:val="24"/>
        </w:rPr>
        <w:t>）。其中措施项目费：￥</w:t>
      </w:r>
      <w:r>
        <w:rPr>
          <w:rFonts w:hint="eastAsia" w:ascii="宋体" w:hAnsi="宋体" w:cs="宋体"/>
          <w:sz w:val="24"/>
          <w:szCs w:val="24"/>
          <w:lang w:val="en-US" w:eastAsia="zh-CN"/>
        </w:rPr>
        <w:t>22364.51</w:t>
      </w:r>
      <w:r>
        <w:rPr>
          <w:rFonts w:hint="eastAsia" w:ascii="宋体" w:hAnsi="宋体" w:cs="宋体"/>
          <w:sz w:val="24"/>
          <w:szCs w:val="24"/>
        </w:rPr>
        <w:t>(含安全文明施工费</w:t>
      </w:r>
      <w:r>
        <w:rPr>
          <w:rFonts w:hint="eastAsia" w:ascii="宋体" w:hAnsi="宋体" w:cs="宋体"/>
          <w:sz w:val="24"/>
          <w:szCs w:val="24"/>
          <w:lang w:val="en-US" w:eastAsia="zh-CN"/>
        </w:rPr>
        <w:t>13024.46</w:t>
      </w:r>
      <w:r>
        <w:rPr>
          <w:rFonts w:hint="eastAsia" w:ascii="宋体" w:hAnsi="宋体" w:cs="宋体"/>
          <w:sz w:val="24"/>
          <w:szCs w:val="24"/>
        </w:rPr>
        <w:t>）。施工期间需要其他单位配合及办证所需的相关费用,须综合考虑在竞标报价中。竞标人的总报价、措施项目费总报价（含安全文明施工费）和每项清单的投标单价均不得超过招标人发布的相应最高限价，否则按无效竞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1.各竞标人以</w:t>
      </w:r>
      <w:r>
        <w:rPr>
          <w:rFonts w:hint="eastAsia" w:ascii="宋体" w:hAnsi="宋体" w:cs="宋体"/>
          <w:sz w:val="24"/>
          <w:szCs w:val="24"/>
          <w:lang w:eastAsia="zh-CN"/>
        </w:rPr>
        <w:t>竞争性磋商</w:t>
      </w:r>
      <w:r>
        <w:rPr>
          <w:rFonts w:hint="eastAsia" w:ascii="宋体" w:hAnsi="宋体" w:cs="宋体"/>
          <w:sz w:val="24"/>
          <w:szCs w:val="24"/>
        </w:rPr>
        <w:t>文件、合同条件、工程量清单、本次采购范围的施工设计图纸、地勘报告、国家技术和经济规范及标准《建设工程工程量清单计价规范》（GB50500-2013）、《重庆市建设工程工程量清单计价规则》（CQJJGZ-2013）、《重庆市建设工程工程量计算规则》（CQJLGZ-2013）、《重庆市市政工程计价定额》（CQSZDE-2018）、《重庆市安装工程计价定额》（CQAZDE-2018）、《重庆市房屋建筑与装饰工程计价定额》（CQJZZSDE-2018）、《重庆市建设工程费用定额》（CQFYDE-2018）、《混凝土及砂浆配合比表、施工机械台班定额》（CQPSDE-2018）、《关于适用增值税新税率调整建设工程计价依据的通知》（渝建【2019】143号）及相关配套文件的规定，结合自身实力、市场行情自主合理报价。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采用固定综合单价。本工程各分部分项工程量清单不论其对应的项目特征和工作内容是否描述完整，都将被认为已包括《建设工程工程量清单计价规范》（GB50500-2013）、《重庆市建设工程工程量清单计价规则》（CQJJGZ-2013）中相应项目编码和项目名称及施工图纸、相关规范、标准、政策性文件、规定、限制和禁止使用通告等所有工程内容及完成此工作内容而必须的各种主要、辅助工作；其综合单价应包括完成该子项所需的人工费、材料费、机械费、管理费、利润、风险费用等除措施费、安全文明施工费、规费、税金外的所有费用以及合同文件中明示或暗示的应由中标人承担的所有责任、义务、一般风险及相应的费用。中标后采购人不再对综合单价进行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 3.措施项目费清单包括施工组织措施项目清单和施工技术措施项目清单两部分。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施工组织措施项目清单：采购人给出的施工组织措施项目清单仅供竞标人参考，竞标人在竞标报价时可参照采购人给出的施工组织措施项目清单并结合本工程的实际情况和国家及重庆市相关管理规定自行增减项目，并进行报价。如果漏项或不报价，视为已包含在其他清单项目综合单价内。成交后施工组织措施项目费用（除安全文明施工费外）一概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 施工技术措施项目清单：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4.工程量清单中的项、量、综合单价：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（1）如果采购人提供的工程量清单中的工程量与采购的施工设计图中工程量不一致，竞标人应按</w:t>
      </w:r>
      <w:r>
        <w:rPr>
          <w:rFonts w:hint="eastAsia" w:ascii="宋体" w:hAnsi="宋体" w:cs="宋体"/>
          <w:sz w:val="24"/>
          <w:szCs w:val="24"/>
          <w:lang w:eastAsia="zh-CN"/>
        </w:rPr>
        <w:t>竞争性磋商</w:t>
      </w:r>
      <w:r>
        <w:rPr>
          <w:rFonts w:hint="eastAsia" w:ascii="宋体" w:hAnsi="宋体" w:cs="宋体"/>
          <w:sz w:val="24"/>
          <w:szCs w:val="24"/>
        </w:rPr>
        <w:t>文件质疑截止时间前通知采购人核查，除采购人对工程量清单主动补遗或对竞标人质疑作修改外，应以工程量清单中列出的工程量为准。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（2）竞标人在编制竞标报价时不得擅自变改采购人提供的分部分项工程量清单中的序号、项目编码、项目名称、项目特征、工程量及计量单位，否则视为对</w:t>
      </w:r>
      <w:r>
        <w:rPr>
          <w:rFonts w:hint="eastAsia" w:ascii="宋体" w:hAnsi="宋体" w:cs="宋体"/>
          <w:sz w:val="24"/>
          <w:szCs w:val="24"/>
          <w:lang w:eastAsia="zh-CN"/>
        </w:rPr>
        <w:t>竞争性磋商</w:t>
      </w:r>
      <w:r>
        <w:rPr>
          <w:rFonts w:hint="eastAsia" w:ascii="宋体" w:hAnsi="宋体" w:cs="宋体"/>
          <w:sz w:val="24"/>
          <w:szCs w:val="24"/>
        </w:rPr>
        <w:t>文件不作实质性响应，其竞标文件按废标处理。工程量清单中“项目特征”描述不作为竞标报价的唯一依据，竞标人应根据分部分项工程量清单计价表中“项目特征”的描述结合</w:t>
      </w:r>
      <w:r>
        <w:rPr>
          <w:rFonts w:hint="eastAsia" w:ascii="宋体" w:hAnsi="宋体" w:cs="宋体"/>
          <w:sz w:val="24"/>
          <w:szCs w:val="24"/>
          <w:lang w:eastAsia="zh-CN"/>
        </w:rPr>
        <w:t>竞争性磋商</w:t>
      </w:r>
      <w:r>
        <w:rPr>
          <w:rFonts w:hint="eastAsia" w:ascii="宋体" w:hAnsi="宋体" w:cs="宋体"/>
          <w:sz w:val="24"/>
          <w:szCs w:val="24"/>
        </w:rPr>
        <w:t>文件中的竞标人须知、通用合同条款、专用合同条款、技术标准和要求、施工设计图纸和对现场的勘察情况等一起阅读和理解并确定报价。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（3）竞争性</w:t>
      </w:r>
      <w:r>
        <w:rPr>
          <w:rFonts w:hint="eastAsia" w:ascii="宋体" w:hAnsi="宋体" w:cs="宋体"/>
          <w:sz w:val="24"/>
          <w:szCs w:val="24"/>
          <w:lang w:eastAsia="zh-CN"/>
        </w:rPr>
        <w:t>磋商</w:t>
      </w:r>
      <w:r>
        <w:rPr>
          <w:rFonts w:hint="eastAsia" w:ascii="宋体" w:hAnsi="宋体" w:cs="宋体"/>
          <w:sz w:val="24"/>
          <w:szCs w:val="24"/>
        </w:rPr>
        <w:t>文件及相关补遗文件规定了材料暂估单价、暂定综合单价、专业工程暂估价或暂列金额的，竞标人必须按规定的暂定价格进行报价，否则视为对</w:t>
      </w:r>
      <w:r>
        <w:rPr>
          <w:rFonts w:hint="eastAsia" w:ascii="宋体" w:hAnsi="宋体" w:cs="宋体"/>
          <w:sz w:val="24"/>
          <w:szCs w:val="24"/>
          <w:lang w:eastAsia="zh-CN"/>
        </w:rPr>
        <w:t>竞争性磋商</w:t>
      </w:r>
      <w:r>
        <w:rPr>
          <w:rFonts w:hint="eastAsia" w:ascii="宋体" w:hAnsi="宋体" w:cs="宋体"/>
          <w:sz w:val="24"/>
          <w:szCs w:val="24"/>
        </w:rPr>
        <w:t>文件不作实质性响应，其竞标文件按废标处理。若评标时未发现，中标后或结算时若发现投标报价中暂定价金额有改动的，结算时均按采购人提供的暂定价与认定价之间的价差进行调整；若发现投标报价中漏报或少报的，则视为已摊销在其他项目清单报价中。</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（4）竞标人只有严格按采购人提供的《工程量清单》和本</w:t>
      </w:r>
      <w:r>
        <w:rPr>
          <w:rFonts w:hint="eastAsia" w:ascii="宋体" w:hAnsi="宋体" w:cs="宋体"/>
          <w:sz w:val="24"/>
          <w:szCs w:val="24"/>
          <w:lang w:eastAsia="zh-CN"/>
        </w:rPr>
        <w:t>竞争性磋商</w:t>
      </w:r>
      <w:r>
        <w:rPr>
          <w:rFonts w:hint="eastAsia" w:ascii="宋体" w:hAnsi="宋体" w:cs="宋体"/>
          <w:sz w:val="24"/>
          <w:szCs w:val="24"/>
        </w:rPr>
        <w:t>文件中提供的已标价工程量清单表格格式内所有项目进行报价，不得出现漏项或增项，否则视为对</w:t>
      </w:r>
      <w:r>
        <w:rPr>
          <w:rFonts w:hint="eastAsia" w:ascii="宋体" w:hAnsi="宋体" w:cs="宋体"/>
          <w:sz w:val="24"/>
          <w:szCs w:val="24"/>
          <w:lang w:eastAsia="zh-CN"/>
        </w:rPr>
        <w:t>竞争性磋商</w:t>
      </w:r>
      <w:r>
        <w:rPr>
          <w:rFonts w:hint="eastAsia" w:ascii="宋体" w:hAnsi="宋体" w:cs="宋体"/>
          <w:sz w:val="24"/>
          <w:szCs w:val="24"/>
        </w:rPr>
        <w:t>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以及相应的规费、措施费和税金，并据此从结算价中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（5）竞标人在进行第一轮竞标报价时,不能进行竞标总价优惠(或降价、让利)，竞标人对竞标报价的任何优惠(或降价、让利)均应反映在相应清单项目的综合单价中，否则视为对</w:t>
      </w:r>
      <w:r>
        <w:rPr>
          <w:rFonts w:hint="eastAsia" w:ascii="宋体" w:hAnsi="宋体" w:cs="宋体"/>
          <w:sz w:val="24"/>
          <w:szCs w:val="24"/>
          <w:lang w:eastAsia="zh-CN"/>
        </w:rPr>
        <w:t>竞争性磋商</w:t>
      </w:r>
      <w:r>
        <w:rPr>
          <w:rFonts w:hint="eastAsia" w:ascii="宋体" w:hAnsi="宋体" w:cs="宋体"/>
          <w:sz w:val="24"/>
          <w:szCs w:val="24"/>
        </w:rPr>
        <w:t>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5.安全文明施工费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1）根据《关于印发&lt;重庆市建设工程安全文明施工费计取及使用管理规定&gt;的通知》（渝建发[2014]25号）规定、《重庆市城乡建设委员会关于适用增值税新税率调整建设工程计价依据的通知》（渝建发[2019]143号）规定，安全文明施工费由安全施工费、文明施工费、环境保护费及临时设施费组成。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安全文明施工费由采购人根据《建设工程工程量清单计价规范》（GB50500-2013)、《重庆市建设工程工程量清单计价规则》（CQJJGZ-2013)、《关于印发&lt;重庆市建设工程安全文明施工费计取及使用管理规定&gt;的通知》（渝建发[2014]25号）、《关于调整工程费用计算程序及工程计价表格的通知》（渝建价发[2014]6号）、渝建发〔2016〕35号文《重庆市城乡建设委员会关于建筑业营业税改征增值税调整建设工程计价依据的通知》的相关规定和费用标准单列计算，安全文明施工费为暂定金额。《报标函》及工程量清单报价中的安全文明施工费必须按照采购人给出的暂定金额填报，否则视为对</w:t>
      </w:r>
      <w:r>
        <w:rPr>
          <w:rFonts w:hint="eastAsia" w:ascii="宋体" w:hAnsi="宋体" w:cs="宋体"/>
          <w:sz w:val="24"/>
          <w:szCs w:val="24"/>
          <w:lang w:eastAsia="zh-CN"/>
        </w:rPr>
        <w:t>竞争性磋商</w:t>
      </w:r>
      <w:r>
        <w:rPr>
          <w:rFonts w:hint="eastAsia" w:ascii="宋体" w:hAnsi="宋体" w:cs="宋体"/>
          <w:sz w:val="24"/>
          <w:szCs w:val="24"/>
        </w:rPr>
        <w:t>文件不作实质性响应，其竞标文件按废标处理。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6.材料采购及报价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（1）本工程所需材料、设备由成交人自行采购，但所采购的材料必须符合国家规范标准及设计文件、</w:t>
      </w:r>
      <w:r>
        <w:rPr>
          <w:rFonts w:hint="eastAsia" w:ascii="宋体" w:hAnsi="宋体" w:cs="宋体"/>
          <w:sz w:val="24"/>
          <w:szCs w:val="24"/>
          <w:lang w:eastAsia="zh-CN"/>
        </w:rPr>
        <w:t>竞争性磋商</w:t>
      </w:r>
      <w:r>
        <w:rPr>
          <w:rFonts w:hint="eastAsia" w:ascii="宋体" w:hAnsi="宋体" w:cs="宋体"/>
          <w:sz w:val="24"/>
          <w:szCs w:val="24"/>
        </w:rPr>
        <w:t>文件要求，并提供相应合格证明资料、质保书等。</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本工程所需的材料（设备）成交人应在采购前七日内将所采购材料设备的厂家、技术参数、品牌、质量等级等指标以书面形式通知采购人，采购人收到成交人的书面报告后七日内予以确认，经采购人认质、封样后成交人方可采购进场。</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本工程所需的材料、设备由各竞标人参照重庆市建设工程造价总站主办的《重庆工程造价信息》距本项目开标时间最近一期公布的信息价并结合市场行情以及竞标人的自身实力自主报价，并承担材料价格涨跌风险。成交后，材料、设备价格均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（4）材料、设备运输距离由竞标单位根据自身情况及踏勘现场情况自行确定。</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w:t>
      </w:r>
      <w:r>
        <w:rPr>
          <w:rFonts w:hint="eastAsia" w:ascii="宋体" w:hAnsi="宋体" w:cs="宋体"/>
          <w:sz w:val="24"/>
          <w:szCs w:val="24"/>
        </w:rPr>
        <w:tab/>
      </w:r>
      <w:r>
        <w:rPr>
          <w:rFonts w:hint="eastAsia" w:ascii="宋体" w:hAnsi="宋体" w:cs="宋体"/>
          <w:sz w:val="24"/>
          <w:szCs w:val="24"/>
        </w:rPr>
        <w:t>发承包双方按照《重庆市城乡建设委员会关于进一步加强建筑安装材料价格风险管控的指导意见》（渝建〔2018〕61号）执行建筑安装材料价格风险管控。</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7.人工费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本工程人工单价由各竞标人参照重庆市建设工程造价总站主办的《重庆工程造价信息》距本项目开标时间最近一期公布的市场人工信息价结合市场行情自主测算计入各分部分项综合单价中，成交后不再调整。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8. 其他说明</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应先到工地踏勘以充分了解工地位置、地质情况、进出场道路、拆迁干扰、储存空间、装卸限制、行车干扰及任何其它足以影响承包价格的情况，任何因忽视或误解工地情况而导致的申请调整价格、索赔或工期延长将不获批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（二）合同价格：本合同价款采用综合单价不变的合同总价。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三、结算原则、</w:t>
      </w:r>
    </w:p>
    <w:p>
      <w:pPr>
        <w:spacing w:line="540" w:lineRule="exact"/>
        <w:ind w:firstLine="482" w:firstLineChars="200"/>
        <w:jc w:val="left"/>
        <w:rPr>
          <w:rFonts w:ascii="宋体" w:hAnsi="宋体" w:cs="宋体"/>
          <w:b/>
          <w:bCs/>
          <w:sz w:val="24"/>
          <w:szCs w:val="24"/>
        </w:rPr>
      </w:pPr>
      <w:r>
        <w:rPr>
          <w:rFonts w:hint="eastAsia" w:ascii="宋体" w:hAnsi="宋体" w:cs="宋体"/>
          <w:b/>
          <w:bCs/>
          <w:sz w:val="24"/>
          <w:szCs w:val="24"/>
        </w:rPr>
        <w:t>特别说明：本工程结算时，凡涉及营改增的，均按《重庆市城乡建设委员会关于建筑业营业税改增值税调整建设工程计价依据的通知》渝建发【2016】35号及《重庆市城乡建设委员会关于关于适用增值税新税率调整建设工程计价依据的通知》（渝建发【2019】143号）规定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 结算总价＝分部分项工程量清单综合单价×子项工程量+措施项目费+其他项目费+安全文明施工费+规费+税金+设计变更及新增部分金额+合同约定的其它费用（合同如果没有约定，则去消此项目）</w:t>
      </w:r>
      <w:r>
        <w:rPr>
          <w:rFonts w:hint="eastAsia" w:ascii="宋体" w:hAnsi="宋体" w:cs="宋体"/>
          <w:sz w:val="24"/>
          <w:szCs w:val="24"/>
          <w:lang w:val="en-US" w:eastAsia="zh-CN"/>
        </w:rPr>
        <w:t>-违约金</w:t>
      </w:r>
      <w:r>
        <w:rPr>
          <w:rFonts w:hint="eastAsia" w:ascii="宋体" w:hAnsi="宋体" w:cs="宋体"/>
          <w:sz w:val="24"/>
          <w:szCs w:val="24"/>
        </w:rPr>
        <w:t>。</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    实际报价以竞标现场书面报价为准，成交单价将由报价文件（第一轮报价）中的清单价格按照实际报价下浮比例（现场总报价-安全文明施工费和暂列金额（如果有）/报价文件总报价-安全文明施工费和暂列金额（如果有））同比例下浮进行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2.各部分的结算原则如下：</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（1）分部分项工程量清单结算价：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40" w:lineRule="exact"/>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本工程分部分项清单中的“余方弃置增运33km”，投标人在报价时按增运33km考虑，如实际外运距离有所增减，结算时按招标人、监理单位等各方（如有跟踪审计单位，则必须有跟踪审计单位签字）核定的弃渣线路的运距进行等比例调整,结算时最远不超33KM，超过33KM按33KM计取（例：若实际增运运距为30km，则该清单子项结算价为:综合单价投标报价/33*实际方量*实际增运运距30km）。运距精确到小数点后一位。</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（2）措施费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施工组织措施费：无论因设计变更或施工工艺变化等任何因素而引起实际措施费的变化，均按投标时施工组织措施项目费（除安全文明施工费外）的报价作为结算价。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技术措施费：施工技术措施清单中以项计列的项目，无论因设计变更或施工工艺变化等任何因素而引起实际措施费的变化，均按投标时施工技术措施项目费的报价作为结算价。技术措施清单中以项目编码、项目名称、项目特征、工程内容、工程量及计量单位列项的项目，以中标人投标报价的综合单价乘以按《市政工程工程量计算规范》（GB50857-2013）、《通用安装工程工程量计算规范》（GB50856-2013）、《房屋建筑与装饰工程工程量计算规范》（GB50854-2013）、《重庆市建设工程工程量计算规则》（CQJLGZ－2013）、《爆破工程工程量计算规范》（GB50862-2013）规定的计量规则计算的实际合格工程量办理结算。施工技术措施项目费以暂列金额形式计入报价的(如果有)，根据发包人核定的价格按实结算或按照工程变更或新增项目清单结算原则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本工程设计变更、采购工程量清单漏项或新增项目价款结算办法：工程设计变更确定后，设计变更涉及工程价款调整的，或采购工程量清单中有漏项或工程施工中出现新增项目，由成交人在变更项目启动后7天内向采购人提出，经采购人审核同意后调整合同价款。调整方法如下：</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投标报价的工程量清单中有相同的子项，原则上按投标时的相同子项的综合单价报价执行；如投标报价中相同子项的综合单价明显高于市场价格，其综合单价需由成交人报送采购人重新审核，以采购人的审定的综合单价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投标报价的工程量清单中有类似子项的，原则上按投标时的类似子项的综合单价报价执行；如投标报价中类似子项的综合单价明显高于市场价格，其综合单价需由成交人报送采购人重新审核，以采购人的审定的综合单价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变更（包括签证）工程与工程量清单中无相同子项或类似子项的，按照《建设工程工程量清单计价规范》（GB50500-2013）、《重庆市建设工程工程量清单计价规则》（CQJJGZ-2013）、《重庆市房屋建筑与装饰工程计价定额》（CQJZZSDE-2018）、《重庆市市政工程计价定额》（CQSZDE-2018）、《重庆市安装工程计价定额》（CQAZDE-2018）、《重庆市建设工程费用定额》（CQFYDE-2018）、《混凝土及砂浆配合比表、施工机械台班定额》（CQPSDE-2018）及相关配套文件的规定进行组价（其中材料及人工费中标价中有的按中标价计算；中标价中没有的材料单价按施工期间重庆市建设工程造价总站主办的《重庆工程造价信息》公布的信息价算数平均值执行；中标价及《重庆工程造价信息》中均没有的材料由采购人认质核价后，按核定的材料价格执行），组价后按成交价（扣除暂列金额）与最高限价（扣除暂列金额）下浮比例下浮后进入结算（其中按市场价计入的材料单价或综合单价不下浮）。</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A、材料由成交人进行采购，其中工程的主要材料部分采购前需报监理人和采购人核质核价后再行采购，按结算评审审定后价格进行结算；如《重庆工程造价信息》中有的材料，核定价不得高于施工期间《重庆工程造价信息》信息价的算术平均值。 </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B、人工工日单价按投标报价中的人工工日单价执行，投标报价中没有的人工工日单价则按施工期间《重庆工程造价信息》公布的大渡口区人工指导价的算术平均值执行。</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④变更工程量按《重庆市建设工程工程量计算规则》（CQJLGZ-2013）的规定的计量规则计算。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（4）其他项目清单结算金额</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①材料采用暂估单价的，在施工过程中，使用前由成交人报价，经采购人审核同意后方可采购、施工。结算时只对采购人核定单价与暂估单价的价差部分进行调整（调整的数量根据工程结算数量确定），该价差除税金外不再计取其他任何费用。若成交人在采购人核价后5个工作日内，成交人拒绝签字确认采购人核定的价格或拒绝按采购人核定的价格采购的，则该种材料改为甲方采购供应，其该种材料费用采购人按暂估单价（含应计取的税金）在结算价款中扣除，且采购人还应按规定收取该种材料费用的采保费的1/3。</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注：材料暂估单价仅指此类材料本身运至施工现场的价格，不包括这些材料的安装、安装所必须的辅助材料以及发生在现场内的验收、存储、保管、二次搬运、从存放地点运至安装地点以及其他任何必要的辅助工作所发生的费用，上述费用由竞标人自行考虑计入各相应子目的综合单价报价中，成交后不再计取。</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②本工程采用专业工程暂估价或暂列金额采购的，结算时按实结算。其中以暂列金额采购的施工内容实施与否由采购人决定。</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安全文明施工费：按渝建发[2014]25号、《重庆市城乡建设委员会关于建筑业营业税改征增值税调整建设工程计价依据的通知》（渝建发（2016）35号）、《关于印发&lt;重庆市城乡建设委员会关于适用增值税新税率调整建设工程计价依据&gt;的通知》（渝建发〔2019〕143号）的规定按实结算。安全文明施工综合评定结果为不合格，则不计取。</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（6）规费：按投标费率结算，若中标人的投标报价中规费费率高于规定费率，则以规定费率结算。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（7）税金：按投标费率结算，若中标人的投标报价中税金费率高于规定费率，则以规定费率结算。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 本工程所需材料、设备（暂估价、暂列金额除外）由投标人自行承担材料、设备价格涨跌风险，中标后不作调整。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4.本工程结算金额最终以大渡口区结算评审部门评审金额为准。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 xml:space="preserve"> 注：（1）在项目结算评审时，业主单位应先进行初审，再报结算评审。基本收费由业主承担，审减率在5%之内（含5%）的审减效益费由业主单位承担；审减率超过5%的，全部审减效益费由施工单位承担，由业主单位统一支付后在工程款中扣减。(该审减率为不抵扣审增部分的净审减率)</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pPr>
        <w:spacing w:line="400" w:lineRule="exact"/>
        <w:ind w:firstLine="482" w:firstLineChars="200"/>
        <w:rPr>
          <w:rFonts w:ascii="宋体" w:hAnsi="宋体" w:cs="宋体"/>
          <w:b/>
          <w:sz w:val="24"/>
          <w:szCs w:val="24"/>
        </w:rPr>
      </w:pPr>
      <w:r>
        <w:rPr>
          <w:rFonts w:hint="eastAsia" w:ascii="宋体" w:hAnsi="宋体" w:cs="宋体"/>
          <w:b/>
          <w:sz w:val="24"/>
          <w:szCs w:val="24"/>
        </w:rPr>
        <w:t>四、质保期及要求</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1、中标人应在工程完成之日起5个工作日内向采购人递交工程验收申请；本工程的质保期为自工程验收合格之日起2年。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2、在质保期内，中标人在接到采购人通知（包括电话、电邮、传真）后1小时之内应派遣有经验的技术人员到达施工现场，履行保修义务或处理紧急维修工作。</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3、在维修质保期内，出现非人为质量问题，中标人应无条件返工。</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4.在质保期结束前，采购人可要求中标人对本工程进行全面检查，如在检查中发现的问题，应予以及时处理和解决，由此产生的一切费用由中标人承担。</w:t>
      </w:r>
    </w:p>
    <w:p>
      <w:pPr>
        <w:spacing w:line="400" w:lineRule="exact"/>
        <w:ind w:firstLine="482" w:firstLineChars="200"/>
        <w:rPr>
          <w:rFonts w:ascii="宋体" w:hAnsi="宋体" w:cs="宋体"/>
          <w:b/>
          <w:sz w:val="24"/>
          <w:szCs w:val="24"/>
        </w:rPr>
      </w:pPr>
      <w:r>
        <w:rPr>
          <w:rFonts w:hint="eastAsia" w:ascii="宋体" w:hAnsi="宋体" w:cs="宋体"/>
          <w:b/>
          <w:sz w:val="24"/>
          <w:szCs w:val="24"/>
        </w:rPr>
        <w:t>五、付款方式</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施工期间甲方不支付工程款，工程</w:t>
      </w:r>
      <w:r>
        <w:rPr>
          <w:rFonts w:hint="default" w:ascii="宋体" w:hAnsi="宋体" w:cs="宋体"/>
          <w:sz w:val="24"/>
          <w:szCs w:val="24"/>
        </w:rPr>
        <w:t>完工</w:t>
      </w:r>
      <w:r>
        <w:rPr>
          <w:rFonts w:hint="eastAsia" w:ascii="宋体" w:hAnsi="宋体" w:cs="宋体"/>
          <w:sz w:val="24"/>
          <w:szCs w:val="24"/>
        </w:rPr>
        <w:t>并通过电力部门验收合格后一个月内支付合同金额的60%，工程结算评审后1个月内支付至结算金额的97%，余款3%作为质保金待质保期两年满后支付。（质保期从验收合格之日起计算）</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采购人在工程费用支付前，中标人应开具足额的增值税专用发票，如中标人未按规定提交，造成的延期支付由中标人自行承担。施工期间如不服从采购人管理，采购人可根据实际情况按违约处理，并处相应罚款，从结算工程款中扣除。</w:t>
      </w:r>
      <w:bookmarkStart w:id="39" w:name="_Toc344475124"/>
      <w:bookmarkStart w:id="40" w:name="_Toc54278991"/>
    </w:p>
    <w:p>
      <w:pPr>
        <w:pStyle w:val="2"/>
        <w:spacing w:line="400" w:lineRule="exact"/>
        <w:ind w:firstLine="482" w:firstLineChars="200"/>
        <w:rPr>
          <w:rFonts w:ascii="宋体" w:hAnsi="宋体" w:cs="宋体"/>
          <w:sz w:val="24"/>
          <w:szCs w:val="24"/>
        </w:rPr>
      </w:pPr>
      <w:r>
        <w:rPr>
          <w:rFonts w:hint="eastAsia" w:ascii="宋体" w:hAnsi="宋体" w:cs="宋体"/>
          <w:sz w:val="24"/>
          <w:szCs w:val="24"/>
        </w:rPr>
        <w:t>六、</w:t>
      </w:r>
      <w:bookmarkEnd w:id="39"/>
      <w:bookmarkStart w:id="41" w:name="_Toc344475125"/>
      <w:r>
        <w:rPr>
          <w:rFonts w:hint="eastAsia" w:ascii="宋体" w:hAnsi="宋体" w:cs="宋体"/>
          <w:sz w:val="24"/>
          <w:szCs w:val="24"/>
        </w:rPr>
        <w:t>施工安全</w:t>
      </w:r>
      <w:bookmarkEnd w:id="40"/>
    </w:p>
    <w:bookmarkEnd w:id="41"/>
    <w:p>
      <w:pPr>
        <w:spacing w:line="540" w:lineRule="exact"/>
        <w:ind w:firstLine="480" w:firstLineChars="200"/>
        <w:jc w:val="left"/>
        <w:rPr>
          <w:rFonts w:ascii="宋体" w:hAnsi="宋体" w:cs="宋体"/>
          <w:sz w:val="24"/>
          <w:szCs w:val="24"/>
        </w:rPr>
      </w:pPr>
      <w:r>
        <w:rPr>
          <w:rFonts w:hint="eastAsia" w:ascii="宋体" w:hAnsi="宋体" w:cs="宋体"/>
          <w:sz w:val="24"/>
          <w:szCs w:val="24"/>
        </w:rPr>
        <w:t>成交供应商负有安全施工责任，应保证所有现场施工人员及施工区域的人身财产安全。若出现任何安全事故的，由成交供应商承担所有责任。</w:t>
      </w:r>
    </w:p>
    <w:p>
      <w:pPr>
        <w:pStyle w:val="2"/>
        <w:spacing w:line="400" w:lineRule="exact"/>
        <w:ind w:firstLine="482" w:firstLineChars="200"/>
        <w:rPr>
          <w:rFonts w:ascii="宋体" w:hAnsi="宋体" w:cs="宋体"/>
          <w:sz w:val="24"/>
          <w:szCs w:val="24"/>
        </w:rPr>
      </w:pPr>
      <w:bookmarkStart w:id="42" w:name="_Toc54278993"/>
      <w:r>
        <w:rPr>
          <w:rFonts w:hint="eastAsia" w:ascii="宋体" w:hAnsi="宋体" w:cs="宋体"/>
          <w:sz w:val="24"/>
          <w:szCs w:val="24"/>
        </w:rPr>
        <w:t>七、其他</w:t>
      </w:r>
      <w:bookmarkEnd w:id="42"/>
    </w:p>
    <w:p>
      <w:pPr>
        <w:spacing w:line="540" w:lineRule="exact"/>
        <w:ind w:firstLine="480" w:firstLineChars="200"/>
        <w:jc w:val="left"/>
        <w:rPr>
          <w:rFonts w:ascii="宋体" w:hAnsi="宋体" w:cs="宋体"/>
          <w:sz w:val="24"/>
          <w:szCs w:val="24"/>
        </w:rPr>
      </w:pPr>
      <w:r>
        <w:rPr>
          <w:rFonts w:hint="eastAsia" w:ascii="宋体" w:hAnsi="宋体" w:cs="宋体"/>
          <w:sz w:val="24"/>
          <w:szCs w:val="24"/>
        </w:rPr>
        <w:t>1.施工期间的用水、用电由成交单位自行解决，并承担相应费用。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2.成交单位应做好安全文明施工、做好施工期间的清扫保洁工作。</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3.成交单位在施工中应加强附属建筑物及成品保护，如因施工造成损坏的，由成交单位承担由此造成的一切责任。</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5.采购人要求成交人完成合同以外施工范围内或施工范围外但与本施工项目有密切关系的零星项目，成交人应接受采购人施工要求，并向采购人提出工程量签证。</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6.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7.施工期间安全由成交人全权负责。</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8.采购人有权根据现场具体情况，增减采购招标范围及内容，投标人不得拒绝。</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9.成交单位在施工过程中加强对成品的保护，如有损坏，由成交人赔偿。</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10.中标单位如未按合同约定工期完工的（除不可抗力或经采购人同意），对中标单位处</w:t>
      </w:r>
      <w:r>
        <w:rPr>
          <w:rFonts w:hint="eastAsia" w:ascii="宋体" w:hAnsi="宋体" w:cs="宋体"/>
          <w:sz w:val="24"/>
          <w:szCs w:val="24"/>
          <w:lang w:eastAsia="zh-CN"/>
        </w:rPr>
        <w:t>万分之五</w:t>
      </w:r>
      <w:r>
        <w:rPr>
          <w:rFonts w:hint="eastAsia" w:ascii="宋体" w:hAnsi="宋体" w:cs="宋体"/>
          <w:sz w:val="24"/>
          <w:szCs w:val="24"/>
        </w:rPr>
        <w:t>/天的罚款。中标单位逾期竣工验收超过10日的，采购人有权解除合同，造成的经济损失由中标单位承担。中标单位的工程款按实际完成工程量的70%结算，在本工程另行发包竣工结算完毕后30日内给付。</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11.发包人有权对设计方案进行优化调整或修改，承包人须积极配合，并不得以此为由要求调整合同约定单价。</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12.设计图或清单有疑问、不符或不清楚的，以发包人及设计人解释为准。</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13.如因工程需要发包人有权对工程内容、范围等做相应的调整，承包人应无条件服从业主安排且合同约定单价不变。</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14.经发包人认质、封样确认后的材料或设备，承包人不得更换。发包人一经发现，将给予2万元/样•次的罚款，发包人可直接从工程款中扣除。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15.施工期间如不服从采购人管理，采购人可根据实际情况按违约处理，并处相应罚款，从结算工程款中扣除。</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16.施工单位原则上应当于项目竣工3个月内配合业主单位完成竣工验收工作并完善工程结算资料，否则，造成项目无法结算,工程款无法支付等后果,由施工单位自行承担相关责任和损失。</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17.本合同未尽事宜双方协商解决。</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18.本项目不允许分包、转包、挂靠。</w:t>
      </w:r>
    </w:p>
    <w:p>
      <w:pPr>
        <w:spacing w:line="540" w:lineRule="exact"/>
        <w:ind w:firstLine="480" w:firstLineChars="200"/>
        <w:jc w:val="left"/>
        <w:rPr>
          <w:rFonts w:ascii="宋体" w:hAnsi="宋体" w:cs="宋体"/>
          <w:sz w:val="24"/>
          <w:szCs w:val="24"/>
        </w:rPr>
      </w:pPr>
    </w:p>
    <w:p>
      <w:pPr>
        <w:pStyle w:val="3"/>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38"/>
    </w:p>
    <w:p>
      <w:pPr>
        <w:pStyle w:val="2"/>
        <w:spacing w:line="440" w:lineRule="exact"/>
        <w:rPr>
          <w:rFonts w:ascii="宋体" w:hAnsi="宋体" w:cs="宋体"/>
          <w:sz w:val="24"/>
          <w:szCs w:val="24"/>
        </w:rPr>
      </w:pPr>
      <w:bookmarkStart w:id="43" w:name="_Toc54278995"/>
      <w:r>
        <w:rPr>
          <w:rFonts w:hint="eastAsia" w:ascii="宋体" w:hAnsi="宋体" w:cs="宋体"/>
          <w:sz w:val="24"/>
          <w:szCs w:val="24"/>
        </w:rPr>
        <w:t>一、磋商程序及方法</w:t>
      </w:r>
      <w:bookmarkEnd w:id="43"/>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检查因素</w:t>
            </w:r>
          </w:p>
        </w:tc>
        <w:tc>
          <w:tcPr>
            <w:tcW w:w="3564"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noWrap/>
            <w:vAlign w:val="center"/>
          </w:tcPr>
          <w:p>
            <w:pPr>
              <w:spacing w:line="240" w:lineRule="exact"/>
              <w:jc w:val="center"/>
              <w:rPr>
                <w:rFonts w:ascii="宋体" w:hAnsi="宋体" w:cs="宋体"/>
                <w:sz w:val="21"/>
                <w:szCs w:val="21"/>
              </w:rPr>
            </w:pPr>
            <w:r>
              <w:rPr>
                <w:rFonts w:hint="eastAsia" w:ascii="宋体" w:hAnsi="宋体" w:cs="宋体"/>
                <w:sz w:val="21"/>
                <w:szCs w:val="21"/>
              </w:rPr>
              <w:t>1</w:t>
            </w:r>
          </w:p>
        </w:tc>
        <w:tc>
          <w:tcPr>
            <w:tcW w:w="709" w:type="dxa"/>
            <w:vMerge w:val="restart"/>
            <w:noWrap/>
            <w:vAlign w:val="center"/>
          </w:tcPr>
          <w:p>
            <w:pPr>
              <w:spacing w:line="240" w:lineRule="exact"/>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（1）具有独立承担民事责任的能力</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 xml:space="preserve">供应商法人营业执照（副本）或事业单位法人证书（副本）或个体工商户营业执照或有效的自然人身份证明或社会团体法人登记证书（提供复印件）； </w:t>
            </w:r>
          </w:p>
          <w:p>
            <w:pPr>
              <w:spacing w:line="240" w:lineRule="exact"/>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64" w:type="dxa"/>
            <w:vMerge w:val="restart"/>
            <w:noWrap/>
            <w:vAlign w:val="center"/>
          </w:tcPr>
          <w:p>
            <w:pPr>
              <w:spacing w:line="240" w:lineRule="exact"/>
              <w:rPr>
                <w:rFonts w:ascii="宋体" w:hAnsi="宋体" w:cs="宋体"/>
                <w:sz w:val="21"/>
                <w:szCs w:val="21"/>
              </w:rPr>
            </w:pPr>
            <w:r>
              <w:rPr>
                <w:rFonts w:hint="eastAsia" w:ascii="宋体" w:hAnsi="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64" w:type="dxa"/>
            <w:vMerge w:val="continue"/>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64" w:type="dxa"/>
            <w:vMerge w:val="continue"/>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w:t>
            </w:r>
          </w:p>
        </w:tc>
        <w:tc>
          <w:tcPr>
            <w:tcW w:w="3564" w:type="dxa"/>
            <w:vMerge w:val="continue"/>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（6）法律、行政法规规定的其他条件</w:t>
            </w:r>
          </w:p>
        </w:tc>
        <w:tc>
          <w:tcPr>
            <w:tcW w:w="3564" w:type="dxa"/>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sz w:val="21"/>
                <w:szCs w:val="21"/>
              </w:rPr>
            </w:pPr>
            <w:r>
              <w:rPr>
                <w:rFonts w:hint="eastAsia" w:ascii="宋体" w:hAnsi="宋体" w:cs="宋体"/>
                <w:sz w:val="21"/>
                <w:szCs w:val="21"/>
              </w:rPr>
              <w:t>2</w:t>
            </w:r>
          </w:p>
        </w:tc>
        <w:tc>
          <w:tcPr>
            <w:tcW w:w="5388" w:type="dxa"/>
            <w:gridSpan w:val="2"/>
            <w:noWrap/>
            <w:vAlign w:val="center"/>
          </w:tcPr>
          <w:p>
            <w:pPr>
              <w:spacing w:line="240" w:lineRule="exact"/>
              <w:rPr>
                <w:rFonts w:ascii="宋体" w:hAnsi="宋体" w:cs="宋体"/>
                <w:sz w:val="21"/>
                <w:szCs w:val="21"/>
              </w:rPr>
            </w:pPr>
            <w:r>
              <w:rPr>
                <w:rFonts w:hint="eastAsia" w:ascii="宋体" w:hAnsi="宋体" w:cs="宋体"/>
                <w:sz w:val="21"/>
                <w:szCs w:val="21"/>
              </w:rPr>
              <w:t>特定资格条件</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按第一篇“（二）特定资格条件”的要求提交证明文件复印件</w:t>
            </w:r>
          </w:p>
        </w:tc>
      </w:tr>
    </w:tbl>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注：</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供应商按“多证合一”登记制度办理营业执照的，税务登记证（副本）和社会保险登记证以供应商所提供的营业执照（副本）复印件为准。</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9"/>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sz w:val="24"/>
          <w:szCs w:val="24"/>
        </w:rPr>
      </w:pPr>
      <w:r>
        <w:rPr>
          <w:rFonts w:hint="eastAsia" w:ascii="宋体" w:hAnsi="宋体" w:cs="宋体"/>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400" w:lineRule="exact"/>
        <w:ind w:firstLine="480" w:firstLineChars="200"/>
        <w:rPr>
          <w:rFonts w:ascii="宋体" w:hAnsi="宋体" w:cs="宋体"/>
          <w:sz w:val="24"/>
          <w:szCs w:val="24"/>
        </w:rPr>
      </w:pPr>
      <w:r>
        <w:rPr>
          <w:rFonts w:hint="eastAsia" w:ascii="宋体" w:hAnsi="宋体" w:cs="宋体"/>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（九）磋商小组采用综合评分法对提交最后报价的供应商的响应文件和最后报价（含有效书面承诺）进行综合评分。</w:t>
      </w:r>
      <w:r>
        <w:rPr>
          <w:rFonts w:hint="eastAsia" w:ascii="宋体" w:hAnsi="宋体" w:cs="宋体"/>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w:t>
      </w:r>
      <w:r>
        <w:rPr>
          <w:rFonts w:hint="eastAsia" w:ascii="宋体" w:hAnsi="宋体" w:cs="宋体"/>
          <w:kern w:val="0"/>
          <w:sz w:val="24"/>
          <w:szCs w:val="24"/>
          <w:lang w:val="en-US" w:eastAsia="zh-CN"/>
        </w:rPr>
        <w:t>0</w:t>
      </w:r>
      <w:r>
        <w:rPr>
          <w:rFonts w:hint="eastAsia" w:ascii="宋体" w:hAnsi="宋体" w:cs="宋体"/>
          <w:kern w:val="0"/>
          <w:sz w:val="24"/>
          <w:szCs w:val="24"/>
        </w:rPr>
        <w:t>分</w:t>
      </w:r>
      <w:r>
        <w:rPr>
          <w:rFonts w:hint="eastAsia" w:ascii="宋体" w:hAnsi="宋体" w:cs="宋体"/>
          <w:sz w:val="24"/>
          <w:szCs w:val="24"/>
        </w:rPr>
        <w:t>。（详见评审标准）。</w:t>
      </w:r>
    </w:p>
    <w:p>
      <w:pPr>
        <w:spacing w:line="400" w:lineRule="exact"/>
        <w:ind w:firstLine="480" w:firstLineChars="200"/>
        <w:rPr>
          <w:rFonts w:ascii="宋体" w:hAnsi="宋体" w:cs="宋体"/>
          <w:sz w:val="24"/>
          <w:szCs w:val="24"/>
        </w:rPr>
      </w:pPr>
      <w:r>
        <w:rPr>
          <w:rFonts w:hint="eastAsia" w:ascii="宋体" w:hAnsi="宋体" w:cs="宋体"/>
          <w:sz w:val="24"/>
          <w:szCs w:val="24"/>
        </w:rPr>
        <w:t>（十）磋商小组各成员独立对每个有效响应（通过资格性检查、</w:t>
      </w:r>
      <w:r>
        <w:rPr>
          <w:rFonts w:hint="eastAsia" w:ascii="宋体" w:hAnsi="宋体" w:cs="宋体"/>
          <w:kern w:val="0"/>
          <w:sz w:val="24"/>
          <w:szCs w:val="24"/>
        </w:rPr>
        <w:t>符合性检查的供应商</w:t>
      </w:r>
      <w:r>
        <w:rPr>
          <w:rFonts w:hint="eastAsia" w:ascii="宋体" w:hAnsi="宋体" w:cs="宋体"/>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2"/>
        <w:spacing w:line="440" w:lineRule="exact"/>
        <w:rPr>
          <w:rFonts w:ascii="宋体" w:hAnsi="宋体" w:cs="宋体"/>
          <w:sz w:val="24"/>
          <w:szCs w:val="24"/>
        </w:rPr>
      </w:pPr>
      <w:bookmarkStart w:id="44" w:name="_Toc54278996"/>
      <w:r>
        <w:rPr>
          <w:rFonts w:hint="eastAsia" w:ascii="宋体" w:hAnsi="宋体" w:cs="宋体"/>
          <w:sz w:val="24"/>
          <w:szCs w:val="24"/>
        </w:rPr>
        <w:t>二、</w:t>
      </w:r>
      <w:bookmarkStart w:id="45" w:name="_Toc102227320"/>
      <w:bookmarkStart w:id="46" w:name="_Toc342913394"/>
      <w:r>
        <w:rPr>
          <w:rFonts w:hint="eastAsia" w:ascii="宋体" w:hAnsi="宋体" w:cs="宋体"/>
          <w:sz w:val="24"/>
          <w:szCs w:val="24"/>
        </w:rPr>
        <w:t>评审标准</w:t>
      </w:r>
      <w:bookmarkEnd w:id="44"/>
      <w:r>
        <w:rPr>
          <w:rFonts w:hint="eastAsia" w:ascii="宋体" w:hAnsi="宋体" w:cs="宋体"/>
          <w:sz w:val="24"/>
          <w:szCs w:val="24"/>
        </w:rPr>
        <w:t>注</w:t>
      </w:r>
    </w:p>
    <w:tbl>
      <w:tblPr>
        <w:tblStyle w:val="13"/>
        <w:tblW w:w="948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00"/>
        <w:gridCol w:w="534"/>
        <w:gridCol w:w="5331"/>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675" w:type="dxa"/>
            <w:noWrap/>
            <w:vAlign w:val="center"/>
          </w:tcPr>
          <w:p>
            <w:pPr>
              <w:rPr>
                <w:rFonts w:ascii="宋体" w:hAnsi="宋体" w:cs="宋体"/>
                <w:sz w:val="24"/>
              </w:rPr>
            </w:pPr>
            <w:r>
              <w:rPr>
                <w:rFonts w:hint="eastAsia" w:ascii="宋体" w:hAnsi="宋体" w:cs="宋体"/>
                <w:sz w:val="24"/>
              </w:rPr>
              <w:t>1</w:t>
            </w:r>
          </w:p>
        </w:tc>
        <w:tc>
          <w:tcPr>
            <w:tcW w:w="1134" w:type="dxa"/>
            <w:gridSpan w:val="2"/>
            <w:noWrap/>
            <w:vAlign w:val="center"/>
          </w:tcPr>
          <w:p>
            <w:pPr>
              <w:rPr>
                <w:rFonts w:ascii="宋体" w:hAnsi="宋体" w:cs="宋体"/>
                <w:sz w:val="24"/>
              </w:rPr>
            </w:pPr>
            <w:r>
              <w:rPr>
                <w:rFonts w:hint="eastAsia" w:ascii="宋体" w:hAnsi="宋体" w:cs="宋体"/>
                <w:sz w:val="24"/>
              </w:rPr>
              <w:t>投标报价得分</w:t>
            </w:r>
            <w:r>
              <w:rPr>
                <w:rFonts w:hint="eastAsia" w:ascii="宋体" w:hAnsi="宋体" w:cs="宋体"/>
                <w:sz w:val="24"/>
                <w:lang w:val="en-US" w:eastAsia="zh-CN"/>
              </w:rPr>
              <w:t>70</w:t>
            </w:r>
            <w:r>
              <w:rPr>
                <w:rFonts w:hint="eastAsia" w:ascii="宋体" w:hAnsi="宋体" w:cs="宋体"/>
                <w:sz w:val="24"/>
              </w:rPr>
              <w:t>分（A）</w:t>
            </w:r>
          </w:p>
        </w:tc>
        <w:tc>
          <w:tcPr>
            <w:tcW w:w="5331" w:type="dxa"/>
            <w:noWrap/>
            <w:vAlign w:val="center"/>
          </w:tcPr>
          <w:p>
            <w:pPr>
              <w:rPr>
                <w:rFonts w:hint="eastAsia" w:ascii="宋体" w:hAnsi="宋体" w:cs="宋体"/>
                <w:sz w:val="24"/>
              </w:rPr>
            </w:pPr>
            <w:r>
              <w:rPr>
                <w:rFonts w:hint="eastAsia" w:ascii="宋体" w:hAnsi="宋体" w:cs="宋体"/>
                <w:sz w:val="24"/>
              </w:rPr>
              <w:t>有效的投标报价中的合价最低价为评标基准价，按照下列公式计算每个的投标价格得分。</w:t>
            </w:r>
          </w:p>
          <w:p>
            <w:pPr>
              <w:rPr>
                <w:rFonts w:hint="eastAsia" w:ascii="宋体" w:hAnsi="宋体" w:cs="宋体"/>
                <w:sz w:val="24"/>
              </w:rPr>
            </w:pPr>
            <w:r>
              <w:rPr>
                <w:rFonts w:hint="eastAsia" w:ascii="宋体" w:hAnsi="宋体" w:cs="宋体"/>
                <w:sz w:val="24"/>
              </w:rPr>
              <w:t>投标报价得分=（评标基准价/投标报价）×价格权重×100。</w:t>
            </w:r>
          </w:p>
          <w:p>
            <w:pPr>
              <w:rPr>
                <w:rFonts w:hint="eastAsia" w:ascii="宋体" w:hAnsi="宋体" w:cs="宋体"/>
                <w:sz w:val="24"/>
              </w:rPr>
            </w:pPr>
            <w:r>
              <w:rPr>
                <w:rFonts w:hint="eastAsia" w:ascii="宋体" w:hAnsi="宋体" w:cs="宋体"/>
                <w:sz w:val="24"/>
              </w:rPr>
              <w:t>以上计算取小数点后两位，第三位四舍五入。</w:t>
            </w:r>
          </w:p>
        </w:tc>
        <w:tc>
          <w:tcPr>
            <w:tcW w:w="2342" w:type="dxa"/>
            <w:noWrap/>
            <w:vAlign w:val="center"/>
          </w:tcPr>
          <w:p>
            <w:pPr>
              <w:rPr>
                <w:rFonts w:ascii="宋体" w:hAnsi="宋体" w:cs="宋体"/>
                <w:sz w:val="24"/>
              </w:rPr>
            </w:pPr>
            <w:r>
              <w:rPr>
                <w:rFonts w:hint="eastAsia" w:ascii="宋体" w:hAnsi="宋体" w:cs="宋体"/>
                <w:sz w:val="24"/>
              </w:rPr>
              <w:t>注意：本次项目现场须进行第二次报价（最后报价），以第二次报价计算分值。</w:t>
            </w:r>
          </w:p>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675" w:type="dxa"/>
            <w:vMerge w:val="restart"/>
            <w:noWrap/>
            <w:vAlign w:val="center"/>
          </w:tcPr>
          <w:p>
            <w:pPr>
              <w:rPr>
                <w:rFonts w:ascii="宋体" w:hAnsi="宋体" w:cs="宋体"/>
                <w:sz w:val="24"/>
              </w:rPr>
            </w:pPr>
            <w:r>
              <w:rPr>
                <w:rFonts w:hint="eastAsia" w:ascii="宋体" w:hAnsi="宋体" w:cs="宋体"/>
                <w:sz w:val="24"/>
              </w:rPr>
              <w:t>2</w:t>
            </w:r>
          </w:p>
        </w:tc>
        <w:tc>
          <w:tcPr>
            <w:tcW w:w="600" w:type="dxa"/>
            <w:vMerge w:val="restart"/>
            <w:tcBorders>
              <w:top w:val="nil"/>
            </w:tcBorders>
            <w:noWrap/>
            <w:vAlign w:val="center"/>
          </w:tcPr>
          <w:p>
            <w:pPr>
              <w:rPr>
                <w:rFonts w:ascii="宋体" w:hAnsi="宋体" w:cs="宋体"/>
                <w:sz w:val="24"/>
              </w:rPr>
            </w:pPr>
            <w:r>
              <w:rPr>
                <w:rFonts w:hint="eastAsia" w:ascii="宋体" w:hAnsi="宋体" w:cs="宋体"/>
                <w:sz w:val="24"/>
              </w:rPr>
              <w:t>技术部分(B)</w:t>
            </w:r>
            <w:r>
              <w:rPr>
                <w:rFonts w:hint="eastAsia" w:ascii="宋体" w:hAnsi="宋体" w:cs="宋体"/>
                <w:sz w:val="24"/>
                <w:lang w:val="en-US" w:eastAsia="zh-CN"/>
              </w:rPr>
              <w:t>20</w:t>
            </w:r>
            <w:r>
              <w:rPr>
                <w:rFonts w:hint="eastAsia" w:ascii="宋体" w:hAnsi="宋体" w:cs="宋体"/>
                <w:sz w:val="24"/>
              </w:rPr>
              <w:t>分</w:t>
            </w:r>
          </w:p>
        </w:tc>
        <w:tc>
          <w:tcPr>
            <w:tcW w:w="534" w:type="dxa"/>
            <w:vMerge w:val="restart"/>
            <w:tcBorders>
              <w:top w:val="nil"/>
            </w:tcBorders>
            <w:noWrap/>
            <w:vAlign w:val="center"/>
          </w:tcPr>
          <w:p>
            <w:pPr>
              <w:rPr>
                <w:rFonts w:ascii="宋体" w:hAnsi="宋体" w:cs="宋体"/>
                <w:sz w:val="24"/>
              </w:rPr>
            </w:pPr>
            <w:r>
              <w:rPr>
                <w:rFonts w:hint="eastAsia" w:ascii="宋体" w:hAnsi="宋体" w:cs="宋体"/>
                <w:sz w:val="24"/>
              </w:rPr>
              <w:t>施工组织设计</w:t>
            </w:r>
          </w:p>
        </w:tc>
        <w:tc>
          <w:tcPr>
            <w:tcW w:w="5331" w:type="dxa"/>
            <w:noWrap/>
            <w:vAlign w:val="center"/>
          </w:tcPr>
          <w:p>
            <w:pPr>
              <w:rPr>
                <w:rFonts w:hint="eastAsia" w:ascii="宋体" w:hAnsi="宋体" w:cs="宋体"/>
                <w:sz w:val="24"/>
              </w:rPr>
            </w:pPr>
            <w:r>
              <w:rPr>
                <w:rFonts w:hint="eastAsia" w:ascii="宋体" w:hAnsi="宋体" w:cs="宋体"/>
                <w:sz w:val="24"/>
              </w:rPr>
              <w:t>内容完整性和编制水平：对项目总体认识全面深刻，论述完整清晰，总体组织符合实际、总体设计符合规范，总体计划合理，综合措施科学。优得</w:t>
            </w:r>
            <w:r>
              <w:rPr>
                <w:rFonts w:hint="eastAsia" w:ascii="宋体" w:hAnsi="宋体" w:cs="宋体"/>
                <w:sz w:val="24"/>
                <w:lang w:val="en-US" w:eastAsia="zh-CN"/>
              </w:rPr>
              <w:t>4-5</w:t>
            </w:r>
            <w:r>
              <w:rPr>
                <w:rFonts w:hint="eastAsia" w:ascii="宋体" w:hAnsi="宋体" w:cs="宋体"/>
                <w:sz w:val="24"/>
              </w:rPr>
              <w:t>分，良得</w:t>
            </w:r>
            <w:r>
              <w:rPr>
                <w:rFonts w:hint="eastAsia" w:ascii="宋体" w:hAnsi="宋体" w:cs="宋体"/>
                <w:sz w:val="24"/>
                <w:lang w:val="en-US" w:eastAsia="zh-CN"/>
              </w:rPr>
              <w:t>2-3</w:t>
            </w:r>
            <w:r>
              <w:rPr>
                <w:rFonts w:hint="eastAsia" w:ascii="宋体" w:hAnsi="宋体" w:cs="宋体"/>
                <w:sz w:val="24"/>
              </w:rPr>
              <w:t>分，差得</w:t>
            </w:r>
            <w:r>
              <w:rPr>
                <w:rFonts w:hint="eastAsia" w:ascii="宋体" w:hAnsi="宋体" w:cs="宋体"/>
                <w:sz w:val="24"/>
                <w:lang w:val="en-US" w:eastAsia="zh-CN"/>
              </w:rPr>
              <w:t>0-1</w:t>
            </w:r>
            <w:r>
              <w:rPr>
                <w:rFonts w:hint="eastAsia" w:ascii="宋体" w:hAnsi="宋体" w:cs="宋体"/>
                <w:sz w:val="24"/>
              </w:rPr>
              <w:t>分。</w:t>
            </w:r>
          </w:p>
        </w:tc>
        <w:tc>
          <w:tcPr>
            <w:tcW w:w="2342" w:type="dxa"/>
            <w:noWrap/>
            <w:vAlign w:val="center"/>
          </w:tcPr>
          <w:p>
            <w:pPr>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hint="eastAsia" w:ascii="宋体" w:hAnsi="宋体" w:cs="宋体"/>
                <w:sz w:val="24"/>
              </w:rPr>
            </w:pPr>
            <w:r>
              <w:rPr>
                <w:rFonts w:hint="eastAsia" w:ascii="宋体" w:hAnsi="宋体" w:cs="宋体"/>
                <w:sz w:val="24"/>
              </w:rPr>
              <w:t>施工方案与技术措施：对工程认识深刻、表述全面准确，施工方案科学、系统、安全、经济，可操作性强，保障措施得力，对施工关键技术、工艺把握准确，应用到位，阐释清晰。优得</w:t>
            </w:r>
            <w:r>
              <w:rPr>
                <w:rFonts w:hint="eastAsia" w:ascii="宋体" w:hAnsi="宋体" w:cs="宋体"/>
                <w:sz w:val="24"/>
                <w:lang w:val="en-US" w:eastAsia="zh-CN"/>
              </w:rPr>
              <w:t>4-5</w:t>
            </w:r>
            <w:r>
              <w:rPr>
                <w:rFonts w:hint="eastAsia" w:ascii="宋体" w:hAnsi="宋体" w:cs="宋体"/>
                <w:sz w:val="24"/>
              </w:rPr>
              <w:t>分，良得</w:t>
            </w:r>
            <w:r>
              <w:rPr>
                <w:rFonts w:hint="eastAsia" w:ascii="宋体" w:hAnsi="宋体" w:cs="宋体"/>
                <w:sz w:val="24"/>
                <w:lang w:val="en-US" w:eastAsia="zh-CN"/>
              </w:rPr>
              <w:t>2-3</w:t>
            </w:r>
            <w:r>
              <w:rPr>
                <w:rFonts w:hint="eastAsia" w:ascii="宋体" w:hAnsi="宋体" w:cs="宋体"/>
                <w:sz w:val="24"/>
              </w:rPr>
              <w:t>分，差得</w:t>
            </w:r>
            <w:r>
              <w:rPr>
                <w:rFonts w:hint="eastAsia" w:ascii="宋体" w:hAnsi="宋体" w:cs="宋体"/>
                <w:sz w:val="24"/>
                <w:lang w:val="en-US" w:eastAsia="zh-CN"/>
              </w:rPr>
              <w:t>0-1</w:t>
            </w:r>
            <w:r>
              <w:rPr>
                <w:rFonts w:hint="eastAsia" w:ascii="宋体" w:hAnsi="宋体" w:cs="宋体"/>
                <w:sz w:val="24"/>
              </w:rPr>
              <w:t>分。</w:t>
            </w:r>
          </w:p>
        </w:tc>
        <w:tc>
          <w:tcPr>
            <w:tcW w:w="2342" w:type="dxa"/>
            <w:noWrap/>
            <w:vAlign w:val="center"/>
          </w:tcPr>
          <w:p>
            <w:pPr>
              <w:jc w:val="center"/>
              <w:rPr>
                <w:rFonts w:ascii="宋体" w:hAnsi="宋体" w:cs="宋体"/>
                <w:sz w:val="24"/>
              </w:rPr>
            </w:pPr>
            <w:r>
              <w:rPr>
                <w:rFonts w:hint="eastAsia" w:ascii="宋体" w:hAnsi="宋体" w:cs="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hint="eastAsia" w:ascii="宋体" w:hAnsi="宋体" w:cs="宋体"/>
                <w:sz w:val="24"/>
              </w:rPr>
            </w:pPr>
            <w:r>
              <w:rPr>
                <w:rFonts w:hint="eastAsia" w:ascii="宋体" w:hAnsi="宋体" w:cs="宋体"/>
                <w:sz w:val="24"/>
              </w:rPr>
              <w:t>质量管理体系与措施：质量管理体系完善、健全，工程质量保证计划全面细致、结合实际、措施具体，责任到人。优得</w:t>
            </w:r>
            <w:r>
              <w:rPr>
                <w:rFonts w:hint="eastAsia" w:ascii="宋体" w:hAnsi="宋体" w:cs="宋体"/>
                <w:sz w:val="24"/>
                <w:lang w:val="en-US" w:eastAsia="zh-CN"/>
              </w:rPr>
              <w:t>2</w:t>
            </w:r>
            <w:r>
              <w:rPr>
                <w:rFonts w:hint="eastAsia" w:ascii="宋体" w:hAnsi="宋体" w:cs="宋体"/>
                <w:sz w:val="24"/>
              </w:rPr>
              <w:t>分，良得</w:t>
            </w:r>
            <w:r>
              <w:rPr>
                <w:rFonts w:hint="eastAsia" w:ascii="宋体" w:hAnsi="宋体" w:cs="宋体"/>
                <w:sz w:val="24"/>
                <w:lang w:val="en-US" w:eastAsia="zh-CN"/>
              </w:rPr>
              <w:t>1</w:t>
            </w:r>
            <w:r>
              <w:rPr>
                <w:rFonts w:hint="eastAsia" w:ascii="宋体" w:hAnsi="宋体" w:cs="宋体"/>
                <w:sz w:val="24"/>
              </w:rPr>
              <w:t>分，差得</w:t>
            </w:r>
            <w:r>
              <w:rPr>
                <w:rFonts w:hint="eastAsia" w:ascii="宋体" w:hAnsi="宋体" w:cs="宋体"/>
                <w:sz w:val="24"/>
                <w:lang w:val="en-US" w:eastAsia="zh-CN"/>
              </w:rPr>
              <w:t>0</w:t>
            </w:r>
            <w:r>
              <w:rPr>
                <w:rFonts w:hint="eastAsia" w:ascii="宋体" w:hAnsi="宋体" w:cs="宋体"/>
                <w:sz w:val="24"/>
              </w:rPr>
              <w:t>分。</w:t>
            </w:r>
          </w:p>
        </w:tc>
        <w:tc>
          <w:tcPr>
            <w:tcW w:w="2342" w:type="dxa"/>
            <w:noWrap/>
            <w:vAlign w:val="center"/>
          </w:tcPr>
          <w:p>
            <w:pPr>
              <w:jc w:val="center"/>
              <w:rPr>
                <w:rFonts w:ascii="宋体" w:hAnsi="宋体" w:cs="宋体"/>
                <w:sz w:val="24"/>
              </w:rPr>
            </w:pPr>
            <w:r>
              <w:rPr>
                <w:rFonts w:hint="eastAsia" w:ascii="宋体" w:hAnsi="宋体" w:cs="宋体"/>
                <w:sz w:val="24"/>
              </w:rPr>
              <w:t>0-</w:t>
            </w:r>
            <w:r>
              <w:rPr>
                <w:rFonts w:hint="eastAsia" w:ascii="宋体" w:hAnsi="宋体" w:cs="宋体"/>
                <w:sz w:val="24"/>
                <w:lang w:val="en-US" w:eastAsia="zh-CN"/>
              </w:rPr>
              <w:t>2</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hint="eastAsia" w:ascii="宋体" w:hAnsi="宋体" w:cs="宋体"/>
                <w:sz w:val="24"/>
              </w:rPr>
            </w:pPr>
            <w:r>
              <w:rPr>
                <w:rFonts w:hint="eastAsia" w:ascii="宋体" w:hAnsi="宋体" w:cs="宋体"/>
                <w:sz w:val="24"/>
              </w:rPr>
              <w:t>安全管理体系与措施：安全管理体系与措施完善、健全，根据实际情况制定安全文明施工保证计划全面周到、完整，关键地点、工序、环节控制保障措施得力，责任措施具体。优得</w:t>
            </w:r>
            <w:r>
              <w:rPr>
                <w:rFonts w:hint="eastAsia" w:ascii="宋体" w:hAnsi="宋体" w:cs="宋体"/>
                <w:sz w:val="24"/>
                <w:lang w:val="en-US" w:eastAsia="zh-CN"/>
              </w:rPr>
              <w:t>2</w:t>
            </w:r>
            <w:r>
              <w:rPr>
                <w:rFonts w:hint="eastAsia" w:ascii="宋体" w:hAnsi="宋体" w:cs="宋体"/>
                <w:sz w:val="24"/>
              </w:rPr>
              <w:t>分，良得</w:t>
            </w:r>
            <w:r>
              <w:rPr>
                <w:rFonts w:hint="eastAsia" w:ascii="宋体" w:hAnsi="宋体" w:cs="宋体"/>
                <w:sz w:val="24"/>
                <w:lang w:val="en-US" w:eastAsia="zh-CN"/>
              </w:rPr>
              <w:t>1</w:t>
            </w:r>
            <w:r>
              <w:rPr>
                <w:rFonts w:hint="eastAsia" w:ascii="宋体" w:hAnsi="宋体" w:cs="宋体"/>
                <w:sz w:val="24"/>
              </w:rPr>
              <w:t>分，差得</w:t>
            </w:r>
            <w:r>
              <w:rPr>
                <w:rFonts w:hint="eastAsia" w:ascii="宋体" w:hAnsi="宋体" w:cs="宋体"/>
                <w:sz w:val="24"/>
                <w:lang w:val="en-US" w:eastAsia="zh-CN"/>
              </w:rPr>
              <w:t>0</w:t>
            </w:r>
            <w:r>
              <w:rPr>
                <w:rFonts w:hint="eastAsia" w:ascii="宋体" w:hAnsi="宋体" w:cs="宋体"/>
                <w:sz w:val="24"/>
              </w:rPr>
              <w:t>分。</w:t>
            </w:r>
          </w:p>
        </w:tc>
        <w:tc>
          <w:tcPr>
            <w:tcW w:w="2342" w:type="dxa"/>
            <w:noWrap/>
            <w:vAlign w:val="center"/>
          </w:tcPr>
          <w:p>
            <w:pPr>
              <w:jc w:val="center"/>
              <w:rPr>
                <w:rFonts w:ascii="宋体" w:hAnsi="宋体" w:cs="宋体"/>
                <w:sz w:val="24"/>
              </w:rPr>
            </w:pPr>
            <w:r>
              <w:rPr>
                <w:rFonts w:hint="eastAsia" w:ascii="宋体" w:hAnsi="宋体" w:cs="宋体"/>
                <w:sz w:val="24"/>
              </w:rPr>
              <w:t>0-</w:t>
            </w:r>
            <w:r>
              <w:rPr>
                <w:rFonts w:hint="eastAsia" w:ascii="宋体" w:hAnsi="宋体" w:cs="宋体"/>
                <w:sz w:val="24"/>
                <w:lang w:val="en-US" w:eastAsia="zh-CN"/>
              </w:rPr>
              <w:t>2</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hint="eastAsia" w:ascii="宋体" w:hAnsi="宋体" w:cs="宋体"/>
                <w:sz w:val="24"/>
              </w:rPr>
            </w:pPr>
            <w:r>
              <w:rPr>
                <w:rFonts w:hint="eastAsia" w:ascii="宋体" w:hAnsi="宋体" w:cs="宋体"/>
                <w:sz w:val="24"/>
              </w:rPr>
              <w:t>环境保护管理体系措施：环境保护管理体系措施完善、健全，根据实际情况制定环境保护管理体系，保证计划全面周到、完整，关键地点、工序、环节控制保障措施得力，责任措施具体。优得</w:t>
            </w:r>
            <w:r>
              <w:rPr>
                <w:rFonts w:hint="eastAsia" w:ascii="宋体" w:hAnsi="宋体" w:cs="宋体"/>
                <w:sz w:val="24"/>
                <w:lang w:val="en-US" w:eastAsia="zh-CN"/>
              </w:rPr>
              <w:t>2</w:t>
            </w:r>
            <w:r>
              <w:rPr>
                <w:rFonts w:hint="eastAsia" w:ascii="宋体" w:hAnsi="宋体" w:cs="宋体"/>
                <w:sz w:val="24"/>
              </w:rPr>
              <w:t>分，良得</w:t>
            </w:r>
            <w:r>
              <w:rPr>
                <w:rFonts w:hint="eastAsia" w:ascii="宋体" w:hAnsi="宋体" w:cs="宋体"/>
                <w:sz w:val="24"/>
                <w:lang w:val="en-US" w:eastAsia="zh-CN"/>
              </w:rPr>
              <w:t>1</w:t>
            </w:r>
            <w:r>
              <w:rPr>
                <w:rFonts w:hint="eastAsia" w:ascii="宋体" w:hAnsi="宋体" w:cs="宋体"/>
                <w:sz w:val="24"/>
              </w:rPr>
              <w:t>分，差得</w:t>
            </w:r>
            <w:r>
              <w:rPr>
                <w:rFonts w:hint="eastAsia" w:ascii="宋体" w:hAnsi="宋体" w:cs="宋体"/>
                <w:sz w:val="24"/>
                <w:lang w:val="en-US" w:eastAsia="zh-CN"/>
              </w:rPr>
              <w:t>0</w:t>
            </w:r>
            <w:r>
              <w:rPr>
                <w:rFonts w:hint="eastAsia" w:ascii="宋体" w:hAnsi="宋体" w:cs="宋体"/>
                <w:sz w:val="24"/>
              </w:rPr>
              <w:t>分。</w:t>
            </w:r>
          </w:p>
        </w:tc>
        <w:tc>
          <w:tcPr>
            <w:tcW w:w="2342" w:type="dxa"/>
            <w:noWrap/>
            <w:vAlign w:val="center"/>
          </w:tcPr>
          <w:p>
            <w:pPr>
              <w:jc w:val="center"/>
              <w:rPr>
                <w:rFonts w:ascii="宋体" w:hAnsi="宋体" w:cs="宋体"/>
                <w:sz w:val="24"/>
              </w:rPr>
            </w:pPr>
            <w:r>
              <w:rPr>
                <w:rFonts w:hint="eastAsia" w:ascii="宋体" w:hAnsi="宋体" w:cs="宋体"/>
                <w:sz w:val="24"/>
              </w:rPr>
              <w:t>0-</w:t>
            </w:r>
            <w:r>
              <w:rPr>
                <w:rFonts w:hint="eastAsia" w:ascii="宋体" w:hAnsi="宋体" w:cs="宋体"/>
                <w:sz w:val="24"/>
                <w:lang w:val="en-US" w:eastAsia="zh-CN"/>
              </w:rPr>
              <w:t>2</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675" w:type="dxa"/>
            <w:vMerge w:val="continue"/>
            <w:noWrap/>
            <w:vAlign w:val="center"/>
          </w:tcPr>
          <w:p>
            <w:pPr>
              <w:rPr>
                <w:rFonts w:ascii="宋体" w:hAnsi="宋体" w:cs="宋体"/>
                <w:sz w:val="24"/>
              </w:rPr>
            </w:pPr>
          </w:p>
        </w:tc>
        <w:tc>
          <w:tcPr>
            <w:tcW w:w="600" w:type="dxa"/>
            <w:vMerge w:val="continue"/>
            <w:noWrap/>
            <w:vAlign w:val="center"/>
          </w:tcPr>
          <w:p>
            <w:pPr>
              <w:rPr>
                <w:rFonts w:ascii="宋体" w:hAnsi="宋体" w:cs="宋体"/>
                <w:sz w:val="24"/>
              </w:rPr>
            </w:pPr>
          </w:p>
        </w:tc>
        <w:tc>
          <w:tcPr>
            <w:tcW w:w="534" w:type="dxa"/>
            <w:vMerge w:val="continue"/>
            <w:noWrap/>
            <w:vAlign w:val="center"/>
          </w:tcPr>
          <w:p>
            <w:pPr>
              <w:rPr>
                <w:rFonts w:ascii="宋体" w:hAnsi="宋体" w:cs="宋体"/>
                <w:sz w:val="24"/>
              </w:rPr>
            </w:pPr>
          </w:p>
        </w:tc>
        <w:tc>
          <w:tcPr>
            <w:tcW w:w="5331" w:type="dxa"/>
            <w:noWrap/>
            <w:vAlign w:val="center"/>
          </w:tcPr>
          <w:p>
            <w:pPr>
              <w:rPr>
                <w:rFonts w:hint="eastAsia" w:ascii="宋体" w:hAnsi="宋体" w:cs="宋体"/>
                <w:sz w:val="24"/>
              </w:rPr>
            </w:pPr>
            <w:r>
              <w:rPr>
                <w:rFonts w:hint="eastAsia" w:ascii="宋体" w:hAnsi="宋体" w:cs="宋体"/>
                <w:sz w:val="24"/>
              </w:rPr>
              <w:t>工程进度计划与措施：施工进度计划编制合理、可行，关键线路清晰、准确、完整，关键节点控制措施得力、可操作性强，保证措施可靠。优得</w:t>
            </w:r>
            <w:r>
              <w:rPr>
                <w:rFonts w:hint="eastAsia" w:ascii="宋体" w:hAnsi="宋体" w:cs="宋体"/>
                <w:sz w:val="24"/>
                <w:lang w:val="en-US" w:eastAsia="zh-CN"/>
              </w:rPr>
              <w:t>2</w:t>
            </w:r>
            <w:r>
              <w:rPr>
                <w:rFonts w:hint="eastAsia" w:ascii="宋体" w:hAnsi="宋体" w:cs="宋体"/>
                <w:sz w:val="24"/>
              </w:rPr>
              <w:t>分，良得</w:t>
            </w:r>
            <w:r>
              <w:rPr>
                <w:rFonts w:hint="eastAsia" w:ascii="宋体" w:hAnsi="宋体" w:cs="宋体"/>
                <w:sz w:val="24"/>
                <w:lang w:val="en-US" w:eastAsia="zh-CN"/>
              </w:rPr>
              <w:t>1</w:t>
            </w:r>
            <w:r>
              <w:rPr>
                <w:rFonts w:hint="eastAsia" w:ascii="宋体" w:hAnsi="宋体" w:cs="宋体"/>
                <w:sz w:val="24"/>
              </w:rPr>
              <w:t>分，差得</w:t>
            </w:r>
            <w:r>
              <w:rPr>
                <w:rFonts w:hint="eastAsia" w:ascii="宋体" w:hAnsi="宋体" w:cs="宋体"/>
                <w:sz w:val="24"/>
                <w:lang w:val="en-US" w:eastAsia="zh-CN"/>
              </w:rPr>
              <w:t>0</w:t>
            </w:r>
            <w:r>
              <w:rPr>
                <w:rFonts w:hint="eastAsia" w:ascii="宋体" w:hAnsi="宋体" w:cs="宋体"/>
                <w:sz w:val="24"/>
              </w:rPr>
              <w:t>分。</w:t>
            </w:r>
          </w:p>
        </w:tc>
        <w:tc>
          <w:tcPr>
            <w:tcW w:w="2342" w:type="dxa"/>
            <w:noWrap/>
            <w:vAlign w:val="center"/>
          </w:tcPr>
          <w:p>
            <w:pPr>
              <w:jc w:val="center"/>
              <w:rPr>
                <w:rFonts w:ascii="宋体" w:hAnsi="宋体" w:cs="宋体"/>
                <w:sz w:val="24"/>
              </w:rPr>
            </w:pPr>
            <w:r>
              <w:rPr>
                <w:rFonts w:hint="eastAsia" w:ascii="宋体" w:hAnsi="宋体" w:cs="宋体"/>
                <w:sz w:val="24"/>
              </w:rPr>
              <w:t>0-</w:t>
            </w:r>
            <w:r>
              <w:rPr>
                <w:rFonts w:hint="eastAsia" w:ascii="宋体" w:hAnsi="宋体" w:cs="宋体"/>
                <w:sz w:val="24"/>
                <w:lang w:val="en-US" w:eastAsia="zh-CN"/>
              </w:rPr>
              <w:t>2</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675" w:type="dxa"/>
            <w:vMerge w:val="continue"/>
            <w:noWrap/>
            <w:vAlign w:val="center"/>
          </w:tcPr>
          <w:p>
            <w:pPr>
              <w:rPr>
                <w:rFonts w:ascii="宋体" w:hAnsi="宋体" w:cs="宋体"/>
                <w:sz w:val="24"/>
              </w:rPr>
            </w:pPr>
          </w:p>
        </w:tc>
        <w:tc>
          <w:tcPr>
            <w:tcW w:w="600" w:type="dxa"/>
            <w:vMerge w:val="continue"/>
            <w:tcBorders>
              <w:bottom w:val="single" w:color="auto" w:sz="4" w:space="0"/>
            </w:tcBorders>
            <w:noWrap/>
            <w:vAlign w:val="center"/>
          </w:tcPr>
          <w:p>
            <w:pPr>
              <w:rPr>
                <w:rFonts w:ascii="宋体" w:hAnsi="宋体" w:cs="宋体"/>
                <w:sz w:val="24"/>
              </w:rPr>
            </w:pPr>
          </w:p>
        </w:tc>
        <w:tc>
          <w:tcPr>
            <w:tcW w:w="534" w:type="dxa"/>
            <w:vMerge w:val="continue"/>
            <w:tcBorders>
              <w:bottom w:val="single" w:color="auto" w:sz="4" w:space="0"/>
            </w:tcBorders>
            <w:noWrap/>
            <w:vAlign w:val="center"/>
          </w:tcPr>
          <w:p>
            <w:pPr>
              <w:rPr>
                <w:rFonts w:ascii="宋体" w:hAnsi="宋体" w:cs="宋体"/>
                <w:sz w:val="24"/>
              </w:rPr>
            </w:pPr>
          </w:p>
        </w:tc>
        <w:tc>
          <w:tcPr>
            <w:tcW w:w="5331" w:type="dxa"/>
            <w:noWrap/>
            <w:vAlign w:val="center"/>
          </w:tcPr>
          <w:p>
            <w:pPr>
              <w:rPr>
                <w:rFonts w:hint="eastAsia" w:ascii="宋体" w:hAnsi="宋体" w:cs="宋体"/>
                <w:sz w:val="24"/>
              </w:rPr>
            </w:pPr>
            <w:r>
              <w:rPr>
                <w:rFonts w:hint="eastAsia" w:ascii="宋体" w:hAnsi="宋体" w:cs="宋体"/>
                <w:sz w:val="24"/>
              </w:rPr>
              <w:t>资源配备计划与先进性：机械设备、劳动力投入能满足施工需要，投入人员、计划与进度计划协调，调配计划合理，保证措施具体。优得</w:t>
            </w:r>
            <w:r>
              <w:rPr>
                <w:rFonts w:hint="eastAsia" w:ascii="宋体" w:hAnsi="宋体" w:cs="宋体"/>
                <w:sz w:val="24"/>
                <w:lang w:val="en-US" w:eastAsia="zh-CN"/>
              </w:rPr>
              <w:t>2</w:t>
            </w:r>
            <w:r>
              <w:rPr>
                <w:rFonts w:hint="eastAsia" w:ascii="宋体" w:hAnsi="宋体" w:cs="宋体"/>
                <w:sz w:val="24"/>
              </w:rPr>
              <w:t>分，良得</w:t>
            </w:r>
            <w:r>
              <w:rPr>
                <w:rFonts w:hint="eastAsia" w:ascii="宋体" w:hAnsi="宋体" w:cs="宋体"/>
                <w:sz w:val="24"/>
                <w:lang w:val="en-US" w:eastAsia="zh-CN"/>
              </w:rPr>
              <w:t>1</w:t>
            </w:r>
            <w:r>
              <w:rPr>
                <w:rFonts w:hint="eastAsia" w:ascii="宋体" w:hAnsi="宋体" w:cs="宋体"/>
                <w:sz w:val="24"/>
              </w:rPr>
              <w:t>分，差得</w:t>
            </w:r>
            <w:r>
              <w:rPr>
                <w:rFonts w:hint="eastAsia" w:ascii="宋体" w:hAnsi="宋体" w:cs="宋体"/>
                <w:sz w:val="24"/>
                <w:lang w:val="en-US" w:eastAsia="zh-CN"/>
              </w:rPr>
              <w:t>0</w:t>
            </w:r>
            <w:r>
              <w:rPr>
                <w:rFonts w:hint="eastAsia" w:ascii="宋体" w:hAnsi="宋体" w:cs="宋体"/>
                <w:sz w:val="24"/>
              </w:rPr>
              <w:t>分。</w:t>
            </w:r>
          </w:p>
        </w:tc>
        <w:tc>
          <w:tcPr>
            <w:tcW w:w="2342" w:type="dxa"/>
            <w:noWrap/>
            <w:vAlign w:val="center"/>
          </w:tcPr>
          <w:p>
            <w:pPr>
              <w:jc w:val="center"/>
              <w:rPr>
                <w:rFonts w:ascii="宋体" w:hAnsi="宋体" w:cs="宋体"/>
                <w:sz w:val="24"/>
              </w:rPr>
            </w:pPr>
            <w:r>
              <w:rPr>
                <w:rFonts w:hint="eastAsia" w:ascii="宋体" w:hAnsi="宋体" w:cs="宋体"/>
                <w:sz w:val="24"/>
              </w:rPr>
              <w:t>0-</w:t>
            </w:r>
            <w:r>
              <w:rPr>
                <w:rFonts w:hint="eastAsia" w:ascii="宋体" w:hAnsi="宋体" w:cs="宋体"/>
                <w:sz w:val="24"/>
                <w:lang w:val="en-US" w:eastAsia="zh-CN"/>
              </w:rPr>
              <w:t>2</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75" w:type="dxa"/>
            <w:vMerge w:val="restart"/>
            <w:noWrap/>
            <w:vAlign w:val="center"/>
          </w:tcPr>
          <w:p>
            <w:pPr>
              <w:rPr>
                <w:rFonts w:ascii="宋体" w:hAnsi="宋体" w:cs="宋体"/>
                <w:sz w:val="24"/>
                <w:szCs w:val="22"/>
              </w:rPr>
            </w:pPr>
            <w:r>
              <w:rPr>
                <w:rFonts w:hint="eastAsia" w:ascii="宋体" w:hAnsi="宋体" w:cs="宋体"/>
                <w:sz w:val="24"/>
                <w:szCs w:val="22"/>
              </w:rPr>
              <w:t>3</w:t>
            </w:r>
          </w:p>
        </w:tc>
        <w:tc>
          <w:tcPr>
            <w:tcW w:w="1134" w:type="dxa"/>
            <w:gridSpan w:val="2"/>
            <w:vMerge w:val="restart"/>
            <w:noWrap/>
            <w:vAlign w:val="center"/>
          </w:tcPr>
          <w:p>
            <w:pPr>
              <w:rPr>
                <w:rFonts w:ascii="宋体" w:hAnsi="宋体" w:cs="宋体"/>
                <w:sz w:val="24"/>
                <w:szCs w:val="22"/>
              </w:rPr>
            </w:pPr>
            <w:r>
              <w:rPr>
                <w:rFonts w:hint="eastAsia" w:ascii="宋体" w:hAnsi="宋体" w:cs="宋体"/>
                <w:sz w:val="24"/>
                <w:szCs w:val="22"/>
              </w:rPr>
              <w:t>商务部分10分</w:t>
            </w:r>
          </w:p>
        </w:tc>
        <w:tc>
          <w:tcPr>
            <w:tcW w:w="5331" w:type="dxa"/>
            <w:tcBorders>
              <w:top w:val="single" w:color="auto" w:sz="4" w:space="0"/>
              <w:bottom w:val="single" w:color="auto" w:sz="4" w:space="0"/>
            </w:tcBorders>
            <w:noWrap/>
            <w:vAlign w:val="center"/>
          </w:tcPr>
          <w:p>
            <w:pPr>
              <w:rPr>
                <w:rFonts w:hint="eastAsia" w:ascii="宋体" w:hAnsi="宋体" w:cs="宋体"/>
                <w:sz w:val="24"/>
              </w:rPr>
            </w:pPr>
            <w:r>
              <w:rPr>
                <w:rFonts w:hint="eastAsia" w:ascii="宋体" w:hAnsi="宋体" w:cs="宋体"/>
                <w:sz w:val="24"/>
              </w:rPr>
              <w:t>在满足特定资格条件的基础上，每多提供一个配电工程70万元以上的施工合同业绩得2.5分，最多得5分。</w:t>
            </w:r>
          </w:p>
        </w:tc>
        <w:tc>
          <w:tcPr>
            <w:tcW w:w="2342" w:type="dxa"/>
            <w:tcBorders>
              <w:top w:val="single" w:color="auto" w:sz="4" w:space="0"/>
              <w:bottom w:val="single" w:color="auto" w:sz="4" w:space="0"/>
            </w:tcBorders>
            <w:noWrap/>
            <w:vAlign w:val="center"/>
          </w:tcPr>
          <w:p>
            <w:pPr>
              <w:spacing w:line="540" w:lineRule="exact"/>
              <w:jc w:val="center"/>
              <w:rPr>
                <w:rFonts w:ascii="宋体" w:hAnsi="宋体" w:cs="宋体"/>
                <w:sz w:val="24"/>
              </w:rPr>
            </w:pPr>
            <w:r>
              <w:rPr>
                <w:rFonts w:hint="eastAsia" w:ascii="宋体" w:hAnsi="宋体" w:cs="宋体"/>
                <w:sz w:val="24"/>
              </w:rPr>
              <w:t>须提供该业绩施工合同协议书复印件并加盖投标人公章。若上述资料无法体现业绩规模、类别特征的，应提供业主证明。不满足上述要求的业绩无效。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675" w:type="dxa"/>
            <w:vMerge w:val="continue"/>
            <w:noWrap/>
            <w:vAlign w:val="center"/>
          </w:tcPr>
          <w:p>
            <w:pPr>
              <w:rPr>
                <w:rFonts w:ascii="宋体" w:hAnsi="宋体" w:cs="宋体"/>
                <w:sz w:val="24"/>
                <w:szCs w:val="22"/>
              </w:rPr>
            </w:pPr>
          </w:p>
        </w:tc>
        <w:tc>
          <w:tcPr>
            <w:tcW w:w="1134" w:type="dxa"/>
            <w:gridSpan w:val="2"/>
            <w:vMerge w:val="continue"/>
            <w:noWrap/>
            <w:vAlign w:val="center"/>
          </w:tcPr>
          <w:p>
            <w:pPr>
              <w:rPr>
                <w:rFonts w:ascii="宋体" w:hAnsi="宋体" w:cs="宋体"/>
                <w:sz w:val="24"/>
                <w:szCs w:val="22"/>
              </w:rPr>
            </w:pPr>
          </w:p>
        </w:tc>
        <w:tc>
          <w:tcPr>
            <w:tcW w:w="5331" w:type="dxa"/>
            <w:tcBorders>
              <w:top w:val="single" w:color="auto" w:sz="4" w:space="0"/>
              <w:bottom w:val="single" w:color="auto" w:sz="4" w:space="0"/>
            </w:tcBorders>
            <w:noWrap/>
            <w:vAlign w:val="center"/>
          </w:tcPr>
          <w:p>
            <w:pPr>
              <w:rPr>
                <w:rFonts w:hint="eastAsia" w:ascii="宋体" w:hAnsi="宋体" w:cs="宋体"/>
                <w:sz w:val="24"/>
              </w:rPr>
            </w:pPr>
            <w:r>
              <w:rPr>
                <w:rFonts w:hint="eastAsia" w:ascii="宋体" w:hAnsi="宋体" w:cs="宋体"/>
                <w:sz w:val="24"/>
              </w:rPr>
              <w:t>安全员、材料员、机械员、劳务员、施工员、质量员、资料员齐全得5分，每少一个扣1分，5分扣完为止。</w:t>
            </w:r>
          </w:p>
        </w:tc>
        <w:tc>
          <w:tcPr>
            <w:tcW w:w="2342" w:type="dxa"/>
            <w:tcBorders>
              <w:top w:val="single" w:color="auto" w:sz="4" w:space="0"/>
              <w:bottom w:val="single" w:color="auto" w:sz="4" w:space="0"/>
            </w:tcBorders>
            <w:noWrap/>
            <w:vAlign w:val="center"/>
          </w:tcPr>
          <w:p>
            <w:pPr>
              <w:spacing w:line="540" w:lineRule="exact"/>
              <w:jc w:val="center"/>
              <w:rPr>
                <w:rFonts w:ascii="宋体" w:hAnsi="宋体" w:cs="宋体"/>
                <w:sz w:val="24"/>
                <w:highlight w:val="none"/>
              </w:rPr>
            </w:pPr>
            <w:r>
              <w:rPr>
                <w:rFonts w:hint="eastAsia" w:ascii="宋体" w:hAnsi="宋体" w:cs="宋体"/>
                <w:sz w:val="24"/>
                <w:highlight w:val="none"/>
              </w:rPr>
              <w:t>提供有效期内的住房和城乡建设领域专业人员岗位培训考核合格证书复印件，及本单</w:t>
            </w:r>
            <w:r>
              <w:rPr>
                <w:rFonts w:hint="eastAsia" w:ascii="宋体" w:hAnsi="宋体" w:cs="宋体"/>
                <w:sz w:val="24"/>
                <w:szCs w:val="22"/>
                <w:highlight w:val="none"/>
              </w:rPr>
              <w:t>位为</w:t>
            </w:r>
            <w:r>
              <w:rPr>
                <w:rFonts w:hint="default" w:ascii="宋体" w:hAnsi="宋体" w:cs="宋体"/>
                <w:sz w:val="24"/>
                <w:szCs w:val="22"/>
                <w:highlight w:val="none"/>
              </w:rPr>
              <w:t>其</w:t>
            </w:r>
            <w:r>
              <w:rPr>
                <w:rFonts w:hint="eastAsia" w:ascii="宋体" w:hAnsi="宋体" w:cs="宋体"/>
                <w:sz w:val="24"/>
                <w:szCs w:val="22"/>
                <w:highlight w:val="none"/>
              </w:rPr>
              <w:t>缴纳的</w:t>
            </w:r>
            <w:r>
              <w:rPr>
                <w:rFonts w:hint="default" w:ascii="宋体" w:hAnsi="宋体" w:cs="宋体"/>
                <w:sz w:val="24"/>
                <w:szCs w:val="22"/>
                <w:highlight w:val="none"/>
              </w:rPr>
              <w:t>2023年1月-2023年3月</w:t>
            </w:r>
            <w:r>
              <w:rPr>
                <w:rFonts w:hint="eastAsia" w:ascii="宋体" w:hAnsi="宋体" w:cs="宋体"/>
                <w:sz w:val="24"/>
                <w:szCs w:val="22"/>
                <w:highlight w:val="none"/>
              </w:rPr>
              <w:t>社保</w:t>
            </w:r>
            <w:r>
              <w:rPr>
                <w:rFonts w:hint="eastAsia" w:ascii="宋体" w:hAnsi="宋体" w:cs="宋体"/>
                <w:sz w:val="24"/>
                <w:highlight w:val="none"/>
              </w:rPr>
              <w:t>证明复印件。</w:t>
            </w:r>
          </w:p>
        </w:tc>
      </w:tr>
    </w:tbl>
    <w:p>
      <w:pPr>
        <w:snapToGrid w:val="0"/>
        <w:spacing w:line="360" w:lineRule="auto"/>
        <w:ind w:firstLine="465"/>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3"/>
          <w:sz w:val="16"/>
          <w:szCs w:val="24"/>
        </w:rPr>
        <w:instrText xml:space="preserve">3</w:instrText>
      </w:r>
      <w:r>
        <w:rPr>
          <w:rFonts w:hint="eastAsia" w:ascii="宋体" w:hAnsi="宋体" w:cs="宋体"/>
          <w:sz w:val="24"/>
          <w:szCs w:val="24"/>
        </w:rPr>
        <w:instrText xml:space="preserve">)</w:instrText>
      </w:r>
      <w:r>
        <w:rPr>
          <w:rFonts w:hint="eastAsia" w:ascii="宋体" w:hAnsi="宋体" w:cs="宋体"/>
          <w:sz w:val="24"/>
          <w:szCs w:val="24"/>
        </w:rPr>
        <w:fldChar w:fldCharType="end"/>
      </w:r>
      <w:r>
        <w:rPr>
          <w:rFonts w:hint="eastAsia" w:ascii="宋体" w:hAnsi="宋体" w:cs="宋体"/>
          <w:sz w:val="24"/>
          <w:szCs w:val="24"/>
        </w:rPr>
        <w:t>：关于小微企业报价扣除比例说明</w:t>
      </w:r>
    </w:p>
    <w:p>
      <w:pPr>
        <w:snapToGrid w:val="0"/>
        <w:spacing w:line="360" w:lineRule="auto"/>
        <w:ind w:firstLine="465"/>
        <w:rPr>
          <w:rFonts w:ascii="宋体" w:hAnsi="宋体" w:cs="宋体"/>
          <w:sz w:val="24"/>
          <w:szCs w:val="24"/>
        </w:rPr>
      </w:pPr>
      <w:r>
        <w:rPr>
          <w:rFonts w:hint="eastAsia" w:ascii="宋体" w:hAnsi="宋体" w:cs="宋体"/>
          <w:sz w:val="24"/>
          <w:szCs w:val="24"/>
        </w:rPr>
        <w:t>1.对小微型企业给予3%的扣除，以扣除后的报价参与评审。</w:t>
      </w:r>
    </w:p>
    <w:p>
      <w:pPr>
        <w:snapToGrid w:val="0"/>
        <w:spacing w:line="360" w:lineRule="auto"/>
        <w:ind w:firstLine="465"/>
        <w:rPr>
          <w:rFonts w:ascii="宋体" w:hAnsi="宋体" w:cs="宋体"/>
          <w:sz w:val="24"/>
          <w:szCs w:val="24"/>
        </w:rPr>
      </w:pPr>
      <w:r>
        <w:rPr>
          <w:rFonts w:hint="eastAsia" w:ascii="宋体" w:hAnsi="宋体" w:cs="宋体"/>
          <w:sz w:val="24"/>
          <w:szCs w:val="24"/>
        </w:rPr>
        <w:t>2.监狱企业、残疾人福利性单位属于微型企业的，应提供微型企业承诺书（详见第七篇 五、其他应提供的资料“中小微企业声明函”）。未提供以上资料的监狱企业、残疾人福利性单位视同小型企业。</w:t>
      </w:r>
    </w:p>
    <w:p>
      <w:pPr>
        <w:pStyle w:val="2"/>
        <w:spacing w:line="360" w:lineRule="auto"/>
        <w:rPr>
          <w:rFonts w:ascii="宋体" w:hAnsi="宋体" w:cs="宋体"/>
          <w:sz w:val="24"/>
          <w:szCs w:val="24"/>
        </w:rPr>
      </w:pPr>
      <w:bookmarkStart w:id="47" w:name="_Toc54278997"/>
      <w:r>
        <w:rPr>
          <w:rFonts w:hint="eastAsia" w:ascii="宋体" w:hAnsi="宋体" w:cs="宋体"/>
          <w:sz w:val="24"/>
          <w:szCs w:val="24"/>
        </w:rPr>
        <w:t>三、无效响应</w:t>
      </w:r>
      <w:bookmarkEnd w:id="47"/>
    </w:p>
    <w:p>
      <w:pPr>
        <w:snapToGrid w:val="0"/>
        <w:spacing w:line="360" w:lineRule="auto"/>
        <w:ind w:firstLine="465"/>
        <w:rPr>
          <w:rFonts w:ascii="宋体" w:hAnsi="宋体" w:cs="宋体"/>
          <w:sz w:val="24"/>
          <w:szCs w:val="24"/>
        </w:rPr>
      </w:pPr>
      <w:r>
        <w:rPr>
          <w:rFonts w:hint="eastAsia" w:ascii="宋体" w:hAnsi="宋体" w:cs="宋体"/>
          <w:sz w:val="24"/>
          <w:szCs w:val="24"/>
        </w:rPr>
        <w:t>供应商发生以下条款情况之一者，视为无效响应，其响应文件将被拒绝：</w:t>
      </w:r>
    </w:p>
    <w:p>
      <w:pPr>
        <w:snapToGrid w:val="0"/>
        <w:spacing w:line="360" w:lineRule="auto"/>
        <w:ind w:firstLine="465"/>
        <w:rPr>
          <w:rFonts w:ascii="宋体" w:hAnsi="宋体" w:cs="宋体"/>
          <w:sz w:val="24"/>
          <w:szCs w:val="24"/>
        </w:rPr>
      </w:pPr>
      <w:r>
        <w:rPr>
          <w:rFonts w:hint="eastAsia" w:ascii="宋体" w:hAnsi="宋体" w:cs="宋体"/>
          <w:sz w:val="24"/>
          <w:szCs w:val="24"/>
        </w:rPr>
        <w:t>（一）供应商不符合规定的基本资格条件或特定资格条件的；</w:t>
      </w:r>
    </w:p>
    <w:p>
      <w:pPr>
        <w:snapToGrid w:val="0"/>
        <w:spacing w:line="360" w:lineRule="auto"/>
        <w:ind w:firstLine="465"/>
        <w:rPr>
          <w:rFonts w:ascii="宋体" w:hAnsi="宋体" w:cs="宋体"/>
          <w:sz w:val="24"/>
          <w:szCs w:val="24"/>
        </w:rPr>
      </w:pPr>
      <w:r>
        <w:rPr>
          <w:rFonts w:hint="eastAsia" w:ascii="宋体" w:hAnsi="宋体" w:cs="宋体"/>
          <w:sz w:val="24"/>
          <w:szCs w:val="24"/>
        </w:rPr>
        <w:t>（二）供应商的法定代表人或其授权代表未参加磋商；</w:t>
      </w:r>
    </w:p>
    <w:p>
      <w:pPr>
        <w:snapToGrid w:val="0"/>
        <w:spacing w:line="360" w:lineRule="auto"/>
        <w:ind w:firstLine="465"/>
        <w:rPr>
          <w:rFonts w:ascii="宋体" w:hAnsi="宋体" w:cs="宋体"/>
          <w:sz w:val="24"/>
          <w:szCs w:val="24"/>
        </w:rPr>
      </w:pPr>
      <w:r>
        <w:rPr>
          <w:rFonts w:hint="eastAsia" w:ascii="宋体" w:hAnsi="宋体" w:cs="宋体"/>
          <w:sz w:val="24"/>
          <w:szCs w:val="24"/>
        </w:rPr>
        <w:t>（三）供应商所提交的响应文件不按第七篇“响应文件编制要求”规定签字、盖章；</w:t>
      </w:r>
    </w:p>
    <w:p>
      <w:pPr>
        <w:snapToGrid w:val="0"/>
        <w:spacing w:line="360" w:lineRule="auto"/>
        <w:ind w:firstLine="465"/>
        <w:rPr>
          <w:rFonts w:ascii="宋体" w:hAnsi="宋体" w:cs="宋体"/>
          <w:sz w:val="24"/>
          <w:szCs w:val="24"/>
        </w:rPr>
      </w:pPr>
      <w:r>
        <w:rPr>
          <w:rFonts w:hint="eastAsia" w:ascii="宋体" w:hAnsi="宋体" w:cs="宋体"/>
          <w:sz w:val="24"/>
          <w:szCs w:val="24"/>
        </w:rPr>
        <w:t>（四）供应商的最后报价超过采购预算或最高限价的；</w:t>
      </w:r>
    </w:p>
    <w:p>
      <w:pPr>
        <w:snapToGrid w:val="0"/>
        <w:spacing w:line="360" w:lineRule="auto"/>
        <w:ind w:firstLine="465"/>
        <w:rPr>
          <w:rFonts w:ascii="宋体" w:hAnsi="宋体" w:cs="宋体"/>
          <w:sz w:val="24"/>
          <w:szCs w:val="24"/>
        </w:rPr>
      </w:pPr>
      <w:r>
        <w:rPr>
          <w:rFonts w:hint="eastAsia" w:ascii="宋体" w:hAnsi="宋体" w:cs="宋体"/>
          <w:sz w:val="24"/>
          <w:szCs w:val="24"/>
        </w:rPr>
        <w:t>（五）法定代表人为同一个人的两个及两个以上法人，母公司、全资子公司及其控股公司，在同一分包采购中同时参与磋商；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sz w:val="24"/>
          <w:szCs w:val="24"/>
        </w:rPr>
      </w:pPr>
      <w:r>
        <w:rPr>
          <w:rFonts w:hint="eastAsia" w:ascii="宋体" w:hAnsi="宋体" w:cs="宋体"/>
          <w:sz w:val="24"/>
          <w:szCs w:val="24"/>
        </w:rPr>
        <w:t>（六）单位负责人为同一人或者存在直接控股、管理关系的不同供应商，参加同一合同项下的政府采购活动的；</w:t>
      </w:r>
    </w:p>
    <w:p>
      <w:pPr>
        <w:snapToGrid w:val="0"/>
        <w:spacing w:line="360" w:lineRule="auto"/>
        <w:ind w:firstLine="465"/>
        <w:rPr>
          <w:rFonts w:ascii="宋体" w:hAnsi="宋体" w:cs="宋体"/>
          <w:sz w:val="24"/>
          <w:szCs w:val="24"/>
        </w:rPr>
      </w:pPr>
      <w:r>
        <w:rPr>
          <w:rFonts w:hint="eastAsia" w:ascii="宋体" w:hAnsi="宋体" w:cs="宋体"/>
          <w:sz w:val="24"/>
          <w:szCs w:val="24"/>
        </w:rPr>
        <w:t>（七）为采购项目提供整体设计、规范编制或者项目管理、监理、检测等服务的供应商，再参加该采购项目的其他采购活动；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（八）供应商磋商有效期不满足竞争性磋商文件要求的；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（九）供应商响应文件内容有与国家现行法律法规相违背的内容，或附有采购人无法接受的条件。</w:t>
      </w:r>
    </w:p>
    <w:p>
      <w:pPr>
        <w:snapToGrid w:val="0"/>
        <w:spacing w:line="360" w:lineRule="auto"/>
        <w:ind w:firstLine="465"/>
        <w:rPr>
          <w:rFonts w:ascii="宋体" w:hAnsi="宋体" w:cs="宋体"/>
          <w:sz w:val="24"/>
          <w:szCs w:val="24"/>
        </w:rPr>
      </w:pPr>
      <w:r>
        <w:rPr>
          <w:rFonts w:hint="eastAsia" w:ascii="宋体" w:hAnsi="宋体" w:cs="宋体"/>
          <w:sz w:val="24"/>
          <w:szCs w:val="24"/>
        </w:rPr>
        <w:t>（十）供应商以联合体形式参与磋商的；</w:t>
      </w:r>
    </w:p>
    <w:p>
      <w:pPr>
        <w:snapToGrid w:val="0"/>
        <w:spacing w:line="360" w:lineRule="auto"/>
        <w:ind w:firstLine="465"/>
        <w:rPr>
          <w:rFonts w:ascii="宋体" w:hAnsi="宋体" w:cs="宋体"/>
          <w:sz w:val="24"/>
          <w:szCs w:val="24"/>
        </w:rPr>
      </w:pPr>
      <w:r>
        <w:rPr>
          <w:rFonts w:hint="eastAsia" w:ascii="宋体" w:hAnsi="宋体" w:cs="宋体"/>
          <w:sz w:val="24"/>
          <w:szCs w:val="24"/>
        </w:rPr>
        <w:t>（十一）供应商被列入失信被执行人、重大税收违法案件当事人名单、政府采购严重违法失信行为记录名单及其他不符合《中华人民共和国政府采购法》第二十二条规定条件的。</w:t>
      </w:r>
    </w:p>
    <w:p>
      <w:pPr>
        <w:snapToGrid w:val="0"/>
        <w:spacing w:line="360" w:lineRule="auto"/>
        <w:ind w:firstLine="465"/>
        <w:rPr>
          <w:rFonts w:ascii="宋体" w:hAnsi="宋体" w:cs="宋体"/>
          <w:sz w:val="24"/>
          <w:szCs w:val="24"/>
        </w:rPr>
      </w:pPr>
      <w:r>
        <w:rPr>
          <w:rFonts w:hint="eastAsia" w:ascii="宋体" w:hAnsi="宋体" w:cs="宋体"/>
          <w:sz w:val="24"/>
          <w:szCs w:val="24"/>
        </w:rPr>
        <w:t>（十二）本磋商文件规定的其它情形。</w:t>
      </w:r>
    </w:p>
    <w:p>
      <w:pPr>
        <w:pStyle w:val="2"/>
        <w:spacing w:line="360" w:lineRule="auto"/>
        <w:rPr>
          <w:rFonts w:ascii="宋体" w:hAnsi="宋体" w:cs="宋体"/>
          <w:sz w:val="24"/>
          <w:szCs w:val="24"/>
        </w:rPr>
      </w:pPr>
      <w:bookmarkStart w:id="48" w:name="_Toc54278998"/>
      <w:r>
        <w:rPr>
          <w:rFonts w:hint="eastAsia" w:ascii="宋体" w:hAnsi="宋体" w:cs="宋体"/>
          <w:sz w:val="24"/>
          <w:szCs w:val="24"/>
        </w:rPr>
        <w:t>四、</w:t>
      </w:r>
      <w:bookmarkEnd w:id="45"/>
      <w:bookmarkEnd w:id="46"/>
      <w:r>
        <w:rPr>
          <w:rFonts w:hint="eastAsia" w:ascii="宋体" w:hAnsi="宋体" w:cs="宋体"/>
          <w:sz w:val="24"/>
          <w:szCs w:val="24"/>
        </w:rPr>
        <w:t>采购终止</w:t>
      </w:r>
      <w:bookmarkEnd w:id="48"/>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szCs w:val="30"/>
        </w:rPr>
      </w:pPr>
      <w:bookmarkStart w:id="49" w:name="_Toc102227313"/>
      <w:bookmarkStart w:id="50" w:name="_Toc54278999"/>
      <w:r>
        <w:rPr>
          <w:rFonts w:hint="eastAsia" w:ascii="宋体" w:hAnsi="宋体" w:eastAsia="宋体" w:cs="宋体"/>
          <w:b w:val="0"/>
          <w:sz w:val="36"/>
          <w:szCs w:val="30"/>
        </w:rPr>
        <w:t>第五篇  供应商须知</w:t>
      </w:r>
      <w:bookmarkEnd w:id="49"/>
      <w:bookmarkEnd w:id="50"/>
    </w:p>
    <w:p>
      <w:pPr>
        <w:pStyle w:val="2"/>
        <w:spacing w:line="360" w:lineRule="auto"/>
        <w:rPr>
          <w:rFonts w:ascii="宋体" w:hAnsi="宋体" w:cs="宋体"/>
          <w:sz w:val="24"/>
          <w:szCs w:val="24"/>
        </w:rPr>
      </w:pPr>
      <w:bookmarkStart w:id="51" w:name="_Toc54279000"/>
      <w:bookmarkStart w:id="52" w:name="_Toc342913389"/>
      <w:r>
        <w:rPr>
          <w:rFonts w:hint="eastAsia" w:ascii="宋体" w:hAnsi="宋体" w:cs="宋体"/>
          <w:sz w:val="24"/>
          <w:szCs w:val="24"/>
        </w:rPr>
        <w:t>一、磋商费用</w:t>
      </w:r>
      <w:bookmarkEnd w:id="51"/>
      <w:bookmarkEnd w:id="52"/>
    </w:p>
    <w:p>
      <w:pPr>
        <w:pStyle w:val="17"/>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2"/>
        <w:tabs>
          <w:tab w:val="left" w:pos="2640"/>
        </w:tabs>
        <w:spacing w:line="360" w:lineRule="auto"/>
        <w:rPr>
          <w:rFonts w:ascii="宋体" w:hAnsi="宋体" w:cs="宋体"/>
          <w:sz w:val="24"/>
          <w:szCs w:val="24"/>
        </w:rPr>
      </w:pPr>
      <w:bookmarkStart w:id="53" w:name="_Toc54279001"/>
      <w:bookmarkStart w:id="54" w:name="_Toc342913391"/>
      <w:r>
        <w:rPr>
          <w:rFonts w:hint="eastAsia" w:ascii="宋体" w:hAnsi="宋体" w:cs="宋体"/>
          <w:sz w:val="24"/>
          <w:szCs w:val="24"/>
        </w:rPr>
        <w:t>二、竞争性磋商文件</w:t>
      </w:r>
      <w:bookmarkEnd w:id="53"/>
      <w:bookmarkEnd w:id="54"/>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（一）竞争性磋商文件由采购邀请书、项目服务需求、供应商须知、项目商务需求、磋商程序及方法、评审标准、无效响应和采购终止、供应商须知</w:t>
      </w:r>
      <w:r>
        <w:rPr>
          <w:rFonts w:hint="eastAsia" w:ascii="宋体" w:hAnsi="宋体" w:cs="宋体"/>
          <w:b/>
          <w:sz w:val="24"/>
          <w:szCs w:val="24"/>
        </w:rPr>
        <w:t>、</w:t>
      </w:r>
      <w:r>
        <w:rPr>
          <w:rFonts w:hint="eastAsia" w:ascii="宋体" w:hAnsi="宋体" w:cs="宋体"/>
          <w:sz w:val="24"/>
          <w:szCs w:val="24"/>
        </w:rPr>
        <w:t>政府采购合同</w:t>
      </w:r>
      <w:r>
        <w:rPr>
          <w:rFonts w:hint="eastAsia" w:ascii="宋体" w:hAnsi="宋体" w:cs="宋体"/>
          <w:b/>
          <w:sz w:val="24"/>
          <w:szCs w:val="24"/>
        </w:rPr>
        <w:t>、</w:t>
      </w:r>
      <w:r>
        <w:rPr>
          <w:rFonts w:hint="eastAsia" w:ascii="宋体" w:hAnsi="宋体" w:cs="宋体"/>
          <w:sz w:val="24"/>
          <w:szCs w:val="24"/>
        </w:rPr>
        <w:t>响应文件编制要求七部分组成。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（二）采购人所作的一切有效的书面通知、修改及补充，都是竞争性磋商文件不可分割的部分。</w:t>
      </w:r>
    </w:p>
    <w:p>
      <w:pPr>
        <w:spacing w:line="360" w:lineRule="auto"/>
        <w:ind w:firstLine="480" w:firstLineChars="200"/>
        <w:rPr>
          <w:rFonts w:ascii="宋体" w:hAnsi="宋体" w:cs="宋体"/>
          <w:sz w:val="24"/>
          <w:szCs w:val="24"/>
        </w:rPr>
      </w:pPr>
      <w:bookmarkStart w:id="55" w:name="_Toc318166429"/>
      <w:bookmarkStart w:id="56" w:name="_Toc318159160"/>
      <w:bookmarkStart w:id="57" w:name="_Toc318159349"/>
      <w:bookmarkStart w:id="58" w:name="_Toc318159780"/>
      <w:r>
        <w:rPr>
          <w:rFonts w:hint="eastAsia" w:ascii="宋体" w:hAnsi="宋体" w:cs="宋体"/>
          <w:sz w:val="24"/>
          <w:szCs w:val="24"/>
        </w:rPr>
        <w:t>（三）本竞争性磋商文件中，磋商小组根据与供应商进行磋商可能实质性变动的内容为竞争性磋商文件第二、三、六篇全部内容。</w:t>
      </w:r>
    </w:p>
    <w:p>
      <w:pPr>
        <w:spacing w:line="360" w:lineRule="auto"/>
        <w:ind w:firstLine="480" w:firstLineChars="200"/>
        <w:rPr>
          <w:rFonts w:ascii="宋体" w:hAnsi="宋体" w:cs="宋体"/>
          <w:sz w:val="24"/>
          <w:szCs w:val="24"/>
        </w:rPr>
      </w:pPr>
      <w:r>
        <w:rPr>
          <w:rFonts w:hint="eastAsia" w:ascii="宋体" w:hAnsi="宋体" w:cs="宋体"/>
          <w:sz w:val="24"/>
          <w:szCs w:val="24"/>
        </w:rPr>
        <w:t>（四）评审的依据为竞争性磋商文件和响应文件（含有效的书面承诺）。磋商小组判断响应文件对竞争性磋商文件的响应，仅基于响应文件本身而不靠外部证据。</w:t>
      </w:r>
    </w:p>
    <w:bookmarkEnd w:id="55"/>
    <w:bookmarkEnd w:id="56"/>
    <w:bookmarkEnd w:id="57"/>
    <w:bookmarkEnd w:id="58"/>
    <w:p>
      <w:pPr>
        <w:pStyle w:val="2"/>
        <w:spacing w:line="360" w:lineRule="auto"/>
        <w:rPr>
          <w:rFonts w:ascii="宋体" w:hAnsi="宋体" w:cs="宋体"/>
          <w:sz w:val="24"/>
          <w:szCs w:val="24"/>
        </w:rPr>
      </w:pPr>
      <w:bookmarkStart w:id="59" w:name="_Toc102227318"/>
      <w:bookmarkStart w:id="60" w:name="_Toc54279002"/>
      <w:bookmarkStart w:id="61" w:name="_Toc342913392"/>
      <w:bookmarkStart w:id="62" w:name="_Toc179714297"/>
      <w:r>
        <w:rPr>
          <w:rFonts w:hint="eastAsia" w:ascii="宋体" w:hAnsi="宋体" w:cs="宋体"/>
          <w:sz w:val="24"/>
          <w:szCs w:val="24"/>
        </w:rPr>
        <w:t>三、磋商要求</w:t>
      </w:r>
      <w:bookmarkEnd w:id="59"/>
      <w:bookmarkEnd w:id="60"/>
      <w:bookmarkEnd w:id="61"/>
      <w:bookmarkEnd w:id="62"/>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sz w:val="24"/>
          <w:szCs w:val="24"/>
        </w:rPr>
      </w:pPr>
      <w:r>
        <w:rPr>
          <w:rFonts w:hint="eastAsia" w:ascii="宋体" w:hAnsi="宋体" w:cs="宋体"/>
          <w:sz w:val="24"/>
          <w:szCs w:val="24"/>
        </w:rPr>
        <w:t>（二）联合体</w:t>
      </w:r>
    </w:p>
    <w:p>
      <w:pPr>
        <w:snapToGrid w:val="0"/>
        <w:spacing w:line="360" w:lineRule="auto"/>
        <w:ind w:firstLine="598" w:firstLineChars="248"/>
        <w:rPr>
          <w:rFonts w:ascii="宋体" w:hAnsi="宋体" w:cs="宋体"/>
          <w:sz w:val="24"/>
          <w:szCs w:val="24"/>
        </w:rPr>
      </w:pPr>
      <w:r>
        <w:rPr>
          <w:rFonts w:hint="eastAsia" w:ascii="宋体" w:hAnsi="宋体" w:cs="宋体"/>
          <w:b/>
          <w:sz w:val="24"/>
          <w:szCs w:val="24"/>
        </w:rPr>
        <w:t>本项目不接受联合体参与磋商。</w:t>
      </w:r>
    </w:p>
    <w:p>
      <w:pPr>
        <w:spacing w:line="360" w:lineRule="auto"/>
        <w:ind w:firstLine="480" w:firstLineChars="200"/>
        <w:rPr>
          <w:rFonts w:ascii="宋体" w:hAnsi="宋体" w:cs="宋体"/>
          <w:sz w:val="24"/>
          <w:szCs w:val="24"/>
        </w:rPr>
      </w:pPr>
      <w:r>
        <w:rPr>
          <w:rFonts w:hint="eastAsia" w:ascii="宋体" w:hAnsi="宋体" w:cs="宋体"/>
          <w:sz w:val="24"/>
          <w:szCs w:val="24"/>
        </w:rPr>
        <w:t>（三）磋商有效期：响应文件及有关承诺文件有效期为提交响应文件截止时间起90天。</w:t>
      </w:r>
    </w:p>
    <w:p>
      <w:pPr>
        <w:spacing w:line="360" w:lineRule="auto"/>
        <w:ind w:firstLine="480" w:firstLineChars="200"/>
        <w:rPr>
          <w:rFonts w:ascii="宋体" w:hAnsi="宋体" w:cs="宋体"/>
          <w:sz w:val="24"/>
          <w:szCs w:val="24"/>
        </w:rPr>
      </w:pPr>
      <w:r>
        <w:rPr>
          <w:rFonts w:hint="eastAsia" w:ascii="宋体" w:hAnsi="宋体" w:cs="宋体"/>
          <w:sz w:val="24"/>
          <w:szCs w:val="24"/>
        </w:rPr>
        <w:t>（四）修正错误</w:t>
      </w:r>
    </w:p>
    <w:p>
      <w:pPr>
        <w:spacing w:line="360" w:lineRule="auto"/>
        <w:ind w:firstLine="480" w:firstLineChars="200"/>
        <w:rPr>
          <w:rFonts w:ascii="宋体" w:hAnsi="宋体" w:cs="宋体"/>
          <w:sz w:val="24"/>
          <w:szCs w:val="24"/>
        </w:rPr>
      </w:pPr>
      <w:r>
        <w:rPr>
          <w:rFonts w:hint="eastAsia" w:ascii="宋体" w:hAnsi="宋体" w:cs="宋体"/>
          <w:sz w:val="24"/>
          <w:szCs w:val="24"/>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sz w:val="24"/>
          <w:szCs w:val="24"/>
        </w:rPr>
      </w:pPr>
      <w:r>
        <w:rPr>
          <w:rFonts w:hint="eastAsia" w:ascii="宋体" w:hAnsi="宋体" w:cs="宋体"/>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（五）提交响应文件的份数和签署</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1.响应文件一式二份（</w:t>
      </w:r>
      <w:r>
        <w:rPr>
          <w:rFonts w:hint="eastAsia" w:ascii="宋体" w:hAnsi="宋体" w:cs="宋体"/>
          <w:sz w:val="24"/>
        </w:rPr>
        <w:t>封面标注正副本</w:t>
      </w:r>
      <w:r>
        <w:rPr>
          <w:rFonts w:hint="eastAsia" w:ascii="宋体" w:hAnsi="宋体" w:cs="宋体"/>
          <w:sz w:val="24"/>
          <w:szCs w:val="24"/>
        </w:rPr>
        <w:t>），其中正本一份，副本一份，副本可为正本的复印件，应与正本一致，如出现不一致情况以正本为准。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rPr>
        <w:t>在响应文件正本中，竞争性磋商文件第七篇响应文件编制要求中规定签字、盖章的地方必须按其规定签字、盖章。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（六）响应文件的递交</w:t>
      </w:r>
    </w:p>
    <w:p>
      <w:pPr>
        <w:snapToGrid w:val="0"/>
        <w:spacing w:line="360" w:lineRule="auto"/>
        <w:ind w:firstLine="480" w:firstLineChars="200"/>
        <w:rPr>
          <w:rFonts w:ascii="宋体" w:hAnsi="宋体" w:cs="宋体"/>
          <w:sz w:val="24"/>
        </w:rPr>
      </w:pPr>
      <w:r>
        <w:rPr>
          <w:rFonts w:hint="eastAsia" w:ascii="宋体" w:hAnsi="宋体" w:cs="宋体"/>
          <w:sz w:val="24"/>
        </w:rPr>
        <w:t>1.响应文件的密封</w:t>
      </w:r>
    </w:p>
    <w:p>
      <w:pPr>
        <w:snapToGrid w:val="0"/>
        <w:spacing w:line="360" w:lineRule="auto"/>
        <w:ind w:firstLine="480" w:firstLineChars="200"/>
        <w:rPr>
          <w:rFonts w:ascii="宋体" w:hAnsi="宋体" w:cs="宋体"/>
          <w:sz w:val="24"/>
        </w:rPr>
      </w:pPr>
      <w:r>
        <w:rPr>
          <w:rFonts w:hint="eastAsia" w:ascii="宋体" w:hAnsi="宋体" w:cs="宋体"/>
          <w:sz w:val="24"/>
        </w:rPr>
        <w:t>1.1响应文件（封面标注正副本）的正本、副本以均应密封送达磋商地点，应在封套上注明磋商项目名称、供应商名称。若正本、副本分别进行密封的，还应在封套上注明“正本”、“副本”字样。</w:t>
      </w:r>
    </w:p>
    <w:p>
      <w:pPr>
        <w:snapToGrid w:val="0"/>
        <w:spacing w:line="360" w:lineRule="auto"/>
        <w:ind w:firstLine="480" w:firstLineChars="200"/>
        <w:rPr>
          <w:rFonts w:ascii="宋体" w:hAnsi="宋体" w:cs="宋体"/>
          <w:sz w:val="24"/>
        </w:rPr>
      </w:pPr>
      <w:r>
        <w:rPr>
          <w:rFonts w:hint="eastAsia" w:ascii="宋体" w:hAnsi="宋体" w:cs="宋体"/>
          <w:sz w:val="24"/>
        </w:rPr>
        <w:t>1.2封套的封口处应加盖供应商公章或由法定代表人授权代表签字。</w:t>
      </w:r>
    </w:p>
    <w:p>
      <w:pPr>
        <w:snapToGrid w:val="0"/>
        <w:spacing w:line="360" w:lineRule="auto"/>
        <w:ind w:firstLine="480" w:firstLineChars="200"/>
        <w:rPr>
          <w:rFonts w:ascii="宋体" w:hAnsi="宋体" w:cs="宋体"/>
          <w:sz w:val="24"/>
        </w:rPr>
      </w:pPr>
      <w:r>
        <w:rPr>
          <w:rFonts w:hint="eastAsia" w:ascii="宋体" w:hAnsi="宋体" w:cs="宋体"/>
          <w:sz w:val="24"/>
        </w:rPr>
        <w:t>2.如果未按上述规定进行密封，采购人对响应文件误投、丢失或提前拆封不负责任。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（七）供应商参与人员</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各个供应商应当派1-2名代表参与磋商，至少1人应为法定代表人或具有法定代表人授权委托书的授权代表。</w:t>
      </w:r>
    </w:p>
    <w:p>
      <w:pPr>
        <w:pStyle w:val="2"/>
        <w:spacing w:line="360" w:lineRule="auto"/>
        <w:rPr>
          <w:rFonts w:ascii="宋体" w:hAnsi="宋体" w:cs="宋体"/>
          <w:sz w:val="24"/>
          <w:szCs w:val="24"/>
        </w:rPr>
      </w:pPr>
      <w:bookmarkStart w:id="63" w:name="_Toc54279003"/>
      <w:r>
        <w:rPr>
          <w:rFonts w:hint="eastAsia" w:ascii="宋体" w:hAnsi="宋体" w:cs="宋体"/>
          <w:sz w:val="24"/>
          <w:szCs w:val="24"/>
        </w:rPr>
        <w:t>四、成交供应商的确认和变更</w:t>
      </w:r>
      <w:bookmarkEnd w:id="63"/>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（一）成交供应商的确认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（二）成交供应商的变更</w:t>
      </w:r>
    </w:p>
    <w:p>
      <w:pPr>
        <w:snapToGrid w:val="0"/>
        <w:spacing w:line="360" w:lineRule="auto"/>
        <w:ind w:firstLine="480" w:firstLineChars="200"/>
        <w:rPr>
          <w:rFonts w:ascii="宋体" w:hAnsi="宋体" w:cs="宋体"/>
          <w:sz w:val="24"/>
          <w:szCs w:val="24"/>
        </w:rPr>
      </w:pPr>
      <w:r>
        <w:rPr>
          <w:rFonts w:hint="eastAsia" w:ascii="宋体" w:hAnsi="宋体" w:cs="宋体"/>
          <w:sz w:val="24"/>
        </w:rPr>
        <w:t>成交供应商拒绝与采购人签订合同的，采购人报财政部门同意后可以按照评标报告推荐的成交候选供应商顺序，确定排名下一位的候选人为成交供应商，也可以重新开展政府采购活动。</w:t>
      </w:r>
    </w:p>
    <w:p>
      <w:pPr>
        <w:pStyle w:val="2"/>
        <w:spacing w:line="360" w:lineRule="auto"/>
        <w:rPr>
          <w:rFonts w:ascii="宋体" w:hAnsi="宋体" w:cs="宋体"/>
          <w:sz w:val="24"/>
          <w:szCs w:val="24"/>
        </w:rPr>
      </w:pPr>
      <w:bookmarkStart w:id="64" w:name="_Toc102227321"/>
      <w:bookmarkStart w:id="65" w:name="_Toc342913395"/>
      <w:bookmarkStart w:id="66" w:name="_Toc54279004"/>
      <w:r>
        <w:rPr>
          <w:rFonts w:hint="eastAsia" w:ascii="宋体" w:hAnsi="宋体" w:cs="宋体"/>
          <w:sz w:val="24"/>
          <w:szCs w:val="24"/>
        </w:rPr>
        <w:t>五、成交通知</w:t>
      </w:r>
      <w:bookmarkEnd w:id="64"/>
      <w:bookmarkEnd w:id="65"/>
      <w:bookmarkEnd w:id="66"/>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w:t>
      </w:r>
      <w:r>
        <w:rPr>
          <w:rFonts w:hint="eastAsia" w:ascii="宋体" w:hAnsi="宋体" w:cs="宋体"/>
          <w:b/>
          <w:sz w:val="24"/>
          <w:szCs w:val="24"/>
          <w:u w:val="single"/>
        </w:rPr>
        <w:t>成交人需持经办人介绍信、身份证复印件到</w:t>
      </w:r>
      <w:r>
        <w:rPr>
          <w:rFonts w:hint="eastAsia" w:ascii="宋体" w:hAnsi="宋体" w:cs="宋体"/>
          <w:b/>
          <w:sz w:val="24"/>
          <w:szCs w:val="24"/>
          <w:u w:val="single"/>
          <w:lang w:eastAsia="zh-CN"/>
        </w:rPr>
        <w:t>采购人处</w:t>
      </w:r>
      <w:r>
        <w:rPr>
          <w:rFonts w:hint="eastAsia" w:ascii="宋体" w:hAnsi="宋体" w:cs="宋体"/>
          <w:b/>
          <w:sz w:val="24"/>
          <w:szCs w:val="24"/>
          <w:u w:val="single"/>
        </w:rPr>
        <w:t>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2"/>
        <w:spacing w:line="360" w:lineRule="auto"/>
        <w:rPr>
          <w:rFonts w:ascii="宋体" w:hAnsi="宋体" w:cs="宋体"/>
          <w:sz w:val="24"/>
          <w:szCs w:val="24"/>
        </w:rPr>
      </w:pPr>
      <w:bookmarkStart w:id="67" w:name="_Toc54279005"/>
      <w:r>
        <w:rPr>
          <w:rFonts w:hint="eastAsia" w:ascii="宋体" w:hAnsi="宋体" w:cs="宋体"/>
          <w:sz w:val="24"/>
          <w:szCs w:val="24"/>
        </w:rPr>
        <w:t>六、关于质疑和投诉</w:t>
      </w:r>
      <w:bookmarkEnd w:id="67"/>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right="12" w:firstLine="480"/>
        <w:rPr>
          <w:rFonts w:ascii="宋体" w:hAnsi="宋体" w:cs="宋体"/>
          <w:sz w:val="24"/>
        </w:rPr>
      </w:pPr>
      <w:r>
        <w:rPr>
          <w:rFonts w:hint="eastAsia" w:ascii="宋体" w:hAnsi="宋体" w:cs="宋体"/>
          <w:sz w:val="24"/>
        </w:rPr>
        <w:t>1.质疑时限、内容</w:t>
      </w:r>
    </w:p>
    <w:p>
      <w:pPr>
        <w:spacing w:line="360" w:lineRule="auto"/>
        <w:ind w:right="12" w:firstLine="480"/>
        <w:rPr>
          <w:rFonts w:ascii="宋体" w:hAnsi="宋体" w:cs="宋体"/>
          <w:sz w:val="24"/>
        </w:rPr>
      </w:pPr>
      <w:r>
        <w:rPr>
          <w:rFonts w:hint="eastAsia" w:ascii="宋体" w:hAnsi="宋体" w:cs="宋体"/>
          <w:sz w:val="24"/>
        </w:rPr>
        <w:t>供应商认为采购文件、采购过程、成交结果使自己的权益受到损害的，可以在知道或者应知其权益受到损害之日起7个工作日内，以书面形式向采购人提出质疑。</w:t>
      </w:r>
    </w:p>
    <w:p>
      <w:pPr>
        <w:spacing w:line="360" w:lineRule="auto"/>
        <w:ind w:right="12" w:firstLine="480"/>
        <w:rPr>
          <w:rFonts w:ascii="宋体" w:hAnsi="宋体" w:cs="宋体"/>
          <w:sz w:val="24"/>
        </w:rPr>
      </w:pPr>
      <w:r>
        <w:rPr>
          <w:rFonts w:hint="eastAsia" w:ascii="宋体" w:hAnsi="宋体" w:cs="宋体"/>
          <w:sz w:val="24"/>
        </w:rPr>
        <w:t>1.2供应商提出质疑应当提交质疑函和必要的证明材料，质疑函应当包括下列内容：</w:t>
      </w:r>
    </w:p>
    <w:p>
      <w:pPr>
        <w:spacing w:line="360" w:lineRule="auto"/>
        <w:ind w:right="12" w:firstLine="480"/>
        <w:rPr>
          <w:rFonts w:ascii="宋体" w:hAnsi="宋体" w:cs="宋体"/>
          <w:sz w:val="24"/>
        </w:rPr>
      </w:pPr>
      <w:r>
        <w:rPr>
          <w:rFonts w:hint="eastAsia" w:ascii="宋体" w:hAnsi="宋体" w:cs="宋体"/>
          <w:sz w:val="24"/>
        </w:rPr>
        <w:t>1.2.1供应商的姓名或者名称、地址、邮编、联系人及联系电话；</w:t>
      </w:r>
    </w:p>
    <w:p>
      <w:pPr>
        <w:spacing w:line="360" w:lineRule="auto"/>
        <w:ind w:right="12" w:firstLine="480"/>
        <w:rPr>
          <w:rFonts w:ascii="宋体" w:hAnsi="宋体" w:cs="宋体"/>
          <w:sz w:val="24"/>
        </w:rPr>
      </w:pPr>
      <w:r>
        <w:rPr>
          <w:rFonts w:hint="eastAsia" w:ascii="宋体" w:hAnsi="宋体" w:cs="宋体"/>
          <w:sz w:val="24"/>
        </w:rPr>
        <w:t>1.2.2质疑项目的名称、项目号以及磋商项目编号；</w:t>
      </w:r>
    </w:p>
    <w:p>
      <w:pPr>
        <w:spacing w:line="360" w:lineRule="auto"/>
        <w:ind w:right="12" w:firstLine="480"/>
        <w:rPr>
          <w:rFonts w:ascii="宋体" w:hAnsi="宋体" w:cs="宋体"/>
          <w:sz w:val="24"/>
        </w:rPr>
      </w:pPr>
      <w:r>
        <w:rPr>
          <w:rFonts w:hint="eastAsia" w:ascii="宋体" w:hAnsi="宋体" w:cs="宋体"/>
          <w:sz w:val="24"/>
        </w:rPr>
        <w:t>1.2.3具体、明确的质疑事项和与质疑事项相关的请求；</w:t>
      </w:r>
    </w:p>
    <w:p>
      <w:pPr>
        <w:spacing w:line="360" w:lineRule="auto"/>
        <w:ind w:right="12" w:firstLine="480"/>
        <w:rPr>
          <w:rFonts w:ascii="宋体" w:hAnsi="宋体" w:cs="宋体"/>
          <w:sz w:val="24"/>
        </w:rPr>
      </w:pPr>
      <w:r>
        <w:rPr>
          <w:rFonts w:hint="eastAsia" w:ascii="宋体" w:hAnsi="宋体" w:cs="宋体"/>
          <w:sz w:val="24"/>
        </w:rPr>
        <w:t>1.2.4事实依据；</w:t>
      </w:r>
    </w:p>
    <w:p>
      <w:pPr>
        <w:spacing w:line="360" w:lineRule="auto"/>
        <w:ind w:right="12" w:firstLine="480"/>
        <w:rPr>
          <w:rFonts w:ascii="宋体" w:hAnsi="宋体" w:cs="宋体"/>
          <w:sz w:val="24"/>
        </w:rPr>
      </w:pPr>
      <w:r>
        <w:rPr>
          <w:rFonts w:hint="eastAsia" w:ascii="宋体" w:hAnsi="宋体" w:cs="宋体"/>
          <w:sz w:val="24"/>
        </w:rPr>
        <w:t>1.2.5必要的法律依据；</w:t>
      </w:r>
    </w:p>
    <w:p>
      <w:pPr>
        <w:spacing w:line="360" w:lineRule="auto"/>
        <w:ind w:right="12" w:firstLine="480"/>
        <w:rPr>
          <w:rFonts w:ascii="宋体" w:hAnsi="宋体" w:cs="宋体"/>
          <w:sz w:val="24"/>
        </w:rPr>
      </w:pPr>
      <w:r>
        <w:rPr>
          <w:rFonts w:hint="eastAsia" w:ascii="宋体" w:hAnsi="宋体" w:cs="宋体"/>
          <w:sz w:val="24"/>
        </w:rPr>
        <w:t>1.2.6提出质疑的日期；</w:t>
      </w:r>
    </w:p>
    <w:p>
      <w:pPr>
        <w:spacing w:line="360" w:lineRule="auto"/>
        <w:ind w:right="12" w:firstLine="480"/>
        <w:rPr>
          <w:rFonts w:ascii="宋体" w:hAnsi="宋体" w:cs="宋体"/>
          <w:sz w:val="24"/>
        </w:rPr>
      </w:pPr>
      <w:r>
        <w:rPr>
          <w:rFonts w:hint="eastAsia" w:ascii="宋体" w:hAnsi="宋体" w:cs="宋体"/>
          <w:sz w:val="24"/>
        </w:rPr>
        <w:t>1.2.7营业执照（或事业单位法人证书，或个体工商户营业执照或有效的自然人身份证明）复印件；</w:t>
      </w:r>
    </w:p>
    <w:p>
      <w:pPr>
        <w:spacing w:line="360" w:lineRule="auto"/>
        <w:ind w:right="12" w:firstLine="480"/>
        <w:rPr>
          <w:rFonts w:ascii="宋体" w:hAnsi="宋体" w:cs="宋体"/>
          <w:sz w:val="24"/>
        </w:rPr>
      </w:pPr>
      <w:r>
        <w:rPr>
          <w:rFonts w:hint="eastAsia" w:ascii="宋体" w:hAnsi="宋体" w:cs="宋体"/>
          <w:sz w:val="24"/>
        </w:rPr>
        <w:t>1.2.8法定代表人授权委托书原件、法定代表人身份证复印件和其授权代表的身份证复印件（供应商为自然人的提供自然人身份证复印件）；</w:t>
      </w:r>
    </w:p>
    <w:p>
      <w:pPr>
        <w:spacing w:line="360" w:lineRule="auto"/>
        <w:ind w:right="12" w:firstLine="480"/>
        <w:rPr>
          <w:rFonts w:ascii="宋体" w:hAnsi="宋体" w:cs="宋体"/>
          <w:sz w:val="24"/>
        </w:rPr>
      </w:pPr>
      <w:r>
        <w:rPr>
          <w:rFonts w:hint="eastAsia" w:ascii="宋体" w:hAnsi="宋体" w:cs="宋体"/>
          <w:sz w:val="24"/>
        </w:rPr>
        <w:t>1.3供应商为自然人的，质疑函应当由本人签字；供应商为法人或者其他组织的，质疑函应当由法定代表人、主要负责人，或者其授权代表签字或者盖章，并加盖公章。</w:t>
      </w:r>
    </w:p>
    <w:p>
      <w:pPr>
        <w:spacing w:line="360" w:lineRule="auto"/>
        <w:ind w:right="12" w:firstLine="480"/>
        <w:rPr>
          <w:rFonts w:ascii="宋体" w:hAnsi="宋体" w:cs="宋体"/>
          <w:sz w:val="24"/>
        </w:rPr>
      </w:pPr>
      <w:r>
        <w:rPr>
          <w:rFonts w:hint="eastAsia" w:ascii="宋体" w:hAnsi="宋体" w:cs="宋体"/>
          <w:sz w:val="24"/>
        </w:rPr>
        <w:t>2.质疑答复</w:t>
      </w:r>
    </w:p>
    <w:p>
      <w:pPr>
        <w:spacing w:line="360" w:lineRule="auto"/>
        <w:ind w:right="12" w:firstLine="480"/>
        <w:rPr>
          <w:rFonts w:ascii="宋体" w:hAnsi="宋体" w:cs="宋体"/>
          <w:sz w:val="24"/>
        </w:rPr>
      </w:pPr>
      <w:r>
        <w:rPr>
          <w:rFonts w:hint="eastAsia" w:ascii="宋体" w:hAnsi="宋体" w:cs="宋体"/>
          <w:sz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right="12" w:firstLine="480"/>
        <w:rPr>
          <w:rFonts w:ascii="宋体" w:hAnsi="宋体" w:cs="宋体"/>
          <w:sz w:val="24"/>
        </w:rPr>
      </w:pPr>
      <w:r>
        <w:rPr>
          <w:rFonts w:hint="eastAsia" w:ascii="宋体" w:hAnsi="宋体" w:cs="宋体"/>
          <w:sz w:val="24"/>
        </w:rPr>
        <w:t>3.其他</w:t>
      </w:r>
    </w:p>
    <w:p>
      <w:pPr>
        <w:spacing w:line="360" w:lineRule="auto"/>
        <w:ind w:right="12" w:firstLine="480"/>
        <w:rPr>
          <w:rFonts w:ascii="宋体" w:hAnsi="宋体" w:cs="宋体"/>
          <w:sz w:val="24"/>
        </w:rPr>
      </w:pPr>
      <w:r>
        <w:rPr>
          <w:rFonts w:hint="eastAsia" w:ascii="宋体" w:hAnsi="宋体" w:cs="宋体"/>
          <w:sz w:val="24"/>
        </w:rPr>
        <w:t>3.1供应商应按照《政府采购质疑和投诉办法》（财政部令第94号）及相关法律法规要求，在法定质疑期内一次性提出针对同一采购程序环节的质疑。</w:t>
      </w:r>
    </w:p>
    <w:p>
      <w:pPr>
        <w:spacing w:line="360" w:lineRule="auto"/>
        <w:ind w:right="12" w:firstLine="480"/>
        <w:rPr>
          <w:rFonts w:ascii="宋体" w:hAnsi="宋体" w:cs="宋体"/>
          <w:sz w:val="24"/>
        </w:rPr>
      </w:pPr>
      <w:r>
        <w:rPr>
          <w:rFonts w:hint="eastAsia" w:ascii="宋体" w:hAnsi="宋体" w:cs="宋体"/>
          <w:sz w:val="24"/>
        </w:rPr>
        <w:t>3.2质疑函范本可在财政部门户网站和中国政府采购网下载。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（二）投诉</w:t>
      </w:r>
    </w:p>
    <w:p>
      <w:pPr>
        <w:spacing w:line="360" w:lineRule="auto"/>
        <w:ind w:right="12" w:firstLine="480"/>
        <w:rPr>
          <w:rFonts w:ascii="宋体" w:hAnsi="宋体" w:cs="宋体"/>
          <w:sz w:val="24"/>
        </w:rPr>
      </w:pPr>
      <w:r>
        <w:rPr>
          <w:rFonts w:hint="eastAsia" w:ascii="宋体" w:hAnsi="宋体" w:cs="宋体"/>
          <w:sz w:val="24"/>
        </w:rPr>
        <w:t>1.供应商对采购人的答复不满意，或者采购人未在规定时间内作出答复的，可以在答复期满后15个工作日内按照相关法律法规向财政部门提起投诉。</w:t>
      </w:r>
    </w:p>
    <w:p>
      <w:pPr>
        <w:spacing w:line="360" w:lineRule="auto"/>
        <w:ind w:right="12" w:firstLine="480"/>
        <w:rPr>
          <w:rFonts w:ascii="宋体" w:hAnsi="宋体" w:cs="宋体"/>
          <w:sz w:val="24"/>
        </w:rPr>
      </w:pPr>
      <w:r>
        <w:rPr>
          <w:rFonts w:hint="eastAsia" w:ascii="宋体" w:hAnsi="宋体" w:cs="宋体"/>
          <w:sz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rPr>
        <w:t>4.在确定受理投诉后，财政部门自受理投诉之日起30个工作日内（需要检验、检测、鉴定、专家评审以及需要投诉人补正材料的，所需时间不计算在投诉处理期限内）对投诉事项做出处理决定。</w:t>
      </w:r>
    </w:p>
    <w:p>
      <w:pPr>
        <w:pStyle w:val="2"/>
        <w:spacing w:line="360" w:lineRule="auto"/>
        <w:rPr>
          <w:rFonts w:ascii="宋体" w:hAnsi="宋体" w:cs="宋体"/>
          <w:sz w:val="24"/>
          <w:szCs w:val="24"/>
        </w:rPr>
      </w:pPr>
      <w:bookmarkStart w:id="68" w:name="_Toc102227322"/>
      <w:bookmarkStart w:id="69" w:name="_Toc342913396"/>
      <w:bookmarkStart w:id="70" w:name="_Toc54279008"/>
      <w:bookmarkStart w:id="71" w:name="_Toc11641055"/>
      <w:bookmarkStart w:id="72" w:name="_Toc12789059"/>
      <w:r>
        <w:rPr>
          <w:rFonts w:hint="eastAsia" w:ascii="宋体" w:hAnsi="宋体" w:cs="宋体"/>
          <w:sz w:val="24"/>
          <w:szCs w:val="24"/>
        </w:rPr>
        <w:t>七、签订</w:t>
      </w:r>
      <w:bookmarkEnd w:id="68"/>
      <w:r>
        <w:rPr>
          <w:rFonts w:hint="eastAsia" w:ascii="宋体" w:hAnsi="宋体" w:cs="宋体"/>
          <w:sz w:val="24"/>
          <w:szCs w:val="24"/>
        </w:rPr>
        <w:t>合同</w:t>
      </w:r>
      <w:bookmarkEnd w:id="69"/>
      <w:bookmarkEnd w:id="70"/>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480" w:firstLineChars="20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2"/>
        <w:spacing w:line="360" w:lineRule="auto"/>
        <w:rPr>
          <w:rFonts w:ascii="宋体" w:hAnsi="宋体" w:cs="宋体"/>
          <w:sz w:val="24"/>
        </w:rPr>
      </w:pPr>
      <w:bookmarkStart w:id="73" w:name="_Toc8666679"/>
      <w:bookmarkStart w:id="74" w:name="_Toc16931_WPSOffice_Level2"/>
      <w:bookmarkStart w:id="75" w:name="_Toc19576_WPSOffice_Level2"/>
      <w:bookmarkStart w:id="76" w:name="_Toc3855"/>
      <w:r>
        <w:rPr>
          <w:rFonts w:hint="eastAsia" w:ascii="宋体" w:hAnsi="宋体" w:cs="宋体"/>
          <w:sz w:val="24"/>
          <w:szCs w:val="24"/>
        </w:rPr>
        <w:t>八、</w:t>
      </w:r>
      <w:bookmarkEnd w:id="73"/>
      <w:bookmarkEnd w:id="74"/>
      <w:bookmarkEnd w:id="75"/>
      <w:bookmarkEnd w:id="76"/>
      <w:bookmarkStart w:id="77" w:name="_Toc14780"/>
      <w:bookmarkStart w:id="78" w:name="_Toc54279009"/>
      <w:r>
        <w:rPr>
          <w:rFonts w:hint="eastAsia" w:ascii="宋体" w:hAnsi="宋体" w:cs="宋体"/>
          <w:sz w:val="24"/>
        </w:rPr>
        <w:t>政府采购信用融资</w:t>
      </w:r>
      <w:bookmarkEnd w:id="77"/>
      <w:bookmarkEnd w:id="78"/>
    </w:p>
    <w:p>
      <w:pPr>
        <w:spacing w:line="360" w:lineRule="auto"/>
        <w:ind w:firstLine="360" w:firstLineChars="150"/>
        <w:rPr>
          <w:rFonts w:ascii="宋体" w:hAnsi="宋体" w:eastAsia="宋体" w:cs="宋体"/>
          <w:b w:val="0"/>
          <w:sz w:val="36"/>
          <w:szCs w:val="30"/>
        </w:rPr>
      </w:pPr>
      <w:r>
        <w:rPr>
          <w:rFonts w:hint="eastAsia" w:ascii="宋体" w:hAnsi="宋体" w:cs="宋体"/>
          <w:sz w:val="24"/>
          <w:szCs w:val="24"/>
        </w:rPr>
        <w:t xml:space="preserve">  竞标人参与重庆市政府采购活动，成为成交人，并与采购人签订政府采购合同后，可按照重庆市政府采购支持中小企业信用融资办法的规定，向开展政府采购信用融资业务的银行申请贷款。具体内容详见重庆市重庆市政府采购网“政采贷”信息专栏。建设银行联系人：吴言18602391953；工商银行联系人：程剑鹏18325073918 游宇13996150404; 兴业银行联系人：陈亚琴15223442359；光大银行联系人：韩一夫13983233666；农业银行联系人：张世佳19946916067；华夏银行重庆分行联系人：危经理13618303013胡经理18580766891。</w:t>
      </w:r>
      <w:r>
        <w:rPr>
          <w:rFonts w:hint="eastAsia" w:ascii="宋体" w:hAnsi="宋体" w:cs="宋体"/>
          <w:sz w:val="24"/>
          <w:szCs w:val="24"/>
        </w:rPr>
        <w:br w:type="page"/>
      </w:r>
      <w:bookmarkStart w:id="79" w:name="_Toc54279010"/>
      <w:r>
        <w:rPr>
          <w:rFonts w:hint="eastAsia" w:ascii="宋体" w:hAnsi="宋体" w:eastAsia="宋体" w:cs="宋体"/>
          <w:b w:val="0"/>
          <w:sz w:val="36"/>
          <w:szCs w:val="30"/>
        </w:rPr>
        <w:t xml:space="preserve">第六篇  </w:t>
      </w:r>
      <w:bookmarkEnd w:id="71"/>
      <w:bookmarkEnd w:id="72"/>
      <w:r>
        <w:rPr>
          <w:rFonts w:hint="eastAsia" w:ascii="宋体" w:hAnsi="宋体" w:eastAsia="宋体" w:cs="宋体"/>
          <w:b w:val="0"/>
          <w:sz w:val="36"/>
          <w:szCs w:val="30"/>
        </w:rPr>
        <w:t>政府采购合同</w:t>
      </w:r>
      <w:bookmarkEnd w:id="79"/>
    </w:p>
    <w:p>
      <w:pPr>
        <w:tabs>
          <w:tab w:val="left" w:pos="9000"/>
        </w:tabs>
        <w:spacing w:line="360" w:lineRule="auto"/>
        <w:jc w:val="center"/>
        <w:rPr>
          <w:rFonts w:ascii="宋体" w:hAnsi="宋体" w:cs="宋体"/>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sz w:val="44"/>
        </w:rPr>
        <w:t>格式自拟</w:t>
      </w:r>
    </w:p>
    <w:p>
      <w:pPr>
        <w:pStyle w:val="3"/>
        <w:spacing w:line="360" w:lineRule="auto"/>
        <w:jc w:val="center"/>
        <w:rPr>
          <w:rFonts w:ascii="宋体" w:hAnsi="宋体" w:eastAsia="宋体" w:cs="宋体"/>
          <w:b w:val="0"/>
          <w:sz w:val="36"/>
          <w:szCs w:val="30"/>
        </w:rPr>
      </w:pPr>
      <w:bookmarkStart w:id="80" w:name="_Hlt41879464"/>
      <w:bookmarkEnd w:id="80"/>
      <w:bookmarkStart w:id="81" w:name="_Toc54279011"/>
      <w:r>
        <w:rPr>
          <w:rFonts w:hint="eastAsia" w:ascii="宋体" w:hAnsi="宋体" w:eastAsia="宋体" w:cs="宋体"/>
          <w:b w:val="0"/>
          <w:sz w:val="36"/>
          <w:szCs w:val="30"/>
        </w:rPr>
        <w:t>第七篇  响应文件编制要求</w:t>
      </w:r>
      <w:bookmarkEnd w:id="81"/>
    </w:p>
    <w:p>
      <w:pPr>
        <w:pStyle w:val="2"/>
        <w:spacing w:line="360" w:lineRule="auto"/>
        <w:rPr>
          <w:rFonts w:hint="eastAsia" w:ascii="宋体" w:hAnsi="宋体" w:cs="宋体"/>
          <w:sz w:val="24"/>
          <w:szCs w:val="24"/>
        </w:rPr>
      </w:pPr>
      <w:bookmarkStart w:id="82" w:name="_Toc342913419"/>
      <w:bookmarkStart w:id="83" w:name="_Toc313888360"/>
      <w:bookmarkStart w:id="84" w:name="_Toc54279012"/>
      <w:bookmarkStart w:id="85" w:name="_Toc313008356"/>
      <w:bookmarkStart w:id="86" w:name="_Toc283382454"/>
      <w:bookmarkStart w:id="87" w:name="_Toc12789073"/>
      <w:r>
        <w:rPr>
          <w:rFonts w:hint="eastAsia" w:ascii="宋体" w:hAnsi="宋体" w:cs="宋体"/>
          <w:sz w:val="24"/>
          <w:szCs w:val="24"/>
        </w:rPr>
        <w:t>一、经济部分</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（一）竞争性磋商报价函</w:t>
      </w:r>
    </w:p>
    <w:p>
      <w:pPr>
        <w:pStyle w:val="2"/>
        <w:spacing w:line="360" w:lineRule="auto"/>
        <w:rPr>
          <w:rFonts w:hint="eastAsia" w:ascii="宋体" w:hAnsi="宋体" w:cs="宋体"/>
          <w:sz w:val="24"/>
          <w:szCs w:val="24"/>
        </w:rPr>
      </w:pPr>
      <w:r>
        <w:rPr>
          <w:rFonts w:hint="eastAsia" w:ascii="宋体" w:hAnsi="宋体" w:cs="宋体"/>
          <w:sz w:val="24"/>
          <w:szCs w:val="24"/>
        </w:rPr>
        <w:t>二、服务部分</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（一）服务响应偏离表</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（二）其他资料（格式自定）</w:t>
      </w:r>
    </w:p>
    <w:p>
      <w:pPr>
        <w:pStyle w:val="2"/>
        <w:spacing w:line="360" w:lineRule="auto"/>
        <w:rPr>
          <w:rFonts w:hint="eastAsia" w:ascii="宋体" w:hAnsi="宋体" w:cs="宋体"/>
          <w:sz w:val="24"/>
          <w:szCs w:val="24"/>
        </w:rPr>
      </w:pPr>
      <w:r>
        <w:rPr>
          <w:rFonts w:hint="eastAsia" w:ascii="宋体" w:hAnsi="宋体" w:cs="宋体"/>
          <w:sz w:val="24"/>
          <w:szCs w:val="24"/>
        </w:rPr>
        <w:t>三、商务部分</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（一）商务响应偏离表</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（二）其它优惠服务承诺（格式自定）</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（三）业绩证明</w:t>
      </w:r>
    </w:p>
    <w:p>
      <w:pPr>
        <w:pStyle w:val="2"/>
        <w:spacing w:line="360" w:lineRule="auto"/>
        <w:rPr>
          <w:rFonts w:hint="eastAsia" w:ascii="宋体" w:hAnsi="宋体" w:cs="宋体"/>
          <w:sz w:val="24"/>
          <w:szCs w:val="24"/>
        </w:rPr>
      </w:pPr>
      <w:r>
        <w:rPr>
          <w:rFonts w:hint="eastAsia" w:ascii="宋体" w:hAnsi="宋体" w:cs="宋体"/>
          <w:sz w:val="24"/>
          <w:szCs w:val="24"/>
        </w:rPr>
        <w:t>四、资格条件及其他</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（一）法人营业执照（副本）或事业单位法人证书（副本）或个体工商户营业执照或有效的自然人身份证明或社会团体法人登记证书复印件</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（二）法定代表人身份证明书（格式）</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（三）法定代表人授权委托书（格式）</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（四）基本资格条件承诺函（格式）</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（五）特定资格条件证书或证明文件</w:t>
      </w:r>
    </w:p>
    <w:p>
      <w:pPr>
        <w:pStyle w:val="2"/>
        <w:spacing w:line="360" w:lineRule="auto"/>
        <w:rPr>
          <w:rFonts w:hint="eastAsia" w:ascii="宋体" w:hAnsi="宋体" w:cs="宋体"/>
          <w:sz w:val="24"/>
          <w:szCs w:val="24"/>
        </w:rPr>
      </w:pPr>
      <w:r>
        <w:rPr>
          <w:rFonts w:hint="eastAsia" w:ascii="宋体" w:hAnsi="宋体" w:cs="宋体"/>
          <w:sz w:val="24"/>
          <w:szCs w:val="24"/>
        </w:rPr>
        <w:t>五、其他资料</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（一）中小企业声明函、监狱企业证明文件、残疾人福利性单位声明函</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（二）联合体协议或分包意向协议（格式自定）</w:t>
      </w:r>
    </w:p>
    <w:p>
      <w:pPr>
        <w:pStyle w:val="2"/>
        <w:spacing w:line="360" w:lineRule="auto"/>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（三）其他与项目有关的资料</w:t>
      </w:r>
    </w:p>
    <w:p>
      <w:pPr>
        <w:pStyle w:val="2"/>
        <w:spacing w:line="360" w:lineRule="auto"/>
        <w:rPr>
          <w:rFonts w:hint="eastAsia" w:ascii="宋体" w:hAnsi="宋体" w:cs="宋体"/>
          <w:sz w:val="24"/>
          <w:szCs w:val="24"/>
        </w:rPr>
      </w:pPr>
    </w:p>
    <w:p>
      <w:pPr>
        <w:pStyle w:val="2"/>
        <w:spacing w:line="360" w:lineRule="auto"/>
        <w:rPr>
          <w:rFonts w:hint="eastAsia" w:ascii="宋体" w:hAnsi="宋体" w:cs="宋体"/>
          <w:sz w:val="24"/>
          <w:szCs w:val="24"/>
        </w:rPr>
      </w:pPr>
    </w:p>
    <w:p>
      <w:pPr>
        <w:pStyle w:val="2"/>
        <w:spacing w:line="360" w:lineRule="auto"/>
        <w:rPr>
          <w:rFonts w:hint="eastAsia" w:ascii="宋体" w:hAnsi="宋体" w:cs="宋体"/>
          <w:sz w:val="24"/>
          <w:szCs w:val="24"/>
        </w:rPr>
      </w:pPr>
    </w:p>
    <w:p>
      <w:pPr>
        <w:pStyle w:val="2"/>
        <w:spacing w:line="360" w:lineRule="auto"/>
        <w:rPr>
          <w:rFonts w:hint="eastAsia" w:ascii="宋体" w:hAnsi="宋体" w:cs="宋体"/>
          <w:sz w:val="24"/>
          <w:szCs w:val="24"/>
        </w:rPr>
      </w:pPr>
    </w:p>
    <w:p>
      <w:pPr>
        <w:pStyle w:val="2"/>
        <w:spacing w:line="360" w:lineRule="auto"/>
        <w:rPr>
          <w:rFonts w:hint="eastAsia" w:ascii="宋体" w:hAnsi="宋体" w:cs="宋体"/>
          <w:sz w:val="24"/>
          <w:szCs w:val="24"/>
        </w:rPr>
      </w:pPr>
    </w:p>
    <w:p>
      <w:pPr>
        <w:rPr>
          <w:rFonts w:hint="eastAsia"/>
        </w:rPr>
      </w:pPr>
    </w:p>
    <w:p>
      <w:pPr>
        <w:pStyle w:val="2"/>
        <w:spacing w:line="360" w:lineRule="auto"/>
        <w:rPr>
          <w:rFonts w:hint="eastAsia" w:ascii="宋体" w:hAnsi="宋体" w:cs="宋体"/>
          <w:sz w:val="24"/>
          <w:szCs w:val="24"/>
        </w:rPr>
      </w:pPr>
    </w:p>
    <w:p>
      <w:pPr>
        <w:rPr>
          <w:rFonts w:hint="eastAsia" w:ascii="宋体" w:hAnsi="宋体" w:cs="宋体"/>
          <w:sz w:val="24"/>
          <w:szCs w:val="24"/>
        </w:rPr>
      </w:pPr>
    </w:p>
    <w:p>
      <w:pPr>
        <w:pStyle w:val="2"/>
        <w:spacing w:line="360" w:lineRule="auto"/>
        <w:rPr>
          <w:rFonts w:hint="eastAsia" w:ascii="宋体" w:hAnsi="宋体" w:cs="宋体"/>
          <w:sz w:val="24"/>
          <w:szCs w:val="24"/>
        </w:rPr>
      </w:pPr>
    </w:p>
    <w:p>
      <w:pPr>
        <w:pStyle w:val="2"/>
        <w:spacing w:line="360" w:lineRule="auto"/>
        <w:rPr>
          <w:rFonts w:ascii="宋体" w:hAnsi="宋体" w:cs="宋体"/>
          <w:sz w:val="24"/>
          <w:szCs w:val="24"/>
        </w:rPr>
      </w:pPr>
      <w:r>
        <w:rPr>
          <w:rFonts w:hint="eastAsia" w:ascii="宋体" w:hAnsi="宋体" w:cs="宋体"/>
          <w:sz w:val="24"/>
          <w:szCs w:val="24"/>
        </w:rPr>
        <w:t>一、经济部分</w:t>
      </w:r>
      <w:bookmarkEnd w:id="82"/>
      <w:bookmarkEnd w:id="83"/>
      <w:bookmarkEnd w:id="84"/>
      <w:bookmarkEnd w:id="85"/>
    </w:p>
    <w:bookmarkEnd w:id="86"/>
    <w:bookmarkEnd w:id="87"/>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（一）竞争性磋商报价函</w:t>
      </w:r>
    </w:p>
    <w:p>
      <w:pPr>
        <w:jc w:val="center"/>
        <w:rPr>
          <w:rFonts w:ascii="宋体" w:hAnsi="宋体" w:cs="宋体"/>
          <w:b/>
          <w:szCs w:val="28"/>
        </w:rPr>
      </w:pPr>
      <w:r>
        <w:rPr>
          <w:rFonts w:hint="eastAsia" w:ascii="宋体" w:hAnsi="宋体" w:cs="宋体"/>
          <w:b/>
          <w:szCs w:val="28"/>
        </w:rPr>
        <w:t>竞争性磋商报价函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1.愿意按照竞争性磋商文件中的一切要求，提供本项目的服务，初始报价为人民币大写：</w:t>
      </w:r>
      <w:r>
        <w:rPr>
          <w:rFonts w:hint="eastAsia" w:ascii="宋体" w:hAnsi="宋体" w:cs="宋体"/>
          <w:sz w:val="24"/>
          <w:szCs w:val="24"/>
          <w:u w:val="single"/>
          <w:lang w:val="en-US" w:eastAsia="zh-CN"/>
        </w:rPr>
        <w:t xml:space="preserve">             </w:t>
      </w:r>
      <w:r>
        <w:rPr>
          <w:rFonts w:hint="eastAsia" w:ascii="宋体" w:hAnsi="宋体" w:cs="宋体"/>
          <w:sz w:val="24"/>
          <w:szCs w:val="24"/>
        </w:rPr>
        <w:t>元整；人民币小写：</w:t>
      </w:r>
      <w:r>
        <w:rPr>
          <w:rFonts w:hint="eastAsia" w:ascii="宋体" w:hAnsi="宋体" w:cs="宋体"/>
          <w:sz w:val="24"/>
          <w:szCs w:val="24"/>
          <w:u w:val="single"/>
          <w:lang w:val="en-US" w:eastAsia="zh-CN"/>
        </w:rPr>
        <w:t xml:space="preserve">          </w:t>
      </w:r>
      <w:r>
        <w:rPr>
          <w:rFonts w:hint="eastAsia" w:ascii="宋体" w:hAnsi="宋体" w:cs="宋体"/>
          <w:sz w:val="24"/>
          <w:szCs w:val="24"/>
        </w:rPr>
        <w:t>元。（其中安全文明施工费为：</w:t>
      </w:r>
      <w:r>
        <w:rPr>
          <w:rFonts w:hint="eastAsia" w:ascii="宋体" w:hAnsi="宋体" w:cs="宋体"/>
          <w:sz w:val="24"/>
          <w:szCs w:val="24"/>
          <w:u w:val="single"/>
          <w:lang w:val="en-US" w:eastAsia="zh-CN"/>
        </w:rPr>
        <w:t xml:space="preserve">     </w:t>
      </w:r>
      <w:r>
        <w:rPr>
          <w:rFonts w:hint="eastAsia" w:ascii="宋体" w:hAnsi="宋体" w:cs="宋体"/>
          <w:sz w:val="24"/>
          <w:szCs w:val="24"/>
        </w:rPr>
        <w:t>元）以我公司最后报价为准。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2.我方现提交的响应文件为：响应文件正本份，副本份。</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3、我方承诺：本次磋商的有效期为90天。</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9、</w:t>
      </w:r>
      <w:r>
        <w:rPr>
          <w:rFonts w:hint="eastAsia" w:ascii="宋体" w:hAnsi="宋体" w:cs="宋体"/>
          <w:sz w:val="24"/>
          <w:szCs w:val="28"/>
        </w:rPr>
        <w:t>我方未</w:t>
      </w:r>
      <w:r>
        <w:rPr>
          <w:rFonts w:hint="eastAsia" w:ascii="宋体" w:hAnsi="宋体" w:cs="宋体"/>
          <w:sz w:val="24"/>
          <w:szCs w:val="24"/>
        </w:rPr>
        <w:t>为采购项目提供整体设计、规范编制或者项目管理、监理、检测等服务。</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竞标人（公章）：</w:t>
      </w:r>
    </w:p>
    <w:p>
      <w:pPr>
        <w:snapToGrid w:val="0"/>
        <w:spacing w:line="312" w:lineRule="auto"/>
        <w:ind w:firstLine="480" w:firstLineChars="200"/>
        <w:rPr>
          <w:rFonts w:ascii="宋体" w:hAnsi="宋体" w:cs="宋体"/>
          <w:sz w:val="24"/>
          <w:szCs w:val="24"/>
          <w:bdr w:val="single" w:color="auto" w:sz="4" w:space="0"/>
        </w:rPr>
        <w:sectPr>
          <w:headerReference r:id="rId11" w:type="default"/>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pStyle w:val="2"/>
        <w:spacing w:line="360" w:lineRule="auto"/>
        <w:rPr>
          <w:rFonts w:ascii="宋体" w:hAnsi="宋体" w:cs="宋体"/>
          <w:sz w:val="24"/>
          <w:szCs w:val="24"/>
        </w:rPr>
      </w:pPr>
      <w:bookmarkStart w:id="88" w:name="_Toc313008357"/>
      <w:bookmarkStart w:id="89" w:name="_Toc342913420"/>
      <w:bookmarkStart w:id="90" w:name="_Toc313888361"/>
      <w:bookmarkStart w:id="91" w:name="_Toc54279013"/>
      <w:r>
        <w:rPr>
          <w:rFonts w:hint="eastAsia" w:ascii="宋体" w:hAnsi="宋体" w:cs="宋体"/>
          <w:sz w:val="24"/>
          <w:szCs w:val="24"/>
        </w:rPr>
        <w:t>二、服务部分</w:t>
      </w:r>
      <w:bookmarkEnd w:id="88"/>
      <w:bookmarkEnd w:id="89"/>
      <w:bookmarkEnd w:id="90"/>
      <w:bookmarkEnd w:id="91"/>
    </w:p>
    <w:p>
      <w:pPr>
        <w:snapToGrid w:val="0"/>
        <w:spacing w:line="360" w:lineRule="auto"/>
        <w:jc w:val="center"/>
        <w:rPr>
          <w:rFonts w:ascii="宋体" w:hAnsi="宋体" w:cs="宋体"/>
          <w:sz w:val="24"/>
          <w:szCs w:val="24"/>
        </w:rPr>
      </w:pPr>
      <w:r>
        <w:rPr>
          <w:rFonts w:hint="eastAsia" w:ascii="宋体" w:hAnsi="宋体" w:cs="宋体"/>
          <w:sz w:val="24"/>
          <w:szCs w:val="24"/>
        </w:rPr>
        <w:t>（一）服务方案（格式自定）</w:t>
      </w:r>
    </w:p>
    <w:p>
      <w:pPr>
        <w:snapToGrid w:val="0"/>
        <w:spacing w:line="360" w:lineRule="auto"/>
        <w:jc w:val="center"/>
        <w:rPr>
          <w:rFonts w:ascii="宋体" w:hAnsi="宋体" w:cs="宋体"/>
          <w:sz w:val="24"/>
          <w:szCs w:val="24"/>
        </w:rPr>
      </w:pPr>
      <w:r>
        <w:rPr>
          <w:rFonts w:hint="eastAsia" w:ascii="宋体" w:hAnsi="宋体" w:cs="宋体"/>
          <w:sz w:val="24"/>
        </w:rPr>
        <w:t>施工组织设计</w:t>
      </w:r>
    </w:p>
    <w:p>
      <w:pPr>
        <w:tabs>
          <w:tab w:val="left" w:pos="6300"/>
        </w:tabs>
        <w:snapToGrid w:val="0"/>
        <w:spacing w:line="500" w:lineRule="exact"/>
        <w:ind w:firstLine="570"/>
        <w:rPr>
          <w:rFonts w:ascii="宋体" w:hAnsi="宋体" w:cs="宋体"/>
          <w:szCs w:val="24"/>
        </w:rPr>
      </w:pPr>
      <w:r>
        <w:rPr>
          <w:rFonts w:hint="eastAsia" w:ascii="宋体" w:hAnsi="宋体" w:cs="宋体"/>
          <w:szCs w:val="24"/>
        </w:rPr>
        <w:br w:type="page"/>
      </w:r>
      <w:r>
        <w:rPr>
          <w:rFonts w:hint="eastAsia" w:ascii="宋体" w:hAnsi="宋体" w:cs="宋体"/>
          <w:sz w:val="24"/>
          <w:szCs w:val="24"/>
        </w:rPr>
        <w:t>（二）服务响应偏离表</w:t>
      </w:r>
    </w:p>
    <w:p>
      <w:pPr>
        <w:spacing w:line="400" w:lineRule="exact"/>
        <w:ind w:firstLine="480" w:firstLineChars="200"/>
        <w:rPr>
          <w:rFonts w:ascii="宋体" w:hAnsi="宋体" w:cs="宋体"/>
          <w:sz w:val="24"/>
          <w:szCs w:val="24"/>
        </w:rPr>
      </w:pPr>
      <w:r>
        <w:rPr>
          <w:rFonts w:hint="eastAsia" w:ascii="宋体" w:hAnsi="宋体" w:cs="宋体"/>
          <w:sz w:val="24"/>
          <w:szCs w:val="24"/>
        </w:rPr>
        <w:t>磋商项目名称：</w:t>
      </w:r>
    </w:p>
    <w:tbl>
      <w:tblPr>
        <w:tblStyle w:val="13"/>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序号</w:t>
            </w: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采购需求</w:t>
            </w: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响应情况</w:t>
            </w: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提醒：请注明具体内容以及响应文件中具体内容的位置（页码）</w:t>
            </w: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bl>
    <w:p>
      <w:pPr>
        <w:spacing w:line="500" w:lineRule="exact"/>
        <w:ind w:firstLine="600" w:firstLineChars="250"/>
        <w:rPr>
          <w:rFonts w:ascii="宋体" w:hAnsi="宋体" w:cs="宋体"/>
          <w:sz w:val="24"/>
          <w:szCs w:val="28"/>
        </w:rPr>
      </w:pPr>
      <w:r>
        <w:rPr>
          <w:rFonts w:hint="eastAsia" w:ascii="宋体" w:hAnsi="宋体" w:cs="宋体"/>
          <w:sz w:val="24"/>
          <w:szCs w:val="28"/>
        </w:rPr>
        <w:t>供应商：                                      法定代表人授权代表：</w:t>
      </w:r>
    </w:p>
    <w:p>
      <w:pPr>
        <w:spacing w:line="500" w:lineRule="exact"/>
        <w:rPr>
          <w:rFonts w:ascii="宋体" w:hAnsi="宋体" w:cs="宋体"/>
          <w:sz w:val="24"/>
          <w:szCs w:val="28"/>
        </w:rPr>
      </w:pPr>
    </w:p>
    <w:p>
      <w:pPr>
        <w:spacing w:line="500" w:lineRule="exact"/>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.本表即为对本项目“第二篇  项目服务需求”中所列服务要求进行比较和响应；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4.可附相关支撑材料。（格式自定）</w:t>
      </w:r>
    </w:p>
    <w:p>
      <w:pPr>
        <w:pStyle w:val="2"/>
        <w:spacing w:line="360" w:lineRule="auto"/>
        <w:rPr>
          <w:rFonts w:ascii="宋体" w:hAnsi="宋体" w:cs="宋体"/>
          <w:sz w:val="24"/>
          <w:szCs w:val="24"/>
        </w:rPr>
      </w:pPr>
      <w:r>
        <w:rPr>
          <w:rFonts w:hint="eastAsia" w:ascii="宋体" w:hAnsi="宋体" w:cs="宋体"/>
          <w:b w:val="0"/>
        </w:rPr>
        <w:br w:type="page"/>
      </w:r>
      <w:bookmarkStart w:id="92" w:name="_Toc342913421"/>
      <w:bookmarkStart w:id="93" w:name="_Toc313888362"/>
      <w:bookmarkStart w:id="94" w:name="_Toc54279014"/>
      <w:bookmarkStart w:id="95" w:name="_Toc313008358"/>
      <w:r>
        <w:rPr>
          <w:rFonts w:hint="eastAsia" w:ascii="宋体" w:hAnsi="宋体" w:cs="宋体"/>
          <w:sz w:val="24"/>
          <w:szCs w:val="24"/>
        </w:rPr>
        <w:t>三、商务部分</w:t>
      </w:r>
      <w:bookmarkEnd w:id="92"/>
      <w:bookmarkEnd w:id="93"/>
      <w:bookmarkEnd w:id="94"/>
      <w:bookmarkEnd w:id="95"/>
    </w:p>
    <w:p>
      <w:pPr>
        <w:snapToGrid w:val="0"/>
        <w:spacing w:line="360" w:lineRule="auto"/>
        <w:ind w:firstLine="480" w:firstLineChars="200"/>
        <w:rPr>
          <w:rFonts w:ascii="宋体" w:hAnsi="宋体" w:cs="宋体"/>
          <w:b/>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（一）商务要求响应情况：服务期及地点、报价要求、质量保证及售后服务等（格式自定）</w:t>
      </w:r>
    </w:p>
    <w:p>
      <w:pPr>
        <w:spacing w:line="360" w:lineRule="auto"/>
        <w:ind w:firstLine="480" w:firstLineChars="200"/>
        <w:rPr>
          <w:rFonts w:ascii="宋体" w:hAnsi="宋体" w:cs="宋体"/>
          <w:sz w:val="24"/>
          <w:szCs w:val="24"/>
        </w:rPr>
      </w:pPr>
      <w:bookmarkStart w:id="96" w:name="_Toc283382459"/>
      <w:r>
        <w:rPr>
          <w:rFonts w:hint="eastAsia" w:ascii="宋体" w:hAnsi="宋体" w:cs="宋体"/>
          <w:sz w:val="24"/>
          <w:szCs w:val="24"/>
        </w:rPr>
        <w:t>（二）商务响应偏离表</w:t>
      </w:r>
    </w:p>
    <w:p>
      <w:pPr>
        <w:snapToGrid w:val="0"/>
        <w:spacing w:line="360" w:lineRule="auto"/>
        <w:jc w:val="center"/>
        <w:rPr>
          <w:rFonts w:ascii="宋体" w:hAnsi="宋体" w:cs="宋体"/>
          <w:b/>
          <w:szCs w:val="28"/>
        </w:rPr>
      </w:pPr>
      <w:r>
        <w:rPr>
          <w:rFonts w:hint="eastAsia" w:ascii="宋体" w:hAnsi="宋体" w:cs="宋体"/>
          <w:b/>
          <w:szCs w:val="28"/>
        </w:rPr>
        <w:t>商务响应偏离表</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 xml:space="preserve">磋商项目名称： </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snapToGrid w:val="0"/>
              <w:spacing w:line="360" w:lineRule="auto"/>
              <w:ind w:firstLine="465"/>
              <w:rPr>
                <w:rFonts w:ascii="宋体" w:hAnsi="宋体" w:cs="宋体"/>
                <w:sz w:val="21"/>
                <w:szCs w:val="24"/>
              </w:rPr>
            </w:pPr>
            <w:r>
              <w:rPr>
                <w:rFonts w:hint="eastAsia" w:ascii="宋体" w:hAnsi="宋体" w:cs="宋体"/>
                <w:sz w:val="21"/>
                <w:szCs w:val="24"/>
              </w:rPr>
              <w:t>序号</w:t>
            </w: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磋商项目商务需求</w:t>
            </w: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响应情况</w:t>
            </w: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Theme="minorEastAsia" w:hAnsiTheme="minorEastAsia" w:eastAsiaTheme="minorEastAsia" w:cstheme="minorEastAsia"/>
                <w:sz w:val="21"/>
                <w:szCs w:val="21"/>
              </w:rPr>
              <w:t>提醒：请注明技术参数或具体内容以及响应文件中技术参数或具体内容的位置（页码）</w:t>
            </w: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bl>
    <w:p>
      <w:pPr>
        <w:snapToGrid w:val="0"/>
        <w:spacing w:line="360" w:lineRule="auto"/>
        <w:ind w:firstLine="465"/>
        <w:rPr>
          <w:rFonts w:ascii="宋体" w:hAnsi="宋体" w:cs="宋体"/>
          <w:sz w:val="24"/>
          <w:szCs w:val="24"/>
        </w:rPr>
      </w:pPr>
    </w:p>
    <w:p>
      <w:pPr>
        <w:spacing w:line="500" w:lineRule="exact"/>
        <w:ind w:firstLine="600" w:firstLineChars="250"/>
        <w:rPr>
          <w:rFonts w:ascii="宋体" w:hAnsi="宋体" w:cs="宋体"/>
          <w:sz w:val="24"/>
          <w:szCs w:val="28"/>
        </w:rPr>
      </w:pPr>
      <w:r>
        <w:rPr>
          <w:rFonts w:hint="eastAsia" w:ascii="宋体" w:hAnsi="宋体" w:cs="宋体"/>
          <w:sz w:val="24"/>
          <w:szCs w:val="28"/>
        </w:rPr>
        <w:t>供应商：                                      法定代表人授权代表：</w:t>
      </w:r>
    </w:p>
    <w:p>
      <w:pPr>
        <w:spacing w:line="500" w:lineRule="exact"/>
        <w:rPr>
          <w:rFonts w:ascii="宋体" w:hAnsi="宋体" w:cs="宋体"/>
          <w:sz w:val="24"/>
          <w:szCs w:val="28"/>
        </w:rPr>
      </w:pPr>
    </w:p>
    <w:p>
      <w:pPr>
        <w:spacing w:line="500" w:lineRule="exact"/>
        <w:ind w:firstLine="360" w:firstLineChars="15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spacing w:line="360" w:lineRule="auto"/>
        <w:rPr>
          <w:rFonts w:ascii="宋体" w:hAnsi="宋体" w:cs="宋体"/>
          <w:sz w:val="24"/>
          <w:szCs w:val="24"/>
        </w:rPr>
      </w:pPr>
      <w:r>
        <w:rPr>
          <w:rFonts w:hint="eastAsia" w:ascii="宋体" w:hAnsi="宋体" w:cs="宋体"/>
        </w:rPr>
        <w:br w:type="page"/>
      </w:r>
      <w:r>
        <w:rPr>
          <w:rFonts w:hint="eastAsia" w:ascii="宋体" w:hAnsi="宋体" w:cs="宋体"/>
          <w:sz w:val="24"/>
          <w:szCs w:val="24"/>
        </w:rPr>
        <w:t>（三）业绩证明</w:t>
      </w:r>
    </w:p>
    <w:p>
      <w:pPr>
        <w:pStyle w:val="2"/>
        <w:spacing w:line="360" w:lineRule="auto"/>
        <w:rPr>
          <w:rFonts w:ascii="宋体" w:hAnsi="宋体" w:cs="宋体"/>
        </w:rPr>
      </w:pPr>
      <w:r>
        <w:rPr>
          <w:rFonts w:hint="eastAsia" w:ascii="宋体" w:hAnsi="宋体" w:cs="宋体"/>
          <w:sz w:val="24"/>
          <w:szCs w:val="24"/>
        </w:rPr>
        <w:br w:type="page"/>
      </w:r>
      <w:bookmarkEnd w:id="96"/>
      <w:bookmarkStart w:id="97" w:name="_Toc54279015"/>
      <w:bookmarkStart w:id="98" w:name="_Toc342913422"/>
      <w:bookmarkStart w:id="99" w:name="_Toc313888363"/>
      <w:bookmarkStart w:id="100" w:name="_Toc313008359"/>
      <w:r>
        <w:rPr>
          <w:rFonts w:hint="eastAsia" w:ascii="宋体" w:hAnsi="宋体" w:cs="宋体"/>
          <w:sz w:val="24"/>
          <w:szCs w:val="24"/>
        </w:rPr>
        <w:t>四、资格条件及其他</w:t>
      </w:r>
      <w:bookmarkEnd w:id="97"/>
      <w:bookmarkEnd w:id="98"/>
      <w:bookmarkEnd w:id="99"/>
      <w:bookmarkEnd w:id="100"/>
    </w:p>
    <w:p>
      <w:pPr>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widowControl/>
        <w:spacing w:line="312" w:lineRule="auto"/>
        <w:ind w:firstLine="560" w:firstLineChars="200"/>
        <w:jc w:val="left"/>
        <w:rPr>
          <w:rFonts w:ascii="宋体" w:hAnsi="宋体" w:cs="宋体"/>
          <w:color w:val="auto"/>
          <w:sz w:val="24"/>
          <w:szCs w:val="24"/>
          <w:highlight w:val="none"/>
        </w:rPr>
      </w:pPr>
      <w:r>
        <w:rPr>
          <w:rFonts w:hint="eastAsia" w:ascii="宋体" w:hAnsi="宋体" w:cs="宋体"/>
        </w:rPr>
        <w:br w:type="page"/>
      </w:r>
      <w:r>
        <w:rPr>
          <w:rFonts w:hint="eastAsia" w:ascii="宋体" w:hAnsi="宋体" w:cs="宋体"/>
          <w:sz w:val="24"/>
          <w:szCs w:val="24"/>
        </w:rPr>
        <w:t>（二）</w:t>
      </w:r>
      <w:r>
        <w:rPr>
          <w:rFonts w:hint="eastAsia" w:ascii="宋体" w:hAnsi="宋体" w:cs="宋体"/>
          <w:color w:val="auto"/>
          <w:sz w:val="24"/>
          <w:szCs w:val="24"/>
          <w:highlight w:val="none"/>
        </w:rPr>
        <w:t>法定代表人身份证明书（格式）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（法定代表人姓名）在（供应商名称）任（职务名称）职务，是（供应商名称）的法定代表人。</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（供应商公章）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法定代表人电话：XXXXXXX      电子邮箱：XXXXXX@XXXXX（若授权他人办理并签署响应文件的可不填写）</w:t>
      </w:r>
    </w:p>
    <w:p>
      <w:pPr>
        <w:tabs>
          <w:tab w:val="left" w:pos="6300"/>
        </w:tabs>
        <w:snapToGrid w:val="0"/>
        <w:spacing w:line="312" w:lineRule="auto"/>
        <w:ind w:firstLine="570"/>
        <w:rPr>
          <w:rFonts w:ascii="宋体" w:hAnsi="宋体" w:cs="宋体"/>
          <w:color w:val="auto"/>
          <w:sz w:val="24"/>
          <w:highlight w:val="none"/>
        </w:rPr>
      </w:pPr>
      <w:r>
        <w:rPr>
          <w:rFonts w:hint="eastAsia" w:ascii="宋体" w:hAnsi="宋体" w:cs="宋体"/>
          <w:color w:val="auto"/>
          <w:sz w:val="24"/>
          <w:szCs w:val="24"/>
          <w:highlight w:val="none"/>
        </w:rPr>
        <w:t>（附：法定代表人身份证正反面复印件）</w:t>
      </w: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（四）法定代表人授权委托书（格式）</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致：（采购人名称）：</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被授权人：                                 供应商法定代表人：</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（签字或盖章）                                （签字或盖章）</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（附：被授权人身份证正反面复印件）</w:t>
      </w: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6002" w:firstLineChars="2501"/>
        <w:rPr>
          <w:rFonts w:ascii="宋体" w:hAnsi="宋体" w:cs="宋体"/>
          <w:color w:val="auto"/>
          <w:sz w:val="24"/>
          <w:szCs w:val="24"/>
          <w:highlight w:val="none"/>
        </w:rPr>
      </w:pPr>
      <w:r>
        <w:rPr>
          <w:rFonts w:hint="eastAsia" w:ascii="宋体" w:hAnsi="宋体" w:cs="宋体"/>
          <w:color w:val="auto"/>
          <w:sz w:val="24"/>
          <w:szCs w:val="24"/>
          <w:highlight w:val="none"/>
        </w:rPr>
        <w:t>（供应商公章）</w:t>
      </w:r>
    </w:p>
    <w:p>
      <w:pPr>
        <w:tabs>
          <w:tab w:val="left" w:pos="6300"/>
        </w:tabs>
        <w:snapToGrid w:val="0"/>
        <w:spacing w:line="312" w:lineRule="auto"/>
        <w:ind w:firstLine="6242" w:firstLineChars="2601"/>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tabs>
          <w:tab w:val="left" w:pos="6300"/>
        </w:tabs>
        <w:snapToGrid w:val="0"/>
        <w:spacing w:line="312" w:lineRule="auto"/>
        <w:ind w:right="480" w:firstLine="570"/>
        <w:jc w:val="right"/>
        <w:rPr>
          <w:rFonts w:ascii="宋体" w:hAnsi="宋体" w:cs="宋体"/>
          <w:color w:val="auto"/>
          <w:sz w:val="24"/>
          <w:szCs w:val="24"/>
          <w:highlight w:val="none"/>
        </w:rPr>
      </w:pPr>
      <w:r>
        <w:rPr>
          <w:rFonts w:hint="eastAsia" w:ascii="宋体" w:hAnsi="宋体" w:cs="宋体"/>
          <w:color w:val="auto"/>
          <w:sz w:val="24"/>
          <w:szCs w:val="24"/>
          <w:highlight w:val="none"/>
        </w:rPr>
        <w:t>被授权人电话：XXXXXXX     电子邮箱：XXXXXX@XXXXX（若法定代表</w:t>
      </w:r>
    </w:p>
    <w:p>
      <w:pPr>
        <w:tabs>
          <w:tab w:val="left" w:pos="6300"/>
        </w:tabs>
        <w:snapToGrid w:val="0"/>
        <w:spacing w:line="312" w:lineRule="auto"/>
        <w:ind w:right="480"/>
        <w:rPr>
          <w:rFonts w:ascii="宋体" w:hAnsi="宋体" w:cs="宋体"/>
          <w:color w:val="auto"/>
          <w:sz w:val="24"/>
          <w:szCs w:val="24"/>
          <w:highlight w:val="none"/>
        </w:rPr>
      </w:pPr>
      <w:r>
        <w:rPr>
          <w:rFonts w:hint="eastAsia" w:ascii="宋体" w:hAnsi="宋体" w:cs="宋体"/>
          <w:color w:val="auto"/>
          <w:sz w:val="24"/>
          <w:szCs w:val="24"/>
          <w:highlight w:val="none"/>
        </w:rPr>
        <w:t>人办理并签署响应文件的可不填写）</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注：</w:t>
      </w:r>
    </w:p>
    <w:p>
      <w:pPr>
        <w:tabs>
          <w:tab w:val="left" w:pos="6300"/>
        </w:tabs>
        <w:snapToGrid w:val="0"/>
        <w:spacing w:line="312" w:lineRule="auto"/>
        <w:ind w:right="480"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1.若为法定代表人办理并签署响应文件的，不提供此文件。</w:t>
      </w:r>
    </w:p>
    <w:p>
      <w:pPr>
        <w:tabs>
          <w:tab w:val="left" w:pos="6300"/>
        </w:tabs>
        <w:snapToGrid w:val="0"/>
        <w:spacing w:line="312" w:lineRule="auto"/>
        <w:ind w:right="480" w:firstLine="570"/>
        <w:jc w:val="both"/>
        <w:rPr>
          <w:rFonts w:ascii="宋体" w:hAnsi="宋体" w:cs="宋体"/>
          <w:color w:val="auto"/>
          <w:sz w:val="24"/>
          <w:highlight w:val="none"/>
        </w:rPr>
      </w:pPr>
      <w:r>
        <w:rPr>
          <w:rFonts w:hint="eastAsia" w:ascii="宋体" w:hAnsi="宋体" w:cs="宋体"/>
          <w:color w:val="auto"/>
          <w:sz w:val="24"/>
          <w:szCs w:val="24"/>
          <w:highlight w:val="none"/>
        </w:rPr>
        <w:t>2.若为联合体参与的，法定代表人授权委托书由联合体主办方（主体）出具。</w:t>
      </w:r>
    </w:p>
    <w:p>
      <w:pPr>
        <w:tabs>
          <w:tab w:val="left" w:pos="6300"/>
        </w:tabs>
        <w:snapToGrid w:val="0"/>
        <w:spacing w:line="312" w:lineRule="auto"/>
        <w:ind w:right="480" w:firstLine="570"/>
        <w:jc w:val="right"/>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4"/>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（四）基本资格条件承诺函</w:t>
      </w:r>
    </w:p>
    <w:p>
      <w:pPr>
        <w:tabs>
          <w:tab w:val="left" w:pos="6300"/>
        </w:tabs>
        <w:snapToGrid w:val="0"/>
        <w:spacing w:line="500" w:lineRule="exact"/>
        <w:ind w:firstLine="643" w:firstLineChars="20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基本资格条件承诺函</w:t>
      </w:r>
    </w:p>
    <w:p>
      <w:pPr>
        <w:tabs>
          <w:tab w:val="left" w:pos="6300"/>
        </w:tabs>
        <w:snapToGrid w:val="0"/>
        <w:spacing w:line="530" w:lineRule="exact"/>
        <w:rPr>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（采购人名称）：</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（供应商名称）郑重承诺：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1.我方具有良好的商业信誉和健全的财务会计制度，具有履行合同所必需的设备和专业技术能力，具</w:t>
      </w:r>
      <w:r>
        <w:rPr>
          <w:rFonts w:hint="eastAsia" w:asciiTheme="minorEastAsia" w:hAnsiTheme="minorEastAsia" w:eastAsiaTheme="minorEastAsia" w:cstheme="minorEastAsia"/>
          <w:color w:val="auto"/>
          <w:sz w:val="24"/>
          <w:szCs w:val="24"/>
          <w:highlight w:val="none"/>
          <w:lang w:val="zh-CN"/>
        </w:rPr>
        <w:t>有依法缴纳税收和社会保障金的良好记录</w:t>
      </w:r>
      <w:r>
        <w:rPr>
          <w:rFonts w:hint="eastAsia" w:asciiTheme="minorEastAsia" w:hAnsiTheme="minorEastAsia" w:eastAsiaTheme="minorEastAsia" w:cstheme="minorEastAsia"/>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我方对以上承诺负全部法律责任。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特此承诺。</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4"/>
          <w:highlight w:val="none"/>
        </w:rPr>
      </w:pPr>
    </w:p>
    <w:p>
      <w:pPr>
        <w:tabs>
          <w:tab w:val="left" w:pos="6300"/>
        </w:tabs>
        <w:snapToGrid w:val="0"/>
        <w:spacing w:line="500" w:lineRule="exact"/>
        <w:ind w:firstLine="480" w:firstLineChars="20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p>
    <w:p>
      <w:pPr>
        <w:tabs>
          <w:tab w:val="left" w:pos="6300"/>
        </w:tabs>
        <w:snapToGrid w:val="0"/>
        <w:spacing w:line="500" w:lineRule="exact"/>
        <w:ind w:firstLine="6720" w:firstLineChars="28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tabs>
          <w:tab w:val="left" w:pos="6300"/>
        </w:tabs>
        <w:snapToGrid w:val="0"/>
        <w:spacing w:line="312"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（五）特定资格条件证明文件</w:t>
      </w: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tabs>
          <w:tab w:val="left" w:pos="6300"/>
        </w:tabs>
        <w:snapToGrid w:val="0"/>
        <w:spacing w:line="312" w:lineRule="auto"/>
        <w:ind w:firstLine="560" w:firstLineChars="200"/>
        <w:rPr>
          <w:rFonts w:ascii="宋体" w:hAnsi="宋体" w:cs="宋体"/>
          <w:color w:val="auto"/>
          <w:highlight w:val="none"/>
        </w:rPr>
      </w:pPr>
    </w:p>
    <w:p>
      <w:pPr>
        <w:pStyle w:val="3"/>
        <w:adjustRightInd w:val="0"/>
        <w:snapToGrid w:val="0"/>
        <w:spacing w:before="0" w:after="0" w:line="400" w:lineRule="exact"/>
        <w:ind w:firstLine="643" w:firstLineChars="200"/>
        <w:rPr>
          <w:rFonts w:ascii="方正仿宋_GBK" w:hAnsi="宋体" w:eastAsia="方正仿宋_GBK"/>
          <w:color w:val="auto"/>
          <w:sz w:val="24"/>
          <w:highlight w:val="none"/>
        </w:rPr>
      </w:pPr>
      <w:r>
        <w:rPr>
          <w:rFonts w:ascii="宋体" w:hAnsi="宋体" w:cs="宋体"/>
          <w:color w:val="auto"/>
          <w:highlight w:val="none"/>
        </w:rPr>
        <w:br w:type="page"/>
      </w:r>
      <w:bookmarkStart w:id="101" w:name="_Toc106030910"/>
      <w:bookmarkStart w:id="102" w:name="_Toc76462354"/>
      <w:bookmarkStart w:id="103" w:name="_Toc14422"/>
      <w:r>
        <w:rPr>
          <w:rFonts w:hint="eastAsia" w:asciiTheme="minorEastAsia" w:hAnsiTheme="minorEastAsia" w:eastAsiaTheme="minorEastAsia" w:cstheme="minorEastAsia"/>
          <w:color w:val="auto"/>
          <w:sz w:val="24"/>
          <w:highlight w:val="none"/>
        </w:rPr>
        <w:t>五、其他资料</w:t>
      </w:r>
      <w:bookmarkEnd w:id="101"/>
      <w:bookmarkEnd w:id="102"/>
    </w:p>
    <w:p>
      <w:pPr>
        <w:tabs>
          <w:tab w:val="left" w:pos="6300"/>
        </w:tabs>
        <w:snapToGrid w:val="0"/>
        <w:spacing w:line="400" w:lineRule="exact"/>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（一）中小企业声明函、监狱企业证明文件、残疾人福利性单位声明函</w:t>
      </w:r>
    </w:p>
    <w:p>
      <w:pPr>
        <w:tabs>
          <w:tab w:val="left" w:pos="6300"/>
        </w:tabs>
        <w:snapToGrid w:val="0"/>
        <w:spacing w:line="500" w:lineRule="exact"/>
        <w:ind w:firstLine="560" w:firstLineChars="2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中小企业声明函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本公司（联合体）郑重声明，根据《政府采购促进中小企业发展管理办法》（</w:t>
      </w:r>
      <w:r>
        <w:rPr>
          <w:rFonts w:hint="eastAsia" w:asciiTheme="minorEastAsia" w:hAnsiTheme="minorEastAsia" w:eastAsiaTheme="minorEastAsia" w:cstheme="minorEastAsia"/>
          <w:color w:val="auto"/>
          <w:sz w:val="24"/>
          <w:szCs w:val="24"/>
          <w:highlight w:val="none"/>
        </w:rPr>
        <w:t>财库〔2020〕46号</w:t>
      </w:r>
      <w:r>
        <w:rPr>
          <w:rFonts w:hint="eastAsia" w:asciiTheme="minorEastAsia" w:hAnsiTheme="minorEastAsia" w:eastAsiaTheme="minorEastAsia" w:cstheme="minorEastAsia"/>
          <w:color w:val="auto"/>
          <w:sz w:val="24"/>
          <w:szCs w:val="28"/>
          <w:highlight w:val="none"/>
        </w:rPr>
        <w:t>）的规定，本公司（联合体）参加</w:t>
      </w:r>
      <w:r>
        <w:rPr>
          <w:rFonts w:hint="eastAsia" w:asciiTheme="minorEastAsia" w:hAnsiTheme="minorEastAsia" w:eastAsiaTheme="minorEastAsia" w:cstheme="minorEastAsia"/>
          <w:i/>
          <w:color w:val="auto"/>
          <w:sz w:val="24"/>
          <w:szCs w:val="28"/>
          <w:highlight w:val="none"/>
          <w:u w:val="single"/>
        </w:rPr>
        <w:t>（单位名称）</w:t>
      </w:r>
      <w:r>
        <w:rPr>
          <w:rFonts w:hint="eastAsia" w:asciiTheme="minorEastAsia" w:hAnsiTheme="minorEastAsia" w:eastAsiaTheme="minorEastAsia" w:cstheme="minorEastAsia"/>
          <w:color w:val="auto"/>
          <w:sz w:val="24"/>
          <w:szCs w:val="28"/>
          <w:highlight w:val="none"/>
        </w:rPr>
        <w:t>的</w:t>
      </w:r>
      <w:r>
        <w:rPr>
          <w:rFonts w:hint="eastAsia" w:asciiTheme="minorEastAsia" w:hAnsiTheme="minorEastAsia" w:eastAsiaTheme="minorEastAsia" w:cstheme="minorEastAsia"/>
          <w:i/>
          <w:color w:val="auto"/>
          <w:sz w:val="24"/>
          <w:szCs w:val="28"/>
          <w:highlight w:val="none"/>
          <w:u w:val="single"/>
        </w:rPr>
        <w:t>（项目名称）</w:t>
      </w:r>
      <w:r>
        <w:rPr>
          <w:rFonts w:hint="eastAsia" w:asciiTheme="minorEastAsia" w:hAnsiTheme="minorEastAsia" w:eastAsiaTheme="minorEastAsia" w:cstheme="minorEastAsia"/>
          <w:color w:val="auto"/>
          <w:sz w:val="24"/>
          <w:szCs w:val="28"/>
          <w:highlight w:val="none"/>
        </w:rPr>
        <w:t>采购活动，服务全部由符合政策要求的中小企业承接。相关企业（含联合体中的中小企业、签订分包意向协议的中小企业）的具体情况如下：</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1.</w:t>
      </w:r>
      <w:r>
        <w:rPr>
          <w:rFonts w:hint="eastAsia" w:asciiTheme="minorEastAsia" w:hAnsiTheme="minorEastAsia" w:eastAsiaTheme="minorEastAsia" w:cstheme="minorEastAsia"/>
          <w:i/>
          <w:color w:val="auto"/>
          <w:sz w:val="24"/>
          <w:szCs w:val="28"/>
          <w:highlight w:val="none"/>
          <w:u w:val="single"/>
        </w:rPr>
        <w:t>（标的名称）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2.</w:t>
      </w:r>
      <w:r>
        <w:rPr>
          <w:rFonts w:hint="eastAsia" w:asciiTheme="minorEastAsia" w:hAnsiTheme="minorEastAsia" w:eastAsiaTheme="minorEastAsia" w:cstheme="minorEastAsia"/>
          <w:i/>
          <w:color w:val="auto"/>
          <w:sz w:val="24"/>
          <w:szCs w:val="28"/>
          <w:highlight w:val="none"/>
          <w:u w:val="single"/>
        </w:rPr>
        <w:t xml:space="preserve"> （标的名称）</w:t>
      </w:r>
      <w:r>
        <w:rPr>
          <w:rFonts w:hint="eastAsia" w:asciiTheme="minorEastAsia" w:hAnsiTheme="minorEastAsia" w:eastAsiaTheme="minorEastAsia" w:cstheme="minorEastAsia"/>
          <w:color w:val="auto"/>
          <w:sz w:val="24"/>
          <w:szCs w:val="28"/>
          <w:highlight w:val="none"/>
        </w:rPr>
        <w:t>，属于</w:t>
      </w:r>
      <w:r>
        <w:rPr>
          <w:rFonts w:hint="eastAsia" w:asciiTheme="minorEastAsia" w:hAnsiTheme="minorEastAsia" w:eastAsiaTheme="minorEastAsia" w:cstheme="minorEastAsia"/>
          <w:i/>
          <w:color w:val="auto"/>
          <w:sz w:val="24"/>
          <w:szCs w:val="28"/>
          <w:highlight w:val="none"/>
          <w:u w:val="single"/>
        </w:rPr>
        <w:t>（采购文件中明确的所属行业）</w:t>
      </w:r>
      <w:r>
        <w:rPr>
          <w:rFonts w:hint="eastAsia" w:asciiTheme="minorEastAsia" w:hAnsiTheme="minorEastAsia" w:eastAsiaTheme="minorEastAsia" w:cstheme="minorEastAsia"/>
          <w:color w:val="auto"/>
          <w:sz w:val="24"/>
          <w:szCs w:val="28"/>
          <w:highlight w:val="none"/>
        </w:rPr>
        <w:t>；承接企业为</w:t>
      </w:r>
      <w:r>
        <w:rPr>
          <w:rFonts w:hint="eastAsia" w:asciiTheme="minorEastAsia" w:hAnsiTheme="minorEastAsia" w:eastAsiaTheme="minorEastAsia" w:cstheme="minorEastAsia"/>
          <w:i/>
          <w:color w:val="auto"/>
          <w:sz w:val="24"/>
          <w:szCs w:val="28"/>
          <w:highlight w:val="none"/>
          <w:u w:val="single"/>
        </w:rPr>
        <w:t>（企业名称）</w:t>
      </w:r>
      <w:r>
        <w:rPr>
          <w:rFonts w:hint="eastAsia" w:asciiTheme="minorEastAsia" w:hAnsiTheme="minorEastAsia" w:eastAsiaTheme="minorEastAsia" w:cstheme="minorEastAsia"/>
          <w:color w:val="auto"/>
          <w:sz w:val="24"/>
          <w:szCs w:val="28"/>
          <w:highlight w:val="none"/>
        </w:rPr>
        <w:t>，从业人员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人，营业收入为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万元，资产总额为</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万元，属于</w:t>
      </w:r>
      <w:r>
        <w:rPr>
          <w:rFonts w:hint="eastAsia" w:asciiTheme="minorEastAsia" w:hAnsiTheme="minorEastAsia" w:eastAsiaTheme="minorEastAsia" w:cstheme="minorEastAsia"/>
          <w:i/>
          <w:color w:val="auto"/>
          <w:sz w:val="24"/>
          <w:szCs w:val="28"/>
          <w:highlight w:val="none"/>
          <w:u w:val="single"/>
        </w:rPr>
        <w:t>（中型企业、小型企业、微型企业）</w:t>
      </w: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为本标的提供的服务人员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人，其中与本企业签订劳动合同</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人，其他人员</w:t>
      </w:r>
      <w:r>
        <w:rPr>
          <w:rFonts w:hint="eastAsia" w:asciiTheme="minorEastAsia" w:hAnsiTheme="minorEastAsia" w:eastAsiaTheme="minorEastAsia" w:cstheme="minorEastAsia"/>
          <w:color w:val="auto"/>
          <w:sz w:val="24"/>
          <w:szCs w:val="28"/>
          <w:highlight w:val="none"/>
          <w:u w:val="single"/>
        </w:rPr>
        <w:t xml:space="preserve">   </w:t>
      </w:r>
      <w:r>
        <w:rPr>
          <w:rFonts w:hint="eastAsia" w:asciiTheme="minorEastAsia" w:hAnsiTheme="minorEastAsia" w:eastAsiaTheme="minorEastAsia" w:cstheme="minorEastAsia"/>
          <w:color w:val="auto"/>
          <w:sz w:val="24"/>
          <w:szCs w:val="28"/>
          <w:highlight w:val="none"/>
        </w:rPr>
        <w:t>人。有其他人员的不符合中小企业扶持政策（适用于服务采购项目）;</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                                                    </w:t>
      </w:r>
    </w:p>
    <w:p>
      <w:pPr>
        <w:tabs>
          <w:tab w:val="left" w:pos="6300"/>
        </w:tabs>
        <w:snapToGrid w:val="0"/>
        <w:spacing w:line="500" w:lineRule="exact"/>
        <w:ind w:firstLine="6120" w:firstLineChars="2550"/>
        <w:rPr>
          <w:rFonts w:asciiTheme="minorEastAsia" w:hAnsiTheme="minorEastAsia" w:eastAsiaTheme="minorEastAsia" w:cstheme="minorEastAsia"/>
          <w:color w:val="auto"/>
          <w:sz w:val="24"/>
          <w:szCs w:val="28"/>
          <w:highlight w:val="none"/>
        </w:rPr>
      </w:pPr>
      <w:r>
        <w:rPr>
          <w:rFonts w:hint="eastAsia" w:asciiTheme="minorEastAsia" w:hAnsiTheme="minorEastAsia" w:eastAsiaTheme="minorEastAsia" w:cstheme="minorEastAsia"/>
          <w:color w:val="auto"/>
          <w:sz w:val="24"/>
          <w:szCs w:val="28"/>
          <w:highlight w:val="none"/>
        </w:rPr>
        <w:t xml:space="preserve">企业名称（盖章）： </w:t>
      </w:r>
    </w:p>
    <w:p>
      <w:pPr>
        <w:tabs>
          <w:tab w:val="left" w:pos="6300"/>
        </w:tabs>
        <w:snapToGrid w:val="0"/>
        <w:spacing w:line="500" w:lineRule="exact"/>
        <w:ind w:right="784" w:firstLine="6120" w:firstLineChars="25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8"/>
          <w:highlight w:val="none"/>
        </w:rPr>
        <w:t>日期：</w:t>
      </w:r>
    </w:p>
    <w:p>
      <w:pPr>
        <w:tabs>
          <w:tab w:val="left" w:pos="6300"/>
        </w:tabs>
        <w:snapToGrid w:val="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填写时应注意以下事项：</w:t>
      </w:r>
    </w:p>
    <w:p>
      <w:pPr>
        <w:tabs>
          <w:tab w:val="left" w:pos="6300"/>
        </w:tabs>
        <w:snapToGrid w:val="0"/>
        <w:ind w:firstLine="420" w:firstLineChars="200"/>
        <w:rPr>
          <w:rFonts w:ascii="方正仿宋_GBK" w:hAnsi="宋体" w:eastAsia="方正仿宋_GBK" w:cs="宋体"/>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1.从业人员、营业收入、资产总额填报上一年度数据，无上一年度数据的新成立企业可不填报。</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2.中小企业应当按照《中小企业划型标准规定》（工信部联企业〔2011〕300号），如实填写并提交《中小企业声明函》。</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ascii="方正仿宋_GBK" w:hAnsi="宋体" w:eastAsia="方正仿宋_GBK" w:cs="宋体"/>
          <w:b/>
          <w:color w:val="auto"/>
          <w:kern w:val="0"/>
          <w:sz w:val="21"/>
          <w:szCs w:val="21"/>
          <w:highlight w:val="none"/>
        </w:rPr>
      </w:pPr>
      <w:r>
        <w:rPr>
          <w:rFonts w:hint="eastAsia" w:ascii="方正仿宋_GBK" w:hAnsi="宋体" w:eastAsia="方正仿宋_GBK" w:cs="宋体"/>
          <w:b/>
          <w:color w:val="auto"/>
          <w:kern w:val="0"/>
          <w:sz w:val="21"/>
          <w:szCs w:val="21"/>
          <w:highlight w:val="none"/>
        </w:rPr>
        <w:t>4.本声明函“企业名称（盖章）”处为供应商盖章。</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注：各行业划型标准：</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宋体" w:eastAsia="方正仿宋_GBK"/>
          <w:color w:val="auto"/>
          <w:sz w:val="24"/>
          <w:szCs w:val="24"/>
          <w:highlight w:val="none"/>
        </w:rPr>
        <w:br w:type="page"/>
      </w:r>
      <w:r>
        <w:rPr>
          <w:rFonts w:hint="eastAsia" w:ascii="方正仿宋_GBK" w:hAnsi="宋体" w:eastAsia="方正仿宋_GBK"/>
          <w:b/>
          <w:bCs/>
          <w:color w:val="auto"/>
          <w:highlight w:val="none"/>
        </w:rPr>
        <w:t>监狱企业证明文件</w:t>
      </w:r>
    </w:p>
    <w:p>
      <w:pPr>
        <w:tabs>
          <w:tab w:val="left" w:pos="6300"/>
        </w:tabs>
        <w:snapToGrid w:val="0"/>
        <w:spacing w:line="4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方正仿宋_GBK" w:hAnsi="宋体" w:eastAsia="方正仿宋_GBK"/>
          <w:color w:val="auto"/>
          <w:highlight w:val="none"/>
        </w:rPr>
      </w:pPr>
      <w:r>
        <w:rPr>
          <w:rFonts w:ascii="方正仿宋_GBK" w:hAnsi="仿宋" w:eastAsia="方正仿宋_GBK"/>
          <w:color w:val="auto"/>
          <w:sz w:val="24"/>
          <w:highlight w:val="none"/>
        </w:rPr>
        <w:br w:type="page"/>
      </w:r>
      <w:r>
        <w:rPr>
          <w:rFonts w:hint="eastAsia" w:ascii="方正仿宋_GBK" w:hAnsi="宋体" w:eastAsia="方正仿宋_GBK"/>
          <w:b/>
          <w:bCs/>
          <w:color w:val="auto"/>
          <w:highlight w:val="none"/>
        </w:rPr>
        <w:t>残疾人福利性单位声明函</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p>
    <w:p>
      <w:pPr>
        <w:tabs>
          <w:tab w:val="left" w:pos="6300"/>
        </w:tabs>
        <w:snapToGrid w:val="0"/>
        <w:spacing w:line="50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供应商名称（盖章）：</w:t>
      </w:r>
    </w:p>
    <w:p>
      <w:pPr>
        <w:snapToGrid w:val="0"/>
        <w:spacing w:line="440" w:lineRule="exact"/>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p>
    <w:p>
      <w:pPr>
        <w:snapToGrid w:val="0"/>
        <w:spacing w:line="440" w:lineRule="exact"/>
        <w:ind w:firstLine="480" w:firstLineChars="200"/>
        <w:rPr>
          <w:rFonts w:ascii="方正仿宋_GBK" w:hAnsi="仿宋" w:eastAsia="方正仿宋_GBK"/>
          <w:color w:val="auto"/>
          <w:sz w:val="24"/>
          <w:highlight w:val="none"/>
        </w:rPr>
      </w:pPr>
      <w:r>
        <w:rPr>
          <w:rFonts w:hint="eastAsia" w:ascii="宋体" w:hAnsi="宋体" w:cs="宋体"/>
          <w:color w:val="auto"/>
          <w:sz w:val="24"/>
          <w:szCs w:val="24"/>
          <w:highlight w:val="none"/>
        </w:rPr>
        <w:t>若成交供应商为残疾人福利性单位的，将在结果公告时公告其《残疾人福利性单位声明函》。</w:t>
      </w:r>
    </w:p>
    <w:p>
      <w:pPr>
        <w:snapToGrid w:val="0"/>
        <w:spacing w:line="440" w:lineRule="exact"/>
        <w:ind w:firstLine="480" w:firstLineChars="200"/>
        <w:rPr>
          <w:rFonts w:ascii="方正仿宋_GBK" w:hAnsi="仿宋" w:eastAsia="方正仿宋_GBK"/>
          <w:color w:val="auto"/>
          <w:sz w:val="24"/>
          <w:highlight w:val="none"/>
        </w:rPr>
      </w:pPr>
    </w:p>
    <w:p>
      <w:pPr>
        <w:spacing w:line="312" w:lineRule="auto"/>
        <w:ind w:firstLine="480" w:firstLineChars="200"/>
        <w:jc w:val="left"/>
        <w:rPr>
          <w:rFonts w:ascii="宋体" w:hAnsi="宋体" w:cs="宋体"/>
          <w:color w:val="auto"/>
          <w:sz w:val="24"/>
          <w:szCs w:val="24"/>
          <w:highlight w:val="none"/>
        </w:rPr>
      </w:pPr>
      <w:r>
        <w:rPr>
          <w:rFonts w:ascii="方正仿宋_GBK" w:hAnsi="宋体" w:eastAsia="方正仿宋_GBK"/>
          <w:color w:val="auto"/>
          <w:sz w:val="24"/>
          <w:szCs w:val="24"/>
          <w:highlight w:val="none"/>
        </w:rPr>
        <w:br w:type="page"/>
      </w:r>
      <w:r>
        <w:rPr>
          <w:rFonts w:hint="eastAsia" w:ascii="宋体" w:hAnsi="宋体" w:cs="宋体"/>
          <w:color w:val="auto"/>
          <w:sz w:val="24"/>
          <w:szCs w:val="24"/>
          <w:highlight w:val="none"/>
        </w:rPr>
        <w:t>（二）联合体协议或分包意向协议（格式自定）</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（三）其他与项目有关的资料</w:t>
      </w:r>
    </w:p>
    <w:p>
      <w:pPr>
        <w:spacing w:line="312"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312" w:lineRule="auto"/>
        <w:rPr>
          <w:rFonts w:ascii="宋体" w:hAnsi="宋体" w:cs="宋体"/>
          <w:color w:val="auto"/>
          <w:sz w:val="24"/>
          <w:szCs w:val="24"/>
          <w:highlight w:val="none"/>
        </w:rPr>
      </w:pPr>
      <w:r>
        <w:rPr>
          <w:rFonts w:hint="eastAsia" w:ascii="宋体" w:hAnsi="宋体" w:cs="宋体"/>
          <w:color w:val="auto"/>
          <w:sz w:val="24"/>
          <w:szCs w:val="24"/>
          <w:highlight w:val="none"/>
        </w:rPr>
        <w:br w:type="page"/>
      </w:r>
      <w:bookmarkEnd w:id="103"/>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60" w:lineRule="auto"/>
        <w:rPr>
          <w:rFonts w:ascii="黑体" w:hAnsi="黑体" w:eastAsia="黑体" w:cs="黑体"/>
          <w:color w:val="auto"/>
          <w:sz w:val="36"/>
          <w:szCs w:val="36"/>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rFonts w:ascii="宋体" w:hAnsi="宋体" w:cs="宋体"/>
          <w:color w:val="auto"/>
          <w:sz w:val="24"/>
          <w:szCs w:val="24"/>
          <w:highlight w:val="none"/>
        </w:rPr>
      </w:pPr>
    </w:p>
    <w:p>
      <w:pPr>
        <w:spacing w:line="312" w:lineRule="auto"/>
        <w:ind w:firstLine="480" w:firstLineChars="200"/>
        <w:jc w:val="center"/>
        <w:rPr>
          <w:color w:val="auto"/>
          <w:highlight w:val="none"/>
        </w:rPr>
      </w:pPr>
      <w:r>
        <w:rPr>
          <w:rFonts w:hint="eastAsia" w:ascii="宋体" w:hAnsi="宋体" w:cs="宋体"/>
          <w:color w:val="auto"/>
          <w:sz w:val="24"/>
          <w:szCs w:val="24"/>
          <w:highlight w:val="none"/>
        </w:rPr>
        <w:t>（结束）</w:t>
      </w:r>
    </w:p>
    <w:p>
      <w:pPr>
        <w:rPr>
          <w:color w:val="auto"/>
          <w:highlight w:val="none"/>
        </w:rPr>
      </w:pPr>
    </w:p>
    <w:p/>
    <w:sectPr>
      <w:headerReference r:id="rId12"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15"/>
        <w:rFonts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- 3 -</w:t>
    </w:r>
    <w:r>
      <w:rPr>
        <w:rFonts w:ascii="宋体"/>
        <w:sz w:val="21"/>
        <w:szCs w:val="21"/>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p>
  <w:p>
    <w:pPr>
      <w:pStyle w:val="10"/>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- 53 -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ascii="方正仿宋_GBK" w:eastAsia="方正仿宋_GBK"/>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38021"/>
    <w:multiLevelType w:val="singleLevel"/>
    <w:tmpl w:val="72238021"/>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84DBD"/>
    <w:rsid w:val="09C319B4"/>
    <w:rsid w:val="19FC45E3"/>
    <w:rsid w:val="22D84378"/>
    <w:rsid w:val="245721E9"/>
    <w:rsid w:val="25076902"/>
    <w:rsid w:val="271130B5"/>
    <w:rsid w:val="277B6A53"/>
    <w:rsid w:val="2A184DBD"/>
    <w:rsid w:val="30BA5785"/>
    <w:rsid w:val="31693D0C"/>
    <w:rsid w:val="32B05E0C"/>
    <w:rsid w:val="39F96B6F"/>
    <w:rsid w:val="42D336F3"/>
    <w:rsid w:val="433A6EF8"/>
    <w:rsid w:val="4B9253F7"/>
    <w:rsid w:val="4F4C7EFB"/>
    <w:rsid w:val="52993679"/>
    <w:rsid w:val="581C7755"/>
    <w:rsid w:val="5DBB3FC2"/>
    <w:rsid w:val="601C1CDE"/>
    <w:rsid w:val="61890A63"/>
    <w:rsid w:val="6414390C"/>
    <w:rsid w:val="656A3BF7"/>
    <w:rsid w:val="66521E00"/>
    <w:rsid w:val="6D241BEF"/>
    <w:rsid w:val="76CB6BF7"/>
    <w:rsid w:val="77C51862"/>
    <w:rsid w:val="79EC1031"/>
    <w:rsid w:val="CAFBB08B"/>
    <w:rsid w:val="FFDDD9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420"/>
    </w:pPr>
    <w:rPr>
      <w:sz w:val="24"/>
    </w:rPr>
  </w:style>
  <w:style w:type="paragraph" w:styleId="5">
    <w:name w:val="Body Text"/>
    <w:basedOn w:val="1"/>
    <w:next w:val="6"/>
    <w:qFormat/>
    <w:uiPriority w:val="0"/>
    <w:pPr>
      <w:tabs>
        <w:tab w:val="left" w:pos="1843"/>
        <w:tab w:val="left" w:pos="2340"/>
      </w:tabs>
      <w:ind w:firstLine="549" w:firstLineChars="196"/>
    </w:pPr>
    <w:rPr>
      <w:sz w:val="24"/>
      <w:szCs w:val="28"/>
    </w:rPr>
  </w:style>
  <w:style w:type="paragraph" w:styleId="6">
    <w:name w:val="List Bullet 5"/>
    <w:basedOn w:val="1"/>
    <w:qFormat/>
    <w:uiPriority w:val="0"/>
    <w:pPr>
      <w:numPr>
        <w:ilvl w:val="0"/>
        <w:numId w:val="1"/>
      </w:numPr>
    </w:pPr>
  </w:style>
  <w:style w:type="paragraph" w:styleId="7">
    <w:name w:val="toc 3"/>
    <w:basedOn w:val="1"/>
    <w:next w:val="1"/>
    <w:qFormat/>
    <w:uiPriority w:val="39"/>
    <w:pPr>
      <w:ind w:left="840" w:leftChars="400"/>
    </w:pPr>
  </w:style>
  <w:style w:type="paragraph" w:styleId="8">
    <w:name w:val="Plain Text"/>
    <w:basedOn w:val="1"/>
    <w:qFormat/>
    <w:uiPriority w:val="0"/>
    <w:rPr>
      <w:rFonts w:ascii="宋体" w:hAnsi="Courier New"/>
      <w:sz w:val="21"/>
    </w:rPr>
  </w:style>
  <w:style w:type="paragraph" w:styleId="9">
    <w:name w:val="Date"/>
    <w:basedOn w:val="1"/>
    <w:next w:val="1"/>
    <w:qFormat/>
    <w:uiPriority w:val="0"/>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2"/>
    <w:basedOn w:val="1"/>
    <w:next w:val="1"/>
    <w:qFormat/>
    <w:uiPriority w:val="39"/>
    <w:pPr>
      <w:ind w:left="420" w:leftChars="200"/>
    </w:p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1"/>
    <w:basedOn w:val="1"/>
    <w:next w:val="8"/>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18</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2023-03-15T17:34:00Z</dcterms:created>
  <dc:creator>LH</dc:creator>
  <cp:lastModifiedBy>李淮</cp:lastModifiedBy>
  <dcterms:modified xsi:type="dcterms:W3CDTF">2023-05-22T07:50:24Z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woTemplateTypoMode" linkTarget="0">
    <vt:lpwstr>web</vt:lpwstr>
  </property>
  <property fmtid="{D5CDD505-2E9C-101B-9397-08002B2CF9AE}" pid="4" name="woTemplate" linkTarget="0">
    <vt:i4>1</vt:i4>
  </property>
</Properties>
</file>