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hint="eastAsia" w:ascii="宋体" w:hAnsi="宋体" w:eastAsia="宋体" w:cs="宋体"/>
          <w:sz w:val="32"/>
          <w:lang w:eastAsia="zh-CN"/>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14" w:leftChars="512" w:hanging="1080" w:hangingChars="300"/>
        <w:rPr>
          <w:rFonts w:hint="eastAsia" w:ascii="宋体" w:hAnsi="宋体" w:cs="宋体"/>
          <w:sz w:val="36"/>
          <w:szCs w:val="30"/>
        </w:rPr>
      </w:pPr>
      <w:r>
        <w:rPr>
          <w:rFonts w:hint="eastAsia" w:ascii="宋体" w:hAnsi="宋体" w:cs="宋体"/>
          <w:sz w:val="36"/>
          <w:szCs w:val="30"/>
        </w:rPr>
        <w:t>磋商项目名称：大渡口建桥园区拓展区规划路网及</w:t>
      </w:r>
    </w:p>
    <w:p>
      <w:pPr>
        <w:spacing w:line="700" w:lineRule="exact"/>
        <w:ind w:left="2514" w:leftChars="512" w:hanging="1080" w:hangingChars="300"/>
        <w:rPr>
          <w:rFonts w:hint="eastAsia" w:ascii="宋体" w:hAnsi="宋体" w:cs="宋体"/>
          <w:sz w:val="36"/>
          <w:szCs w:val="30"/>
        </w:rPr>
      </w:pPr>
      <w:r>
        <w:rPr>
          <w:rFonts w:hint="eastAsia" w:ascii="宋体" w:hAnsi="宋体" w:cs="宋体"/>
          <w:sz w:val="36"/>
          <w:szCs w:val="30"/>
        </w:rPr>
        <w:t>地块竖向优化服务项目</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ind w:left="2514" w:leftChars="512" w:hanging="1080" w:hangingChars="300"/>
        <w:rPr>
          <w:rFonts w:hint="eastAsia" w:ascii="宋体" w:hAnsi="宋体" w:eastAsia="宋体" w:cs="宋体"/>
          <w:sz w:val="36"/>
          <w:szCs w:val="30"/>
        </w:rPr>
      </w:pPr>
      <w:r>
        <w:rPr>
          <w:rFonts w:hint="eastAsia" w:ascii="宋体" w:hAnsi="宋体" w:eastAsia="宋体" w:cs="宋体"/>
          <w:sz w:val="36"/>
          <w:szCs w:val="30"/>
        </w:rPr>
        <w:t>采   购   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四</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2"/>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6"/>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6"/>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6"/>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6"/>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6"/>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6"/>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6"/>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6"/>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6"/>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6"/>
          <w:rFonts w:hint="eastAsia" w:ascii="宋体" w:hAnsi="宋体" w:cs="宋体"/>
          <w:color w:val="auto"/>
        </w:rPr>
        <w:t>一、建设地点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6"/>
          <w:rFonts w:hint="eastAsia" w:ascii="宋体" w:hAnsi="宋体" w:cs="宋体"/>
          <w:color w:val="auto"/>
        </w:rPr>
        <w:t>二、建设规模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6"/>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6"/>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6"/>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6"/>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6"/>
          <w:rFonts w:hint="eastAsia" w:ascii="宋体" w:hAnsi="宋体" w:cs="宋体"/>
          <w:color w:val="auto"/>
        </w:rPr>
        <w:t>四、付款方式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6"/>
          <w:rFonts w:hint="eastAsia" w:ascii="宋体" w:hAnsi="宋体" w:cs="宋体"/>
          <w:color w:val="auto"/>
        </w:rPr>
        <w:t>五、知识产权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6"/>
          <w:rFonts w:hint="eastAsia" w:ascii="宋体" w:hAnsi="宋体" w:cs="宋体"/>
          <w:color w:val="auto"/>
        </w:rPr>
        <w:t>六、其他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6"/>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6"/>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6"/>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6"/>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6"/>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6"/>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6"/>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6"/>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6"/>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6"/>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6"/>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6"/>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6"/>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6"/>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6"/>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6"/>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6"/>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6"/>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6"/>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6"/>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6"/>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2"/>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1641050"/>
      <w:bookmarkStart w:id="1" w:name="_Toc12789052"/>
      <w:bookmarkStart w:id="2" w:name="_Toc54278968"/>
      <w:r>
        <w:rPr>
          <w:rFonts w:hint="eastAsia" w:ascii="宋体" w:hAnsi="宋体" w:eastAsia="宋体" w:cs="宋体"/>
          <w:b w:val="0"/>
          <w:sz w:val="36"/>
          <w:szCs w:val="30"/>
        </w:rPr>
        <w:t>第一篇  采购邀请书</w:t>
      </w:r>
      <w:bookmarkEnd w:id="0"/>
      <w:bookmarkEnd w:id="1"/>
      <w:bookmarkEnd w:id="2"/>
    </w:p>
    <w:p>
      <w:pPr>
        <w:pStyle w:val="4"/>
        <w:spacing w:line="360" w:lineRule="auto"/>
        <w:rPr>
          <w:rFonts w:ascii="宋体" w:hAnsi="宋体" w:cs="宋体"/>
          <w:sz w:val="24"/>
          <w:szCs w:val="24"/>
        </w:rPr>
      </w:pPr>
      <w:bookmarkStart w:id="3" w:name="_Toc313893526"/>
      <w:bookmarkStart w:id="4" w:name="_Toc317775175"/>
      <w:bookmarkStart w:id="5" w:name="_Toc54278969"/>
      <w:r>
        <w:rPr>
          <w:rFonts w:hint="eastAsia" w:ascii="宋体" w:hAnsi="宋体" w:cs="宋体"/>
          <w:sz w:val="24"/>
          <w:szCs w:val="24"/>
        </w:rPr>
        <w:t>一、竞争性磋商内容</w:t>
      </w:r>
      <w:bookmarkEnd w:id="3"/>
      <w:bookmarkEnd w:id="4"/>
      <w:bookmarkEnd w:id="5"/>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lang w:eastAsia="zh-CN"/>
              </w:rPr>
              <w:t>最高</w:t>
            </w:r>
            <w:r>
              <w:rPr>
                <w:rFonts w:hint="eastAsia" w:ascii="宋体" w:hAnsi="宋体" w:cs="宋体"/>
                <w:b/>
                <w:bCs/>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大渡口建桥园区拓展区规划路网及地块竖向优化服务项目</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490000元</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4"/>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49000</w:t>
      </w:r>
      <w:r>
        <w:rPr>
          <w:rFonts w:hint="eastAsia" w:ascii="宋体" w:hAnsi="宋体" w:cs="宋体"/>
          <w:sz w:val="24"/>
          <w:szCs w:val="24"/>
        </w:rPr>
        <w:t>0元。</w:t>
      </w:r>
    </w:p>
    <w:p>
      <w:pPr>
        <w:pStyle w:val="4"/>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（二）特定资格条件</w:t>
      </w:r>
      <w:bookmarkStart w:id="11" w:name="_Toc54278972"/>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1、具有独立法人资格并具备建设行政主管部门颁发的工程设计市政行业（道路工程、桥梁工程）甲级及以上资质。</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（提供营业执照副本、有效的资质证书副本复印件或扫描件并加盖投标人单位公章）</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2、技术服务团队成员</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（1）项目负责人：1人，投标人拟派的项目负责人必须是投标人本单位人员，具备道路或道桥专业高级及以上技术职称。</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（提供项目负责人职称证书、2022年10月-2023年3月养老保险证明复印件或扫描件并加盖投标人单位公章）</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（2）技术负责人：1人，投标人拟派的技术负责人必须是投标人本单位人员，具备道路或道桥专业高级及以上技术职称。</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（提供项目负责人职称证书、2022年10月-2023年3月养老保险证明复印件或扫描件并加盖投标人单位公章）</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（3）道路专业负责人：1人，投标人拟派的道路专业负责人必须是投标人本单位人员，具备道路或道桥专业高级及以上技术职称。</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（提供项目负责人职称证书、2022年10月-2023年3月养老保险证明复印件或扫描件并加盖投标人单位公章）</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（4）给排水专业负责人：1人，投标人拟派的给排水专业负责人必须是投标人本单位人员，具备给排水专业高级及以上技术职称。</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（提供项目负责人职称证书、2022年10月-2023年3月养老保险证明复印件或扫描件并加盖投标人单位公章）</w:t>
      </w:r>
    </w:p>
    <w:p>
      <w:pPr>
        <w:pStyle w:val="4"/>
        <w:spacing w:line="360" w:lineRule="auto"/>
        <w:rPr>
          <w:rFonts w:ascii="宋体" w:hAnsi="宋体" w:cs="宋体"/>
          <w:sz w:val="24"/>
          <w:szCs w:val="24"/>
        </w:rPr>
      </w:pPr>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日北京时间14：00-14:30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日北京时间14:30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日北京时间14:30</w:t>
      </w:r>
    </w:p>
    <w:p>
      <w:pPr>
        <w:pStyle w:val="4"/>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4</w:t>
      </w:r>
      <w:r>
        <w:rPr>
          <w:rFonts w:hint="eastAsia" w:ascii="宋体" w:hAnsi="宋体" w:cs="宋体"/>
          <w:b/>
          <w:sz w:val="24"/>
          <w:szCs w:val="24"/>
          <w:u w:val="single"/>
        </w:rPr>
        <w:t>月</w:t>
      </w:r>
      <w:r>
        <w:rPr>
          <w:rFonts w:hint="eastAsia" w:ascii="宋体" w:hAnsi="宋体" w:cs="宋体"/>
          <w:b/>
          <w:sz w:val="24"/>
          <w:szCs w:val="24"/>
          <w:u w:val="single"/>
          <w:lang w:val="en-US" w:eastAsia="zh-CN"/>
        </w:rPr>
        <w:t>27</w:t>
      </w:r>
      <w:r>
        <w:rPr>
          <w:rFonts w:hint="eastAsia" w:ascii="宋体" w:hAnsi="宋体" w:cs="宋体"/>
          <w:b/>
          <w:sz w:val="24"/>
          <w:szCs w:val="24"/>
          <w:u w:val="single"/>
        </w:rPr>
        <w:t>日</w:t>
      </w:r>
      <w:r>
        <w:rPr>
          <w:rFonts w:hint="eastAsia" w:ascii="宋体" w:hAnsi="宋体" w:cs="宋体"/>
          <w:b/>
          <w:sz w:val="24"/>
          <w:szCs w:val="24"/>
          <w:u w:val="single"/>
          <w:lang w:val="en-US" w:eastAsia="zh-CN"/>
        </w:rPr>
        <w:t>17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98</w:t>
      </w:r>
      <w:r>
        <w:rPr>
          <w:rFonts w:hint="eastAsia" w:ascii="宋体" w:hAnsi="宋体" w:cs="宋体"/>
          <w:b/>
          <w:sz w:val="24"/>
          <w:szCs w:val="24"/>
          <w:u w:val="single"/>
        </w:rPr>
        <w:t>00元（大写：</w:t>
      </w:r>
      <w:r>
        <w:rPr>
          <w:rFonts w:hint="eastAsia" w:ascii="宋体" w:hAnsi="宋体" w:cs="宋体"/>
          <w:b/>
          <w:sz w:val="24"/>
          <w:szCs w:val="24"/>
          <w:u w:val="single"/>
          <w:lang w:eastAsia="zh-CN"/>
        </w:rPr>
        <w:t>玖</w:t>
      </w:r>
      <w:r>
        <w:rPr>
          <w:rFonts w:hint="eastAsia" w:ascii="宋体" w:hAnsi="宋体" w:cs="宋体"/>
          <w:b/>
          <w:sz w:val="24"/>
          <w:szCs w:val="24"/>
          <w:u w:val="single"/>
        </w:rPr>
        <w:t>仟</w:t>
      </w:r>
      <w:r>
        <w:rPr>
          <w:rFonts w:hint="eastAsia" w:ascii="宋体" w:hAnsi="宋体" w:cs="宋体"/>
          <w:b/>
          <w:sz w:val="24"/>
          <w:szCs w:val="24"/>
          <w:u w:val="single"/>
          <w:lang w:eastAsia="zh-CN"/>
        </w:rPr>
        <w:t>捌佰</w:t>
      </w:r>
      <w:r>
        <w:rPr>
          <w:rFonts w:hint="eastAsia" w:ascii="宋体" w:hAnsi="宋体" w:cs="宋体"/>
          <w:b/>
          <w:sz w:val="24"/>
          <w:szCs w:val="24"/>
          <w:u w:val="single"/>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spacing w:line="360" w:lineRule="auto"/>
        <w:ind w:firstLine="480" w:firstLineChars="200"/>
      </w:pPr>
      <w:r>
        <w:rPr>
          <w:rFonts w:hint="eastAsia" w:ascii="宋体" w:hAnsi="宋体" w:cs="宋体"/>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4"/>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pStyle w:val="4"/>
        <w:spacing w:line="360" w:lineRule="auto"/>
        <w:ind w:firstLine="480" w:firstLineChars="200"/>
        <w:rPr>
          <w:rFonts w:hint="eastAsia" w:ascii="宋体" w:hAnsi="宋体" w:cs="宋体"/>
          <w:b w:val="0"/>
          <w:sz w:val="24"/>
          <w:szCs w:val="24"/>
        </w:rPr>
      </w:pPr>
      <w:r>
        <w:rPr>
          <w:rFonts w:hint="eastAsia" w:ascii="宋体" w:hAnsi="宋体" w:cs="宋体"/>
          <w:b w:val="0"/>
          <w:sz w:val="24"/>
          <w:szCs w:val="24"/>
        </w:rPr>
        <w:t>账户信息：成交人应当在领取成交通知书后15个工作日内且合同签订之前（到账时间以重庆建桥实业发展有限公司开具收据为准）将履约担保汇入下列帐户：</w:t>
      </w:r>
    </w:p>
    <w:p>
      <w:pPr>
        <w:pStyle w:val="4"/>
        <w:spacing w:line="360" w:lineRule="auto"/>
        <w:ind w:firstLine="480" w:firstLineChars="200"/>
        <w:rPr>
          <w:rFonts w:hint="eastAsia" w:ascii="宋体" w:hAnsi="宋体" w:cs="宋体"/>
          <w:b w:val="0"/>
          <w:sz w:val="24"/>
          <w:szCs w:val="24"/>
        </w:rPr>
      </w:pPr>
      <w:r>
        <w:rPr>
          <w:rFonts w:hint="eastAsia" w:ascii="宋体" w:hAnsi="宋体" w:cs="宋体"/>
          <w:b w:val="0"/>
          <w:sz w:val="24"/>
          <w:szCs w:val="24"/>
        </w:rPr>
        <w:t>开户行：交通银行大渡口支行</w:t>
      </w:r>
    </w:p>
    <w:p>
      <w:pPr>
        <w:pStyle w:val="4"/>
        <w:spacing w:line="360" w:lineRule="auto"/>
        <w:ind w:firstLine="480" w:firstLineChars="200"/>
        <w:rPr>
          <w:rFonts w:hint="eastAsia" w:ascii="宋体" w:hAnsi="宋体" w:cs="宋体"/>
          <w:b w:val="0"/>
          <w:sz w:val="24"/>
          <w:szCs w:val="24"/>
        </w:rPr>
      </w:pPr>
      <w:r>
        <w:rPr>
          <w:rFonts w:hint="eastAsia" w:ascii="宋体" w:hAnsi="宋体" w:cs="宋体"/>
          <w:b w:val="0"/>
          <w:sz w:val="24"/>
          <w:szCs w:val="24"/>
        </w:rPr>
        <w:t>帐  号：500103011018001201702。</w:t>
      </w:r>
    </w:p>
    <w:p>
      <w:pPr>
        <w:pStyle w:val="4"/>
        <w:spacing w:line="360" w:lineRule="auto"/>
        <w:ind w:firstLine="480" w:firstLineChars="200"/>
        <w:rPr>
          <w:rFonts w:hint="eastAsia" w:ascii="宋体" w:hAnsi="宋体" w:cs="宋体"/>
          <w:b w:val="0"/>
          <w:sz w:val="24"/>
          <w:szCs w:val="24"/>
        </w:rPr>
      </w:pPr>
      <w:r>
        <w:rPr>
          <w:rFonts w:hint="eastAsia" w:ascii="宋体" w:hAnsi="宋体" w:cs="宋体"/>
          <w:b w:val="0"/>
          <w:sz w:val="24"/>
          <w:szCs w:val="24"/>
        </w:rPr>
        <w:t>帐户名称：重庆建桥实业发展有限公司</w:t>
      </w:r>
    </w:p>
    <w:p>
      <w:pPr>
        <w:pStyle w:val="4"/>
        <w:spacing w:line="360" w:lineRule="auto"/>
        <w:ind w:firstLine="480" w:firstLineChars="200"/>
        <w:rPr>
          <w:rFonts w:hint="eastAsia" w:ascii="宋体" w:hAnsi="宋体" w:cs="宋体"/>
          <w:b w:val="0"/>
          <w:sz w:val="24"/>
          <w:szCs w:val="24"/>
        </w:rPr>
      </w:pPr>
      <w:bookmarkStart w:id="104" w:name="_GoBack"/>
      <w:bookmarkEnd w:id="104"/>
      <w:r>
        <w:rPr>
          <w:rFonts w:hint="eastAsia" w:ascii="宋体" w:hAnsi="宋体" w:cs="宋体"/>
          <w:b w:val="0"/>
          <w:sz w:val="24"/>
          <w:szCs w:val="24"/>
        </w:rPr>
        <w:t>退还时间：项目服务期满后30日内返还履约保证金的100%（不计息）。</w:t>
      </w:r>
    </w:p>
    <w:p>
      <w:pPr>
        <w:pStyle w:val="4"/>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sz w:val="24"/>
          <w:szCs w:val="24"/>
        </w:rPr>
      </w:pPr>
      <w:bookmarkStart w:id="16" w:name="_Toc54278974"/>
      <w:bookmarkStart w:id="17" w:name="_Toc480466699"/>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采购人：</w:t>
      </w:r>
      <w:r>
        <w:rPr>
          <w:rFonts w:hint="eastAsia" w:ascii="宋体" w:hAnsi="宋体" w:cs="宋体"/>
          <w:color w:val="auto"/>
          <w:sz w:val="24"/>
          <w:szCs w:val="24"/>
          <w:highlight w:val="none"/>
          <w:lang w:eastAsia="zh-CN"/>
        </w:rPr>
        <w:t>重庆市大渡口区教育委员会</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代建业主：</w:t>
      </w:r>
      <w:r>
        <w:rPr>
          <w:rFonts w:hint="eastAsia" w:ascii="宋体" w:hAnsi="宋体" w:cs="宋体"/>
          <w:color w:val="auto"/>
          <w:sz w:val="24"/>
          <w:szCs w:val="24"/>
          <w:highlight w:val="none"/>
        </w:rPr>
        <w:t xml:space="preserve">重庆建桥实业发展有限公司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pStyle w:val="4"/>
        <w:rPr>
          <w:rFonts w:ascii="宋体" w:hAnsi="宋体" w:cs="宋体"/>
          <w:b w:val="0"/>
          <w:sz w:val="36"/>
          <w:szCs w:val="30"/>
        </w:rPr>
      </w:pPr>
    </w:p>
    <w:p>
      <w:pPr>
        <w:rPr>
          <w:rFonts w:ascii="宋体" w:hAnsi="宋体" w:cs="宋体"/>
          <w:sz w:val="36"/>
          <w:szCs w:val="30"/>
        </w:rPr>
      </w:pPr>
    </w:p>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bookmarkStart w:id="21" w:name="_Toc12789058"/>
      <w:r>
        <w:rPr>
          <w:rFonts w:hint="eastAsia" w:ascii="宋体" w:hAnsi="宋体" w:cs="宋体"/>
          <w:b/>
          <w:bCs/>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aps w:val="0"/>
          <w:kern w:val="2"/>
          <w:sz w:val="24"/>
          <w:szCs w:val="24"/>
          <w:lang w:val="en-US" w:eastAsia="zh-CN" w:bidi="ar-SA"/>
        </w:rPr>
      </w:pPr>
      <w:r>
        <w:rPr>
          <w:rFonts w:hint="eastAsia" w:ascii="宋体" w:hAnsi="宋体" w:eastAsia="宋体" w:cs="宋体"/>
          <w:caps w:val="0"/>
          <w:kern w:val="2"/>
          <w:sz w:val="24"/>
          <w:szCs w:val="24"/>
          <w:lang w:val="en-US" w:eastAsia="zh-CN" w:bidi="ar-SA"/>
        </w:rPr>
        <w:t>建桥园区C区拓展区。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rPr>
        <w:t>建设规模：</w:t>
      </w:r>
      <w:bookmarkStart w:id="22" w:name="_Toc54278984"/>
    </w:p>
    <w:p>
      <w:pPr>
        <w:ind w:firstLine="480" w:firstLineChars="200"/>
        <w:rPr>
          <w:rFonts w:hint="eastAsia" w:ascii="宋体" w:hAnsi="宋体" w:eastAsia="宋体" w:cs="宋体"/>
          <w:caps w:val="0"/>
          <w:kern w:val="2"/>
          <w:sz w:val="24"/>
          <w:szCs w:val="24"/>
          <w:lang w:val="en-US" w:eastAsia="zh-CN" w:bidi="ar-SA"/>
        </w:rPr>
      </w:pPr>
      <w:r>
        <w:rPr>
          <w:rFonts w:hint="eastAsia" w:ascii="宋体" w:hAnsi="宋体" w:eastAsia="宋体" w:cs="宋体"/>
          <w:caps w:val="0"/>
          <w:kern w:val="2"/>
          <w:sz w:val="24"/>
          <w:szCs w:val="24"/>
          <w:lang w:val="en-US" w:eastAsia="zh-CN" w:bidi="ar-SA"/>
        </w:rPr>
        <w:t>大渡口建桥工业园C区拓展区位于中心城区中部槽谷南侧，其范围主要包含西、北以快速路二纵线-小南海长江大桥为界，东至金鳌山西南侧，南至长江，规划范围总面积约6平方公里。</w:t>
      </w:r>
    </w:p>
    <w:p>
      <w:pPr>
        <w:pStyle w:val="11"/>
        <w:rPr>
          <w:rFonts w:hint="eastAsia" w:ascii="宋体" w:hAnsi="宋体" w:eastAsia="宋体" w:cs="宋体"/>
          <w:caps w:val="0"/>
          <w:kern w:val="2"/>
          <w:sz w:val="24"/>
          <w:szCs w:val="24"/>
          <w:lang w:val="en-US" w:eastAsia="zh-CN" w:bidi="ar-SA"/>
        </w:rPr>
      </w:pPr>
    </w:p>
    <w:p>
      <w:pPr>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1"/>
        <w:rPr>
          <w:rFonts w:hint="eastAsia"/>
          <w:lang w:val="en-US" w:eastAsia="zh-CN"/>
        </w:rPr>
      </w:pPr>
    </w:p>
    <w:p>
      <w:pPr>
        <w:pStyle w:val="3"/>
        <w:spacing w:line="360" w:lineRule="auto"/>
        <w:jc w:val="center"/>
        <w:rPr>
          <w:rFonts w:hint="eastAsia" w:ascii="宋体" w:hAnsi="宋体" w:eastAsia="宋体" w:cs="宋体"/>
          <w:b w:val="0"/>
          <w:kern w:val="2"/>
          <w:sz w:val="24"/>
          <w:szCs w:val="24"/>
          <w:lang w:val="en-US" w:eastAsia="zh-CN" w:bidi="ar-SA"/>
        </w:rPr>
      </w:pPr>
    </w:p>
    <w:p>
      <w:pPr>
        <w:pStyle w:val="3"/>
        <w:spacing w:line="360" w:lineRule="auto"/>
        <w:jc w:val="center"/>
        <w:rPr>
          <w:rFonts w:ascii="宋体" w:hAnsi="宋体" w:eastAsia="宋体" w:cs="宋体"/>
          <w:b w:val="0"/>
          <w:sz w:val="36"/>
          <w:szCs w:val="30"/>
        </w:rPr>
      </w:pPr>
      <w:r>
        <w:rPr>
          <w:rFonts w:hint="eastAsia" w:ascii="宋体" w:hAnsi="宋体" w:eastAsia="宋体" w:cs="宋体"/>
          <w:b w:val="0"/>
          <w:sz w:val="36"/>
          <w:szCs w:val="30"/>
        </w:rPr>
        <w:t xml:space="preserve">第三篇  </w:t>
      </w:r>
      <w:bookmarkEnd w:id="21"/>
      <w:r>
        <w:rPr>
          <w:rFonts w:hint="eastAsia" w:ascii="宋体" w:hAnsi="宋体" w:eastAsia="宋体" w:cs="宋体"/>
          <w:b w:val="0"/>
          <w:sz w:val="36"/>
          <w:szCs w:val="30"/>
        </w:rPr>
        <w:t>项目商务需求</w:t>
      </w:r>
      <w:bookmarkEnd w:id="22"/>
    </w:p>
    <w:p>
      <w:pPr>
        <w:pStyle w:val="4"/>
        <w:spacing w:line="440" w:lineRule="exact"/>
        <w:rPr>
          <w:rFonts w:ascii="宋体" w:hAnsi="宋体" w:cs="宋体"/>
          <w:sz w:val="24"/>
          <w:szCs w:val="24"/>
        </w:rPr>
      </w:pPr>
      <w:bookmarkStart w:id="23" w:name="_Toc54278985"/>
      <w:bookmarkStart w:id="24" w:name="_Toc344475120"/>
      <w:r>
        <w:rPr>
          <w:rFonts w:hint="eastAsia" w:ascii="宋体" w:hAnsi="宋体" w:cs="宋体"/>
          <w:sz w:val="24"/>
          <w:szCs w:val="24"/>
        </w:rPr>
        <w:t>一、服务期、</w:t>
      </w:r>
      <w:r>
        <w:rPr>
          <w:rFonts w:hint="eastAsia" w:ascii="宋体" w:hAnsi="宋体" w:cs="宋体"/>
          <w:sz w:val="24"/>
          <w:szCs w:val="24"/>
          <w:lang w:eastAsia="zh-CN"/>
        </w:rPr>
        <w:t>服务内容、</w:t>
      </w:r>
      <w:r>
        <w:rPr>
          <w:rFonts w:hint="eastAsia" w:ascii="宋体" w:hAnsi="宋体" w:cs="宋体"/>
          <w:sz w:val="24"/>
          <w:szCs w:val="24"/>
        </w:rPr>
        <w:t>地点及验收方式</w:t>
      </w:r>
      <w:bookmarkEnd w:id="23"/>
      <w:bookmarkEnd w:id="24"/>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（一）服务期：自合同签订之日起至项目完成控规入库之日止,暂定90日历天。</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服务内容：对规划用地内道路、场地、山体及其他控制因素进行分析，直观反映道路与城市空间的相互关系，对规划道路以及地块竖向进行优化，协调道路与地块、山体及其他控制因素的空间关系，并开展道路及地块挖填土石方量计算和土石方调配，尽量实现减少土石方开挖及外运，从而有效的降低地块开发成本。为区域的详细规划、产业规划提供技术支撑，并配合采购人完成控规入库。</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）服务地点：建桥园区C区拓展区。</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sz w:val="24"/>
          <w:szCs w:val="24"/>
        </w:rPr>
      </w:pPr>
      <w:r>
        <w:rPr>
          <w:rFonts w:hint="eastAsia" w:ascii="宋体" w:hAnsi="宋体" w:cs="宋体"/>
          <w:sz w:val="24"/>
          <w:szCs w:val="24"/>
        </w:rPr>
        <w:t>1、由采购人自行验收；</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4"/>
        <w:spacing w:line="400" w:lineRule="exact"/>
        <w:rPr>
          <w:rFonts w:ascii="宋体" w:hAnsi="宋体" w:cs="宋体"/>
          <w:sz w:val="24"/>
          <w:szCs w:val="24"/>
        </w:rPr>
      </w:pPr>
      <w:r>
        <w:rPr>
          <w:rFonts w:hint="eastAsia" w:ascii="宋体" w:hAnsi="宋体" w:cs="宋体"/>
          <w:sz w:val="24"/>
          <w:szCs w:val="24"/>
        </w:rPr>
        <w:t>二、</w:t>
      </w:r>
      <w:bookmarkEnd w:id="25"/>
      <w:r>
        <w:rPr>
          <w:rFonts w:hint="eastAsia" w:ascii="宋体" w:hAnsi="宋体" w:cs="宋体"/>
          <w:sz w:val="24"/>
          <w:szCs w:val="24"/>
        </w:rPr>
        <w:t>报价要求</w:t>
      </w:r>
      <w:bookmarkEnd w:id="26"/>
    </w:p>
    <w:p>
      <w:pPr>
        <w:spacing w:line="540" w:lineRule="exact"/>
        <w:ind w:firstLine="480" w:firstLineChars="200"/>
        <w:jc w:val="left"/>
        <w:rPr>
          <w:rFonts w:ascii="宋体" w:hAnsi="宋体" w:cs="宋体"/>
          <w:sz w:val="24"/>
          <w:szCs w:val="24"/>
        </w:rPr>
      </w:pPr>
      <w:r>
        <w:rPr>
          <w:rFonts w:hint="eastAsia" w:ascii="宋体" w:hAnsi="宋体" w:cs="宋体"/>
          <w:sz w:val="24"/>
          <w:szCs w:val="24"/>
        </w:rPr>
        <w:t>（一）最高限价</w:t>
      </w:r>
    </w:p>
    <w:p>
      <w:pPr>
        <w:spacing w:line="540" w:lineRule="exact"/>
        <w:ind w:firstLine="480" w:firstLineChars="200"/>
        <w:jc w:val="left"/>
        <w:rPr>
          <w:rFonts w:hint="eastAsia" w:ascii="宋体" w:hAnsi="宋体" w:cs="宋体"/>
          <w:sz w:val="24"/>
          <w:szCs w:val="24"/>
          <w:lang w:eastAsia="zh-CN"/>
        </w:rPr>
      </w:pPr>
      <w:bookmarkStart w:id="27" w:name="_Toc54278994"/>
      <w:r>
        <w:rPr>
          <w:rFonts w:hint="eastAsia" w:ascii="宋体" w:hAnsi="宋体" w:cs="宋体"/>
          <w:sz w:val="24"/>
          <w:szCs w:val="24"/>
        </w:rPr>
        <w:t>本项目</w:t>
      </w:r>
      <w:r>
        <w:rPr>
          <w:rFonts w:hint="eastAsia" w:ascii="宋体" w:hAnsi="宋体" w:cs="宋体"/>
          <w:sz w:val="24"/>
          <w:szCs w:val="24"/>
          <w:lang w:eastAsia="zh-CN"/>
        </w:rPr>
        <w:t>采用总价报价，该费用包含但不限于完成本项目所需的劳务费、技术服务费、加班费、办公设施费、专家评审费、通讯费、交通费和管理费、保险、税费、利润及风险费等所有一切费用。因成交竞标人自身原因造成漏报、少报皆由其自行承担责任,采购人不再补偿。</w:t>
      </w:r>
    </w:p>
    <w:p>
      <w:pPr>
        <w:spacing w:line="400" w:lineRule="exact"/>
        <w:rPr>
          <w:rFonts w:ascii="宋体" w:hAnsi="宋体" w:cs="宋体"/>
          <w:b/>
          <w:sz w:val="24"/>
          <w:szCs w:val="24"/>
        </w:rPr>
      </w:pPr>
      <w:r>
        <w:rPr>
          <w:rFonts w:hint="eastAsia" w:ascii="宋体" w:hAnsi="宋体" w:cs="宋体"/>
          <w:b/>
          <w:sz w:val="24"/>
          <w:szCs w:val="24"/>
        </w:rPr>
        <w:t>三、结算原则</w:t>
      </w:r>
    </w:p>
    <w:p>
      <w:pPr>
        <w:spacing w:line="540" w:lineRule="exact"/>
        <w:ind w:firstLine="720" w:firstLineChars="300"/>
        <w:jc w:val="left"/>
        <w:rPr>
          <w:rFonts w:hint="eastAsia" w:ascii="宋体" w:hAnsi="宋体" w:cs="宋体"/>
          <w:sz w:val="24"/>
          <w:szCs w:val="24"/>
        </w:rPr>
      </w:pPr>
      <w:r>
        <w:rPr>
          <w:rFonts w:hint="eastAsia" w:ascii="宋体" w:hAnsi="宋体" w:cs="宋体"/>
          <w:sz w:val="24"/>
          <w:szCs w:val="24"/>
        </w:rPr>
        <w:t>合同结算金额=合同暂定金额-违约金</w:t>
      </w:r>
    </w:p>
    <w:p>
      <w:pPr>
        <w:numPr>
          <w:ilvl w:val="0"/>
          <w:numId w:val="2"/>
        </w:numPr>
        <w:spacing w:line="400" w:lineRule="exact"/>
        <w:rPr>
          <w:rFonts w:hint="eastAsia" w:ascii="宋体" w:hAnsi="宋体" w:cs="宋体"/>
          <w:sz w:val="24"/>
          <w:szCs w:val="24"/>
        </w:rPr>
      </w:pPr>
      <w:r>
        <w:rPr>
          <w:rFonts w:hint="eastAsia" w:ascii="宋体" w:hAnsi="宋体" w:cs="宋体"/>
          <w:b/>
          <w:sz w:val="24"/>
          <w:szCs w:val="24"/>
        </w:rPr>
        <w:t>付款方式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合同签订之日起30日内，甲方向乙方支付合同费用的20%作为预付款。</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提交初步竖向优化研究文件之日起30日内，甲方向乙方支付至合同费用的60%。</w:t>
      </w:r>
      <w:r>
        <w:rPr>
          <w:rFonts w:hint="eastAsia" w:ascii="宋体" w:hAnsi="宋体" w:cs="宋体"/>
          <w:sz w:val="24"/>
          <w:szCs w:val="24"/>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rPr>
        <w:t>道路及地块竖向优化研究文件通过相关评审以及提交最终成果之日起30日内，甲方向乙方支付至合同费用的90%。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rPr>
        <w:t>配合采购人完成本次拓展区控规入库后30日内，甲方向乙方支付剩余全部费用。备注：违约金在每次支付进度款时扣除。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发包人向设计人支付费用前，设计人应向发包人提供合法的符合合同约定金额的增值税</w:t>
      </w:r>
      <w:r>
        <w:rPr>
          <w:rFonts w:hint="eastAsia" w:ascii="宋体" w:hAnsi="宋体" w:cs="宋体"/>
          <w:sz w:val="24"/>
          <w:szCs w:val="24"/>
          <w:lang w:eastAsia="zh-CN"/>
        </w:rPr>
        <w:t>专用</w:t>
      </w:r>
      <w:r>
        <w:rPr>
          <w:rFonts w:hint="eastAsia" w:ascii="宋体" w:hAnsi="宋体" w:cs="宋体"/>
          <w:sz w:val="24"/>
          <w:szCs w:val="24"/>
        </w:rPr>
        <w:t>发票，否则发包人有权拒绝支付，由此造成的损失设计人自行承担。</w:t>
      </w:r>
    </w:p>
    <w:p>
      <w:pPr>
        <w:spacing w:line="540" w:lineRule="exact"/>
        <w:jc w:val="left"/>
        <w:rPr>
          <w:rFonts w:ascii="宋体" w:hAnsi="宋体" w:cs="宋体"/>
          <w:b/>
          <w:sz w:val="24"/>
          <w:szCs w:val="24"/>
        </w:rPr>
      </w:pPr>
      <w:r>
        <w:rPr>
          <w:rFonts w:hint="eastAsia" w:ascii="宋体" w:hAnsi="宋体" w:cs="宋体"/>
          <w:b/>
          <w:sz w:val="24"/>
          <w:szCs w:val="24"/>
        </w:rPr>
        <w:t>五、知识产权</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（二）涉及软件开发等服务类项目知识产权的，知识产权归采购人所有。</w:t>
      </w:r>
    </w:p>
    <w:p>
      <w:pPr>
        <w:spacing w:line="540" w:lineRule="exact"/>
        <w:jc w:val="left"/>
        <w:rPr>
          <w:rFonts w:ascii="宋体" w:hAnsi="宋体" w:cs="宋体"/>
          <w:b/>
          <w:sz w:val="24"/>
          <w:szCs w:val="24"/>
        </w:rPr>
      </w:pPr>
      <w:r>
        <w:rPr>
          <w:rFonts w:hint="eastAsia" w:ascii="宋体" w:hAnsi="宋体" w:cs="宋体"/>
          <w:b/>
          <w:sz w:val="24"/>
          <w:szCs w:val="24"/>
        </w:rPr>
        <w:t>六、其他</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（二）因</w:t>
      </w:r>
      <w:r>
        <w:rPr>
          <w:rFonts w:hint="eastAsia" w:ascii="宋体" w:hAnsi="宋体" w:cs="宋体"/>
          <w:sz w:val="24"/>
          <w:szCs w:val="24"/>
          <w:lang w:eastAsia="zh-CN"/>
        </w:rPr>
        <w:t>中标人</w:t>
      </w:r>
      <w:r>
        <w:rPr>
          <w:rFonts w:hint="eastAsia" w:ascii="宋体" w:hAnsi="宋体" w:cs="宋体"/>
          <w:sz w:val="24"/>
          <w:szCs w:val="24"/>
        </w:rPr>
        <w:t>原因，所提供的成果不符合规范要求和有关规定，</w:t>
      </w:r>
      <w:r>
        <w:rPr>
          <w:rFonts w:hint="eastAsia" w:ascii="宋体" w:hAnsi="宋体" w:cs="宋体"/>
          <w:sz w:val="24"/>
          <w:szCs w:val="24"/>
          <w:lang w:eastAsia="zh-CN"/>
        </w:rPr>
        <w:t>中标人</w:t>
      </w:r>
      <w:r>
        <w:rPr>
          <w:rFonts w:hint="eastAsia" w:ascii="宋体" w:hAnsi="宋体" w:cs="宋体"/>
          <w:sz w:val="24"/>
          <w:szCs w:val="24"/>
        </w:rPr>
        <w:t>承担相应损失。</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中标</w:t>
      </w:r>
      <w:r>
        <w:rPr>
          <w:rFonts w:hint="eastAsia" w:ascii="宋体" w:hAnsi="宋体" w:cs="宋体"/>
          <w:sz w:val="24"/>
          <w:szCs w:val="24"/>
          <w:lang w:eastAsia="zh-CN"/>
        </w:rPr>
        <w:t>人</w:t>
      </w:r>
      <w:r>
        <w:rPr>
          <w:rFonts w:hint="eastAsia" w:ascii="宋体" w:hAnsi="宋体" w:cs="宋体"/>
          <w:sz w:val="24"/>
          <w:szCs w:val="24"/>
        </w:rPr>
        <w:t>如未按合同约定工期完工的（除不可抗力或经采购人同意），对中标</w:t>
      </w:r>
      <w:r>
        <w:rPr>
          <w:rFonts w:hint="eastAsia" w:ascii="宋体" w:hAnsi="宋体" w:cs="宋体"/>
          <w:sz w:val="24"/>
          <w:szCs w:val="24"/>
          <w:lang w:eastAsia="zh-CN"/>
        </w:rPr>
        <w:t>人</w:t>
      </w:r>
      <w:r>
        <w:rPr>
          <w:rFonts w:hint="eastAsia" w:ascii="宋体" w:hAnsi="宋体" w:cs="宋体"/>
          <w:sz w:val="24"/>
          <w:szCs w:val="24"/>
        </w:rPr>
        <w:t>处以万分之五/天的罚款。</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（四）</w:t>
      </w:r>
      <w:r>
        <w:rPr>
          <w:rFonts w:hint="eastAsia" w:ascii="宋体" w:hAnsi="宋体" w:cs="宋体"/>
          <w:sz w:val="24"/>
          <w:szCs w:val="24"/>
        </w:rPr>
        <w:t>中标人须按照投标文件承诺的技术服务人员实施工作，若确因离职、退休、生病等原因需变更技术人员的，须经</w:t>
      </w:r>
      <w:r>
        <w:rPr>
          <w:rFonts w:hint="eastAsia" w:ascii="宋体" w:hAnsi="宋体" w:cs="宋体"/>
          <w:sz w:val="24"/>
          <w:szCs w:val="24"/>
          <w:lang w:eastAsia="zh-CN"/>
        </w:rPr>
        <w:t>采购</w:t>
      </w:r>
      <w:r>
        <w:rPr>
          <w:rFonts w:hint="eastAsia" w:ascii="宋体" w:hAnsi="宋体" w:cs="宋体"/>
          <w:sz w:val="24"/>
          <w:szCs w:val="24"/>
        </w:rPr>
        <w:t>人审核同意后方能变更人员；拟变更人员的职称、执业资格、业绩等资质均不得低于招标文件要求（在商务部分有加分得利的需同时满足），且调整人员的比例不得超过投标文件承诺的人员数量的50%。</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（五）</w:t>
      </w:r>
      <w:r>
        <w:rPr>
          <w:rFonts w:hint="eastAsia" w:ascii="宋体" w:hAnsi="宋体" w:cs="宋体"/>
          <w:sz w:val="24"/>
          <w:szCs w:val="24"/>
        </w:rPr>
        <w:t>经</w:t>
      </w:r>
      <w:r>
        <w:rPr>
          <w:rFonts w:hint="eastAsia" w:ascii="宋体" w:hAnsi="宋体" w:cs="宋体"/>
          <w:sz w:val="24"/>
          <w:szCs w:val="24"/>
          <w:lang w:eastAsia="zh-CN"/>
        </w:rPr>
        <w:t>采购</w:t>
      </w:r>
      <w:r>
        <w:rPr>
          <w:rFonts w:hint="eastAsia" w:ascii="宋体" w:hAnsi="宋体" w:cs="宋体"/>
          <w:sz w:val="24"/>
          <w:szCs w:val="24"/>
        </w:rPr>
        <w:t>人同意人员变更后，在60日历天内（自项目</w:t>
      </w:r>
      <w:r>
        <w:rPr>
          <w:rFonts w:hint="eastAsia" w:ascii="宋体" w:hAnsi="宋体" w:cs="宋体"/>
          <w:sz w:val="24"/>
          <w:szCs w:val="24"/>
          <w:lang w:eastAsia="zh-CN"/>
        </w:rPr>
        <w:t>开始</w:t>
      </w:r>
      <w:r>
        <w:rPr>
          <w:rFonts w:hint="eastAsia" w:ascii="宋体" w:hAnsi="宋体" w:cs="宋体"/>
          <w:sz w:val="24"/>
          <w:szCs w:val="24"/>
        </w:rPr>
        <w:t>起算）的人员变更，</w:t>
      </w:r>
      <w:r>
        <w:rPr>
          <w:rFonts w:hint="eastAsia" w:ascii="宋体" w:hAnsi="宋体" w:cs="宋体"/>
          <w:sz w:val="24"/>
          <w:szCs w:val="24"/>
          <w:lang w:eastAsia="zh-CN"/>
        </w:rPr>
        <w:t>采购</w:t>
      </w:r>
      <w:r>
        <w:rPr>
          <w:rFonts w:hint="eastAsia" w:ascii="宋体" w:hAnsi="宋体" w:cs="宋体"/>
          <w:sz w:val="24"/>
          <w:szCs w:val="24"/>
        </w:rPr>
        <w:t>人按项目负责人10000元/人次、技术负责人8000元/人次、专业负责人5000元/人次的标准进行处罚，在变更后第一次付款时扣除；在60日历天外（自项目</w:t>
      </w:r>
      <w:r>
        <w:rPr>
          <w:rFonts w:hint="eastAsia" w:ascii="宋体" w:hAnsi="宋体" w:cs="宋体"/>
          <w:sz w:val="24"/>
          <w:szCs w:val="24"/>
          <w:lang w:eastAsia="zh-CN"/>
        </w:rPr>
        <w:t>开始</w:t>
      </w:r>
      <w:r>
        <w:rPr>
          <w:rFonts w:hint="eastAsia" w:ascii="宋体" w:hAnsi="宋体" w:cs="宋体"/>
          <w:sz w:val="24"/>
          <w:szCs w:val="24"/>
        </w:rPr>
        <w:t>起算）的人员变更不予处罚。</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（六）</w:t>
      </w:r>
      <w:r>
        <w:rPr>
          <w:rFonts w:hint="eastAsia" w:ascii="宋体" w:hAnsi="宋体" w:cs="宋体"/>
          <w:sz w:val="24"/>
          <w:szCs w:val="24"/>
        </w:rPr>
        <w:t>分包：本</w:t>
      </w:r>
      <w:r>
        <w:rPr>
          <w:rFonts w:hint="eastAsia" w:ascii="宋体" w:hAnsi="宋体" w:cs="宋体"/>
          <w:sz w:val="24"/>
          <w:szCs w:val="24"/>
          <w:lang w:eastAsia="zh-CN"/>
        </w:rPr>
        <w:t>项目</w:t>
      </w:r>
      <w:r>
        <w:rPr>
          <w:rFonts w:hint="eastAsia" w:ascii="宋体" w:hAnsi="宋体" w:cs="宋体"/>
          <w:sz w:val="24"/>
          <w:szCs w:val="24"/>
        </w:rPr>
        <w:t>不允许分包，供应商须书面承诺（格式自拟），本</w:t>
      </w:r>
      <w:r>
        <w:rPr>
          <w:rFonts w:hint="eastAsia" w:ascii="宋体" w:hAnsi="宋体" w:cs="宋体"/>
          <w:sz w:val="24"/>
          <w:szCs w:val="24"/>
          <w:lang w:eastAsia="zh-CN"/>
        </w:rPr>
        <w:t>项目</w:t>
      </w:r>
      <w:r>
        <w:rPr>
          <w:rFonts w:hint="eastAsia" w:ascii="宋体" w:hAnsi="宋体" w:cs="宋体"/>
          <w:sz w:val="24"/>
          <w:szCs w:val="24"/>
        </w:rPr>
        <w:t>不分包，并将该承诺装入响应文件中，否则按废标处理。</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（七）</w:t>
      </w:r>
      <w:r>
        <w:rPr>
          <w:rFonts w:hint="eastAsia" w:ascii="宋体" w:hAnsi="宋体" w:cs="宋体"/>
          <w:sz w:val="24"/>
          <w:szCs w:val="24"/>
        </w:rPr>
        <w:t>其他未尽事宜由供需双方在采购合同中详细约定。</w:t>
      </w:r>
    </w:p>
    <w:p>
      <w:pPr>
        <w:spacing w:line="540" w:lineRule="exact"/>
        <w:ind w:firstLine="480" w:firstLineChars="200"/>
        <w:jc w:val="left"/>
        <w:rPr>
          <w:rFonts w:hint="eastAsia"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27"/>
    </w:p>
    <w:p>
      <w:pPr>
        <w:pStyle w:val="4"/>
        <w:spacing w:line="440" w:lineRule="exact"/>
        <w:rPr>
          <w:rFonts w:ascii="宋体" w:hAnsi="宋体" w:cs="宋体"/>
          <w:sz w:val="24"/>
          <w:szCs w:val="24"/>
        </w:rPr>
      </w:pPr>
      <w:bookmarkStart w:id="28" w:name="_Toc54278995"/>
      <w:r>
        <w:rPr>
          <w:rFonts w:hint="eastAsia" w:ascii="宋体" w:hAnsi="宋体" w:cs="宋体"/>
          <w:sz w:val="24"/>
          <w:szCs w:val="24"/>
        </w:rPr>
        <w:t>一、磋商程序及方法</w:t>
      </w:r>
      <w:bookmarkEnd w:id="28"/>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8"/>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kern w:val="0"/>
          <w:sz w:val="24"/>
          <w:szCs w:val="24"/>
          <w:lang w:val="en-US" w:eastAsia="zh-CN"/>
        </w:rPr>
        <w:t>0</w:t>
      </w:r>
      <w:r>
        <w:rPr>
          <w:rFonts w:hint="eastAsia" w:ascii="宋体" w:hAnsi="宋体" w:cs="宋体"/>
          <w:kern w:val="0"/>
          <w:sz w:val="24"/>
          <w:szCs w:val="24"/>
        </w:rPr>
        <w:t>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sz w:val="24"/>
          <w:szCs w:val="24"/>
        </w:rPr>
      </w:pPr>
      <w:bookmarkStart w:id="29" w:name="_Toc54278996"/>
      <w:r>
        <w:rPr>
          <w:rFonts w:hint="eastAsia" w:ascii="宋体" w:hAnsi="宋体" w:cs="宋体"/>
          <w:sz w:val="24"/>
          <w:szCs w:val="24"/>
        </w:rPr>
        <w:t>二、</w:t>
      </w:r>
      <w:bookmarkStart w:id="30" w:name="_Toc102227320"/>
      <w:bookmarkStart w:id="31" w:name="_Toc342913394"/>
      <w:r>
        <w:rPr>
          <w:rFonts w:hint="eastAsia" w:ascii="宋体" w:hAnsi="宋体" w:cs="宋体"/>
          <w:sz w:val="24"/>
          <w:szCs w:val="24"/>
        </w:rPr>
        <w:t>评审标准</w:t>
      </w:r>
      <w:bookmarkEnd w:id="29"/>
      <w:r>
        <w:rPr>
          <w:rFonts w:hint="eastAsia" w:ascii="宋体" w:hAnsi="宋体" w:cs="宋体"/>
          <w:sz w:val="24"/>
          <w:szCs w:val="24"/>
        </w:rPr>
        <w:t>注</w:t>
      </w:r>
    </w:p>
    <w:tbl>
      <w:tblPr>
        <w:tblStyle w:val="13"/>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sz w:val="24"/>
              </w:rPr>
            </w:pPr>
            <w:r>
              <w:rPr>
                <w:rFonts w:hint="eastAsia" w:ascii="宋体" w:hAnsi="宋体" w:cs="宋体"/>
                <w:b/>
                <w:sz w:val="24"/>
              </w:rPr>
              <w:t>序号</w:t>
            </w:r>
          </w:p>
        </w:tc>
        <w:tc>
          <w:tcPr>
            <w:tcW w:w="1284" w:type="dxa"/>
            <w:noWrap/>
            <w:vAlign w:val="center"/>
          </w:tcPr>
          <w:p>
            <w:pPr>
              <w:spacing w:line="400" w:lineRule="exact"/>
              <w:jc w:val="center"/>
              <w:rPr>
                <w:rFonts w:ascii="宋体" w:hAnsi="宋体" w:cs="宋体"/>
                <w:b/>
                <w:sz w:val="24"/>
              </w:rPr>
            </w:pPr>
            <w:r>
              <w:rPr>
                <w:rFonts w:hint="eastAsia" w:ascii="宋体" w:hAnsi="宋体" w:cs="宋体"/>
                <w:b/>
                <w:sz w:val="24"/>
              </w:rPr>
              <w:t>评分权重</w:t>
            </w:r>
          </w:p>
        </w:tc>
        <w:tc>
          <w:tcPr>
            <w:tcW w:w="1761" w:type="dxa"/>
            <w:noWrap/>
            <w:vAlign w:val="center"/>
          </w:tcPr>
          <w:p>
            <w:pPr>
              <w:spacing w:line="400" w:lineRule="exact"/>
              <w:jc w:val="center"/>
              <w:rPr>
                <w:rFonts w:ascii="宋体" w:hAnsi="宋体" w:cs="宋体"/>
                <w:b/>
                <w:sz w:val="24"/>
              </w:rPr>
            </w:pPr>
            <w:r>
              <w:rPr>
                <w:rFonts w:hint="eastAsia" w:ascii="宋体" w:hAnsi="宋体" w:cs="宋体"/>
                <w:b/>
                <w:sz w:val="24"/>
              </w:rPr>
              <w:t>分值</w:t>
            </w:r>
          </w:p>
        </w:tc>
        <w:tc>
          <w:tcPr>
            <w:tcW w:w="3640" w:type="dxa"/>
            <w:noWrap/>
            <w:vAlign w:val="center"/>
          </w:tcPr>
          <w:p>
            <w:pPr>
              <w:spacing w:line="400" w:lineRule="exact"/>
              <w:jc w:val="center"/>
              <w:rPr>
                <w:rFonts w:ascii="宋体" w:hAnsi="宋体" w:cs="宋体"/>
                <w:b/>
                <w:sz w:val="24"/>
              </w:rPr>
            </w:pPr>
            <w:r>
              <w:rPr>
                <w:rFonts w:hint="eastAsia" w:ascii="宋体" w:hAnsi="宋体" w:cs="宋体"/>
                <w:b/>
                <w:sz w:val="24"/>
              </w:rPr>
              <w:t>评分标准</w:t>
            </w:r>
          </w:p>
        </w:tc>
        <w:tc>
          <w:tcPr>
            <w:tcW w:w="2446" w:type="dxa"/>
            <w:noWrap/>
            <w:vAlign w:val="center"/>
          </w:tcPr>
          <w:p>
            <w:pPr>
              <w:spacing w:line="400" w:lineRule="exact"/>
              <w:jc w:val="center"/>
              <w:rPr>
                <w:rFonts w:ascii="宋体" w:hAnsi="宋体" w:cs="宋体"/>
                <w:b/>
                <w:sz w:val="24"/>
              </w:rPr>
            </w:pPr>
            <w:r>
              <w:rPr>
                <w:rFonts w:hint="eastAsia" w:ascii="宋体" w:hAnsi="宋体" w:cs="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284" w:type="dxa"/>
            <w:noWrap/>
            <w:vAlign w:val="center"/>
          </w:tcPr>
          <w:p>
            <w:pPr>
              <w:spacing w:line="400" w:lineRule="exact"/>
              <w:rPr>
                <w:rFonts w:ascii="宋体" w:hAnsi="宋体" w:cs="宋体"/>
                <w:sz w:val="24"/>
                <w:szCs w:val="24"/>
              </w:rPr>
            </w:pPr>
            <w:r>
              <w:rPr>
                <w:rFonts w:hint="eastAsia" w:ascii="宋体" w:hAnsi="宋体" w:cs="宋体"/>
                <w:sz w:val="24"/>
                <w:szCs w:val="24"/>
                <w:lang w:eastAsia="zh-CN"/>
              </w:rPr>
              <w:t>经济部分</w:t>
            </w: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0%）</w:t>
            </w:r>
          </w:p>
        </w:tc>
        <w:tc>
          <w:tcPr>
            <w:tcW w:w="1761" w:type="dxa"/>
            <w:noWrap/>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w:t>
            </w:r>
          </w:p>
          <w:p>
            <w:pPr>
              <w:spacing w:line="4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0分</w:t>
            </w:r>
            <w:r>
              <w:rPr>
                <w:rFonts w:hint="eastAsia" w:ascii="宋体" w:hAnsi="宋体" w:cs="宋体"/>
                <w:sz w:val="24"/>
                <w:szCs w:val="24"/>
                <w:lang w:eastAsia="zh-CN"/>
              </w:rPr>
              <w:t>）</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有效的投标报价中的最低价为评标基准价，按照下列公式计算每个投标人的投标价格得分。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ascii="宋体" w:hAnsi="宋体" w:cs="宋体"/>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sz w:val="24"/>
                <w:szCs w:val="24"/>
              </w:rPr>
            </w:pPr>
            <w:r>
              <w:rPr>
                <w:rFonts w:hint="eastAsia" w:ascii="宋体" w:hAnsi="宋体" w:cs="宋体"/>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1284" w:type="dxa"/>
            <w:vMerge w:val="restart"/>
            <w:noWrap/>
            <w:vAlign w:val="center"/>
          </w:tcPr>
          <w:p>
            <w:pPr>
              <w:spacing w:line="400" w:lineRule="exact"/>
              <w:rPr>
                <w:rFonts w:ascii="宋体" w:hAnsi="宋体" w:cs="宋体"/>
                <w:sz w:val="24"/>
                <w:szCs w:val="24"/>
              </w:rPr>
            </w:pPr>
            <w:r>
              <w:rPr>
                <w:rFonts w:hint="eastAsia" w:ascii="宋体" w:hAnsi="宋体" w:cs="宋体"/>
                <w:sz w:val="24"/>
                <w:szCs w:val="24"/>
              </w:rPr>
              <w:t>商务部分（</w:t>
            </w:r>
            <w:r>
              <w:rPr>
                <w:rFonts w:hint="eastAsia" w:ascii="宋体" w:hAnsi="宋体" w:cs="宋体"/>
                <w:sz w:val="24"/>
                <w:szCs w:val="24"/>
                <w:lang w:val="en-US" w:eastAsia="zh-CN"/>
              </w:rPr>
              <w:t>3</w:t>
            </w:r>
            <w:r>
              <w:rPr>
                <w:rFonts w:hint="eastAsia" w:ascii="宋体" w:hAnsi="宋体" w:cs="宋体"/>
                <w:sz w:val="24"/>
                <w:szCs w:val="24"/>
              </w:rPr>
              <w:t>0%）</w:t>
            </w:r>
          </w:p>
        </w:tc>
        <w:tc>
          <w:tcPr>
            <w:tcW w:w="1761" w:type="dxa"/>
            <w:noWrap/>
            <w:vAlign w:val="center"/>
          </w:tcPr>
          <w:p>
            <w:pPr>
              <w:spacing w:line="400" w:lineRule="exact"/>
              <w:jc w:val="center"/>
              <w:rPr>
                <w:rFonts w:ascii="宋体" w:hAnsi="宋体" w:cs="宋体"/>
                <w:sz w:val="24"/>
                <w:szCs w:val="24"/>
              </w:rPr>
            </w:pPr>
            <w:r>
              <w:rPr>
                <w:rFonts w:hint="eastAsia" w:ascii="宋体" w:hAnsi="宋体" w:cs="宋体"/>
                <w:sz w:val="24"/>
                <w:szCs w:val="24"/>
              </w:rPr>
              <w:t>企业</w:t>
            </w:r>
            <w:r>
              <w:rPr>
                <w:rFonts w:ascii="宋体" w:hAnsi="宋体" w:cs="宋体"/>
                <w:sz w:val="24"/>
                <w:szCs w:val="24"/>
              </w:rPr>
              <w:t>业绩</w:t>
            </w:r>
          </w:p>
          <w:p>
            <w:pPr>
              <w:spacing w:line="400" w:lineRule="exact"/>
              <w:jc w:val="center"/>
              <w:rPr>
                <w:sz w:val="24"/>
                <w:szCs w:val="24"/>
              </w:rPr>
            </w:pPr>
            <w:r>
              <w:rPr>
                <w:rFonts w:hint="eastAsia"/>
                <w:sz w:val="24"/>
                <w:szCs w:val="22"/>
              </w:rPr>
              <w:t>（2</w:t>
            </w:r>
            <w:r>
              <w:rPr>
                <w:rFonts w:hint="eastAsia"/>
                <w:sz w:val="24"/>
                <w:szCs w:val="22"/>
                <w:lang w:val="en-US" w:eastAsia="zh-CN"/>
              </w:rPr>
              <w:t>0</w:t>
            </w:r>
            <w:r>
              <w:rPr>
                <w:rFonts w:hint="eastAsia"/>
                <w:sz w:val="24"/>
                <w:szCs w:val="22"/>
              </w:rPr>
              <w:t>分）</w:t>
            </w:r>
          </w:p>
        </w:tc>
        <w:tc>
          <w:tcPr>
            <w:tcW w:w="3640"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color w:val="000000"/>
                <w:sz w:val="24"/>
                <w:szCs w:val="24"/>
              </w:rPr>
              <w:t>2019年1月1日至今，承担过1个总面积不小于</w:t>
            </w:r>
            <w:r>
              <w:rPr>
                <w:rFonts w:ascii="宋体" w:hAnsi="宋体" w:cs="宋体"/>
                <w:color w:val="000000"/>
                <w:sz w:val="24"/>
                <w:szCs w:val="24"/>
              </w:rPr>
              <w:t>4</w:t>
            </w:r>
            <w:r>
              <w:rPr>
                <w:rFonts w:hint="eastAsia" w:ascii="宋体" w:hAnsi="宋体" w:cs="宋体"/>
                <w:color w:val="000000"/>
                <w:sz w:val="24"/>
                <w:szCs w:val="24"/>
              </w:rPr>
              <w:t>平方公里的市政路网竖向高程研究项目或包含市政路网控制高程优化内容的研究项目得5分，本项最多20分。</w:t>
            </w:r>
          </w:p>
        </w:tc>
        <w:tc>
          <w:tcPr>
            <w:tcW w:w="2446" w:type="dxa"/>
            <w:noWrap/>
            <w:vAlign w:val="center"/>
          </w:tcPr>
          <w:p>
            <w:pPr>
              <w:rPr>
                <w:sz w:val="24"/>
                <w:szCs w:val="24"/>
              </w:rPr>
            </w:pPr>
            <w:r>
              <w:rPr>
                <w:rFonts w:hint="eastAsia" w:ascii="宋体" w:hAnsi="宋体" w:cs="宋体"/>
                <w:sz w:val="24"/>
                <w:szCs w:val="24"/>
              </w:rPr>
              <w:t>须提供业绩合同，并加盖竞选人单位公章。若提供的上述资料无法体现项目面积的，还须提供该业绩的业主证明复印件，并加盖竞选人单位公章。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sz w:val="24"/>
                <w:szCs w:val="24"/>
              </w:rPr>
            </w:pPr>
          </w:p>
        </w:tc>
        <w:tc>
          <w:tcPr>
            <w:tcW w:w="1284" w:type="dxa"/>
            <w:vMerge w:val="continue"/>
            <w:noWrap/>
            <w:vAlign w:val="center"/>
          </w:tcPr>
          <w:p>
            <w:pPr>
              <w:spacing w:line="400" w:lineRule="exact"/>
              <w:rPr>
                <w:rFonts w:ascii="宋体" w:hAnsi="宋体" w:cs="宋体"/>
                <w:sz w:val="24"/>
                <w:szCs w:val="24"/>
              </w:rPr>
            </w:pPr>
          </w:p>
        </w:tc>
        <w:tc>
          <w:tcPr>
            <w:tcW w:w="1761" w:type="dxa"/>
            <w:noWrap/>
            <w:vAlign w:val="center"/>
          </w:tcPr>
          <w:p>
            <w:pPr>
              <w:spacing w:line="400" w:lineRule="exact"/>
              <w:jc w:val="center"/>
              <w:rPr>
                <w:rFonts w:ascii="宋体" w:hAnsi="宋体" w:cs="宋体"/>
                <w:sz w:val="24"/>
                <w:szCs w:val="24"/>
              </w:rPr>
            </w:pPr>
            <w:r>
              <w:rPr>
                <w:rFonts w:hint="eastAsia" w:ascii="宋体" w:hAnsi="宋体" w:cs="宋体"/>
                <w:sz w:val="24"/>
                <w:szCs w:val="24"/>
              </w:rPr>
              <w:t>企业</w:t>
            </w:r>
            <w:r>
              <w:rPr>
                <w:rFonts w:ascii="宋体" w:hAnsi="宋体" w:cs="宋体"/>
                <w:sz w:val="24"/>
                <w:szCs w:val="24"/>
              </w:rPr>
              <w:t>实力</w:t>
            </w:r>
          </w:p>
          <w:p>
            <w:pPr>
              <w:spacing w:line="400" w:lineRule="exact"/>
              <w:jc w:val="center"/>
              <w:rPr>
                <w:color w:val="auto"/>
              </w:rPr>
            </w:pPr>
            <w:r>
              <w:rPr>
                <w:rFonts w:hint="eastAsia"/>
                <w:color w:val="auto"/>
                <w:sz w:val="24"/>
                <w:szCs w:val="22"/>
              </w:rPr>
              <w:t>（</w:t>
            </w:r>
            <w:r>
              <w:rPr>
                <w:rFonts w:hint="eastAsia"/>
                <w:color w:val="auto"/>
                <w:sz w:val="24"/>
                <w:szCs w:val="22"/>
                <w:lang w:val="en-US" w:eastAsia="zh-CN"/>
              </w:rPr>
              <w:t>10</w:t>
            </w:r>
            <w:r>
              <w:rPr>
                <w:rFonts w:hint="eastAsia"/>
                <w:color w:val="auto"/>
                <w:sz w:val="24"/>
                <w:szCs w:val="22"/>
              </w:rPr>
              <w:t>分）</w:t>
            </w:r>
          </w:p>
        </w:tc>
        <w:tc>
          <w:tcPr>
            <w:tcW w:w="3640" w:type="dxa"/>
            <w:noWrap/>
            <w:vAlign w:val="center"/>
          </w:tcPr>
          <w:p>
            <w:pPr>
              <w:pStyle w:val="5"/>
              <w:ind w:firstLine="0"/>
              <w:rPr>
                <w:color w:val="auto"/>
              </w:rPr>
            </w:pPr>
            <w:r>
              <w:rPr>
                <w:rFonts w:hint="eastAsia" w:ascii="宋体" w:hAnsi="宋体" w:eastAsia="宋体" w:cs="宋体"/>
                <w:color w:val="000000"/>
                <w:kern w:val="2"/>
                <w:sz w:val="24"/>
                <w:szCs w:val="24"/>
                <w:lang w:val="en-US" w:eastAsia="zh-CN" w:bidi="ar-SA"/>
              </w:rPr>
              <w:t>2019年1月1日至今（授权公告日为准），获得过1个有关道路建模或者道路BIM设计的发明专利得5分，本项最多10分。</w:t>
            </w:r>
          </w:p>
        </w:tc>
        <w:tc>
          <w:tcPr>
            <w:tcW w:w="2446" w:type="dxa"/>
            <w:noWrap/>
            <w:vAlign w:val="center"/>
          </w:tcPr>
          <w:p>
            <w:pPr>
              <w:spacing w:line="400" w:lineRule="exact"/>
              <w:rPr>
                <w:color w:val="auto"/>
                <w:sz w:val="24"/>
                <w:szCs w:val="24"/>
              </w:rPr>
            </w:pPr>
            <w:r>
              <w:rPr>
                <w:rFonts w:hint="eastAsia" w:ascii="宋体" w:hAnsi="宋体" w:cs="宋体"/>
                <w:sz w:val="24"/>
                <w:szCs w:val="24"/>
              </w:rPr>
              <w:t>须提供专利证书，并加盖竞选人单位公章。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noWrap/>
            <w:vAlign w:val="center"/>
          </w:tcPr>
          <w:p>
            <w:pPr>
              <w:spacing w:line="400" w:lineRule="exact"/>
              <w:rPr>
                <w:rFonts w:ascii="宋体" w:hAnsi="宋体" w:cs="宋体"/>
                <w:sz w:val="24"/>
                <w:szCs w:val="24"/>
              </w:rPr>
            </w:pPr>
            <w:r>
              <w:rPr>
                <w:rFonts w:hint="eastAsia" w:ascii="宋体" w:hAnsi="宋体" w:cs="宋体"/>
                <w:sz w:val="24"/>
                <w:szCs w:val="24"/>
              </w:rPr>
              <w:t>3</w:t>
            </w:r>
          </w:p>
        </w:tc>
        <w:tc>
          <w:tcPr>
            <w:tcW w:w="1284" w:type="dxa"/>
            <w:noWrap/>
            <w:vAlign w:val="center"/>
          </w:tcPr>
          <w:p>
            <w:pPr>
              <w:spacing w:line="400" w:lineRule="exact"/>
              <w:rPr>
                <w:rFonts w:ascii="宋体" w:hAnsi="宋体" w:cs="宋体"/>
                <w:sz w:val="24"/>
                <w:szCs w:val="24"/>
              </w:rPr>
            </w:pPr>
            <w:r>
              <w:rPr>
                <w:rFonts w:hint="eastAsia" w:ascii="宋体" w:hAnsi="宋体" w:cs="宋体"/>
                <w:sz w:val="24"/>
                <w:szCs w:val="24"/>
              </w:rPr>
              <w:t>技术部分</w:t>
            </w:r>
          </w:p>
          <w:p>
            <w:pPr>
              <w:spacing w:line="400" w:lineRule="exac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60</w:t>
            </w:r>
            <w:r>
              <w:rPr>
                <w:rFonts w:hint="eastAsia" w:ascii="宋体" w:hAnsi="宋体" w:cs="宋体"/>
                <w:sz w:val="24"/>
                <w:szCs w:val="24"/>
              </w:rPr>
              <w:t>%）</w:t>
            </w:r>
          </w:p>
        </w:tc>
        <w:tc>
          <w:tcPr>
            <w:tcW w:w="1761" w:type="dxa"/>
            <w:noWrap/>
            <w:vAlign w:val="center"/>
          </w:tcPr>
          <w:p>
            <w:pPr>
              <w:pStyle w:val="5"/>
              <w:ind w:firstLine="0"/>
              <w:jc w:val="center"/>
              <w:rPr>
                <w:rFonts w:hint="eastAsia" w:hAnsi="宋体"/>
                <w:sz w:val="24"/>
                <w:szCs w:val="24"/>
              </w:rPr>
            </w:pPr>
            <w:r>
              <w:rPr>
                <w:rFonts w:hint="eastAsia" w:hAnsi="宋体"/>
                <w:sz w:val="24"/>
                <w:szCs w:val="24"/>
              </w:rPr>
              <w:t>服务方案</w:t>
            </w:r>
          </w:p>
          <w:p>
            <w:pPr>
              <w:pStyle w:val="5"/>
              <w:ind w:firstLine="0"/>
              <w:jc w:val="center"/>
            </w:pPr>
            <w:r>
              <w:rPr>
                <w:rFonts w:hint="eastAsia" w:hAnsi="宋体"/>
                <w:sz w:val="24"/>
                <w:szCs w:val="24"/>
              </w:rPr>
              <w:t>（</w:t>
            </w:r>
            <w:r>
              <w:rPr>
                <w:rFonts w:hint="eastAsia" w:hAnsi="宋体"/>
                <w:sz w:val="24"/>
                <w:szCs w:val="24"/>
                <w:lang w:val="en-US" w:eastAsia="zh-CN"/>
              </w:rPr>
              <w:t>60</w:t>
            </w:r>
            <w:r>
              <w:rPr>
                <w:rFonts w:hint="eastAsia" w:hAnsi="宋体"/>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1、对项目理解透彻，功能定位准确，目标合理，优得10-12分，良得8-10分，一般得6-8分，差得2-6分。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2、方案技术路线技术先进、科学，优得10-12分，良得8-10分，一般得6-8分，差得2-6分。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3、服务质量保障、进度控制情况，优得10-12分，良得8-10分，一般得6-8分，差得2-6分。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4、保密措施完善情况，优得10-12分，良得8-10分，一般得6-8分，差得2-6分。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宋体" w:hAnsi="宋体" w:eastAsia="宋体" w:cs="宋体"/>
                <w:color w:val="000000"/>
                <w:kern w:val="2"/>
                <w:sz w:val="24"/>
                <w:szCs w:val="24"/>
                <w:lang w:val="en-US" w:eastAsia="zh-CN" w:bidi="ar-SA"/>
              </w:rPr>
              <w:t>5、后续服务承诺情况，优得10-12分，良得8-10分，一般得6-8分，差得2-6分。</w:t>
            </w:r>
          </w:p>
        </w:tc>
      </w:tr>
    </w:tbl>
    <w:p>
      <w:pPr>
        <w:snapToGrid w:val="0"/>
        <w:spacing w:line="360" w:lineRule="auto"/>
        <w:ind w:firstLine="465"/>
        <w:rPr>
          <w:rFonts w:hint="eastAsia" w:ascii="宋体" w:hAnsi="宋体" w:cs="宋体"/>
          <w:sz w:val="24"/>
          <w:szCs w:val="24"/>
        </w:rPr>
      </w:pPr>
      <w:bookmarkStart w:id="32" w:name="_Toc54278997"/>
      <w:r>
        <w:rPr>
          <w:rFonts w:hint="eastAsia" w:ascii="宋体" w:hAnsi="宋体" w:cs="宋体"/>
          <w:sz w:val="24"/>
          <w:szCs w:val="24"/>
        </w:rPr>
        <w:t>所有计算及得分保留至小数点后两位，小数点后第三位四舍五入。</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关于小微企业报价扣除比例说明</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1.对小微型企业给予6%的扣除，以扣除后的报价参与评审。</w:t>
      </w:r>
    </w:p>
    <w:p>
      <w:pPr>
        <w:snapToGrid w:val="0"/>
        <w:spacing w:line="360" w:lineRule="auto"/>
        <w:ind w:firstLine="465"/>
        <w:rPr>
          <w:rFonts w:hint="eastAsia" w:ascii="宋体" w:hAnsi="宋体" w:cs="宋体"/>
          <w:sz w:val="24"/>
          <w:szCs w:val="24"/>
          <w:lang w:val="en-US" w:eastAsia="zh-CN"/>
        </w:rPr>
      </w:pPr>
      <w:r>
        <w:rPr>
          <w:rFonts w:hint="eastAsia" w:ascii="宋体" w:hAnsi="宋体" w:cs="宋体"/>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sz w:val="24"/>
          <w:szCs w:val="24"/>
        </w:rPr>
      </w:pPr>
      <w:r>
        <w:rPr>
          <w:rFonts w:hint="eastAsia" w:ascii="宋体" w:hAnsi="宋体" w:cs="宋体"/>
          <w:b/>
          <w:bCs/>
          <w:sz w:val="24"/>
          <w:szCs w:val="24"/>
        </w:rPr>
        <w:t>三、无效响应</w:t>
      </w:r>
      <w:bookmarkEnd w:id="32"/>
    </w:p>
    <w:p>
      <w:pPr>
        <w:snapToGrid w:val="0"/>
        <w:spacing w:line="360" w:lineRule="auto"/>
        <w:ind w:firstLine="465"/>
        <w:rPr>
          <w:rFonts w:ascii="宋体" w:hAnsi="宋体" w:cs="宋体"/>
          <w:sz w:val="24"/>
          <w:szCs w:val="24"/>
        </w:rPr>
      </w:pPr>
      <w:bookmarkStart w:id="33" w:name="_Toc54278998"/>
      <w:r>
        <w:rPr>
          <w:rFonts w:hint="eastAsia" w:ascii="宋体" w:hAnsi="宋体" w:cs="宋体"/>
          <w:sz w:val="24"/>
          <w:szCs w:val="24"/>
        </w:rPr>
        <w:t>竞标人发生以下条款情况之一者，视为无效响应，其响应文件将被拒绝：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（一）竞标人不符合规定的基本资格条件或特定资格条件的；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（二）竞标人的法定代表人或其授权代表未参加磋商；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（三）竞标人未按照竞争性磋商文件的要求缴纳磋商保证金；</w:t>
      </w:r>
    </w:p>
    <w:p>
      <w:pPr>
        <w:snapToGrid w:val="0"/>
        <w:spacing w:line="360" w:lineRule="auto"/>
        <w:ind w:firstLine="465"/>
        <w:rPr>
          <w:rFonts w:ascii="宋体" w:hAnsi="宋体" w:cs="宋体"/>
          <w:sz w:val="24"/>
          <w:szCs w:val="24"/>
        </w:rPr>
      </w:pPr>
      <w:r>
        <w:rPr>
          <w:rFonts w:hint="eastAsia" w:ascii="宋体" w:hAnsi="宋体" w:cs="宋体"/>
          <w:sz w:val="24"/>
          <w:szCs w:val="24"/>
        </w:rPr>
        <w:t>（四）竞标人所提交的响应文件不按第七篇“响应文件编制要求”规定编制或签字、盖章；</w:t>
      </w:r>
    </w:p>
    <w:p>
      <w:pPr>
        <w:snapToGrid w:val="0"/>
        <w:spacing w:line="360" w:lineRule="auto"/>
        <w:ind w:firstLine="465"/>
        <w:rPr>
          <w:rFonts w:ascii="宋体" w:hAnsi="宋体" w:cs="宋体"/>
          <w:sz w:val="24"/>
          <w:szCs w:val="24"/>
        </w:rPr>
      </w:pPr>
      <w:r>
        <w:rPr>
          <w:rFonts w:hint="eastAsia" w:ascii="宋体" w:hAnsi="宋体" w:cs="宋体"/>
          <w:sz w:val="24"/>
          <w:szCs w:val="24"/>
        </w:rPr>
        <w:t>（五）竞标人的最后报价超过采购预算的；</w:t>
      </w:r>
    </w:p>
    <w:p>
      <w:pPr>
        <w:snapToGrid w:val="0"/>
        <w:spacing w:line="360" w:lineRule="auto"/>
        <w:ind w:firstLine="465"/>
        <w:rPr>
          <w:rFonts w:ascii="宋体" w:hAnsi="宋体" w:cs="宋体"/>
          <w:sz w:val="24"/>
          <w:szCs w:val="24"/>
        </w:rPr>
      </w:pPr>
      <w:r>
        <w:rPr>
          <w:rFonts w:hint="eastAsia" w:ascii="宋体" w:hAnsi="宋体" w:cs="宋体"/>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sz w:val="24"/>
          <w:szCs w:val="24"/>
        </w:rPr>
      </w:pPr>
      <w:r>
        <w:rPr>
          <w:rFonts w:hint="eastAsia" w:ascii="宋体" w:hAnsi="宋体" w:cs="宋体"/>
          <w:sz w:val="24"/>
          <w:szCs w:val="24"/>
        </w:rPr>
        <w:t>（九）“第二篇 采购服务需求”、“第三篇 采购商务需求”有一条及以上不能满足竞争性磋商文件要求的；</w:t>
      </w:r>
    </w:p>
    <w:p>
      <w:pPr>
        <w:snapToGrid w:val="0"/>
        <w:spacing w:line="360" w:lineRule="auto"/>
        <w:ind w:firstLine="465"/>
        <w:rPr>
          <w:rFonts w:ascii="宋体" w:hAnsi="宋体" w:cs="宋体"/>
          <w:sz w:val="24"/>
          <w:szCs w:val="24"/>
        </w:rPr>
      </w:pPr>
      <w:r>
        <w:rPr>
          <w:rFonts w:hint="eastAsia" w:ascii="宋体" w:hAnsi="宋体" w:cs="宋体"/>
          <w:sz w:val="24"/>
          <w:szCs w:val="24"/>
        </w:rPr>
        <w:t>（十）竞标人响应文件内容有与国家现行法律法规相违背的内容，或附有采购人无法接受的条件。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（十一）本磋商文件规定的其它情形。</w:t>
      </w:r>
    </w:p>
    <w:p>
      <w:pPr>
        <w:pStyle w:val="4"/>
        <w:spacing w:line="360" w:lineRule="auto"/>
        <w:rPr>
          <w:rFonts w:ascii="宋体" w:hAnsi="宋体" w:cs="宋体"/>
          <w:sz w:val="24"/>
          <w:szCs w:val="24"/>
        </w:rPr>
      </w:pPr>
      <w:r>
        <w:rPr>
          <w:rFonts w:hint="eastAsia" w:ascii="宋体" w:hAnsi="宋体" w:cs="宋体"/>
          <w:sz w:val="24"/>
          <w:szCs w:val="24"/>
        </w:rPr>
        <w:t>四、</w:t>
      </w:r>
      <w:bookmarkEnd w:id="30"/>
      <w:bookmarkEnd w:id="31"/>
      <w:r>
        <w:rPr>
          <w:rFonts w:hint="eastAsia" w:ascii="宋体" w:hAnsi="宋体" w:cs="宋体"/>
          <w:sz w:val="24"/>
          <w:szCs w:val="24"/>
        </w:rPr>
        <w:t>采购终止</w:t>
      </w:r>
      <w:bookmarkEnd w:id="33"/>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4" w:name="_Toc102227313"/>
      <w:bookmarkStart w:id="35" w:name="_Toc25636"/>
      <w:bookmarkStart w:id="36" w:name="_Toc25652"/>
      <w:bookmarkStart w:id="37" w:name="_Toc21400"/>
      <w:bookmarkStart w:id="38" w:name="_Toc11641055"/>
      <w:bookmarkStart w:id="39" w:name="_Toc12789059"/>
      <w:r>
        <w:rPr>
          <w:rFonts w:hint="eastAsia" w:ascii="宋体" w:hAnsi="宋体" w:eastAsia="宋体" w:cs="宋体"/>
          <w:bCs/>
          <w:sz w:val="36"/>
          <w:szCs w:val="30"/>
        </w:rPr>
        <w:t>第五篇  供应商须知</w:t>
      </w:r>
      <w:bookmarkEnd w:id="34"/>
      <w:bookmarkEnd w:id="35"/>
      <w:bookmarkEnd w:id="36"/>
      <w:bookmarkEnd w:id="37"/>
    </w:p>
    <w:p>
      <w:pPr>
        <w:pStyle w:val="4"/>
        <w:spacing w:before="0" w:after="0" w:line="360" w:lineRule="auto"/>
        <w:rPr>
          <w:rFonts w:ascii="宋体" w:hAnsi="宋体" w:cs="宋体"/>
          <w:sz w:val="24"/>
          <w:szCs w:val="24"/>
        </w:rPr>
      </w:pPr>
      <w:bookmarkStart w:id="40" w:name="_Toc342913389"/>
      <w:bookmarkStart w:id="41" w:name="_Toc24338"/>
      <w:bookmarkStart w:id="42" w:name="_Toc18058"/>
      <w:bookmarkStart w:id="43" w:name="_Toc465"/>
      <w:r>
        <w:rPr>
          <w:rFonts w:hint="eastAsia" w:ascii="宋体" w:hAnsi="宋体" w:cs="宋体"/>
          <w:sz w:val="24"/>
          <w:szCs w:val="24"/>
        </w:rPr>
        <w:t>一、磋商费用</w:t>
      </w:r>
      <w:bookmarkEnd w:id="40"/>
      <w:bookmarkEnd w:id="41"/>
      <w:bookmarkEnd w:id="42"/>
      <w:bookmarkEnd w:id="43"/>
    </w:p>
    <w:p>
      <w:pPr>
        <w:pStyle w:val="17"/>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360" w:lineRule="auto"/>
        <w:rPr>
          <w:rFonts w:ascii="宋体" w:hAnsi="宋体" w:cs="宋体"/>
          <w:sz w:val="24"/>
          <w:szCs w:val="24"/>
        </w:rPr>
      </w:pPr>
      <w:bookmarkStart w:id="44" w:name="_Toc342913391"/>
      <w:bookmarkStart w:id="45" w:name="_Toc9574"/>
      <w:bookmarkStart w:id="46" w:name="_Toc29852"/>
      <w:bookmarkStart w:id="47" w:name="_Toc889"/>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4"/>
      <w:bookmarkEnd w:id="45"/>
      <w:bookmarkEnd w:id="46"/>
      <w:bookmarkEnd w:id="47"/>
    </w:p>
    <w:p>
      <w:pPr>
        <w:pStyle w:val="4"/>
        <w:spacing w:before="0" w:after="0" w:line="360" w:lineRule="auto"/>
        <w:ind w:firstLine="480" w:firstLineChars="200"/>
        <w:rPr>
          <w:rFonts w:ascii="宋体" w:hAnsi="宋体" w:cs="宋体"/>
          <w:b w:val="0"/>
          <w:sz w:val="24"/>
          <w:szCs w:val="24"/>
        </w:rPr>
      </w:pPr>
      <w:bookmarkStart w:id="48" w:name="_Toc179714297"/>
      <w:bookmarkStart w:id="49" w:name="_Toc16134"/>
      <w:bookmarkStart w:id="50" w:name="_Toc102227318"/>
      <w:bookmarkStart w:id="51" w:name="_Toc1269"/>
      <w:bookmarkStart w:id="52" w:name="_Toc19161"/>
      <w:bookmarkStart w:id="53" w:name="_Toc342913392"/>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（二）采购人所作的一切有效的书面通知、修改及补充，都是竞争性磋商文件不可分割的部分。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4"/>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sz w:val="24"/>
          <w:szCs w:val="24"/>
        </w:rPr>
      </w:pPr>
      <w:r>
        <w:rPr>
          <w:rFonts w:hint="eastAsia" w:ascii="宋体" w:hAnsi="宋体" w:cs="宋体"/>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4" w:name="_Toc10966"/>
      <w:bookmarkStart w:id="55" w:name="_Toc13950"/>
      <w:bookmarkStart w:id="56" w:name="_Toc18360"/>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4"/>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4"/>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4"/>
      <w:bookmarkEnd w:id="55"/>
      <w:bookmarkEnd w:id="56"/>
    </w:p>
    <w:p>
      <w:pPr>
        <w:pStyle w:val="4"/>
        <w:spacing w:before="0" w:after="0" w:line="360" w:lineRule="auto"/>
        <w:ind w:firstLine="480" w:firstLineChars="200"/>
        <w:rPr>
          <w:rFonts w:ascii="宋体" w:hAnsi="宋体" w:cs="宋体"/>
          <w:b w:val="0"/>
          <w:sz w:val="24"/>
          <w:szCs w:val="24"/>
        </w:rPr>
      </w:pPr>
      <w:bookmarkStart w:id="57" w:name="_Toc16678"/>
      <w:bookmarkStart w:id="58" w:name="_Toc9338"/>
      <w:bookmarkStart w:id="59" w:name="_Toc342913395"/>
      <w:bookmarkStart w:id="60" w:name="_Toc12171"/>
      <w:bookmarkStart w:id="61" w:name="_Toc102227321"/>
      <w:r>
        <w:rPr>
          <w:rFonts w:hint="eastAsia" w:ascii="宋体" w:hAnsi="宋体" w:cs="宋体"/>
          <w:b w:val="0"/>
          <w:sz w:val="24"/>
          <w:szCs w:val="24"/>
        </w:rPr>
        <w:t>（一）成交供应商的确认</w:t>
      </w:r>
    </w:p>
    <w:p>
      <w:pPr>
        <w:pStyle w:val="4"/>
        <w:spacing w:before="0" w:after="0" w:line="360" w:lineRule="auto"/>
        <w:ind w:firstLine="480" w:firstLineChars="200"/>
        <w:rPr>
          <w:rFonts w:hint="eastAsia" w:ascii="宋体" w:hAnsi="宋体" w:cs="宋体"/>
          <w:b w:val="0"/>
          <w:sz w:val="24"/>
          <w:szCs w:val="24"/>
        </w:rPr>
      </w:pPr>
      <w:r>
        <w:rPr>
          <w:rFonts w:hint="eastAsia" w:ascii="宋体" w:hAnsi="宋体" w:cs="宋体"/>
          <w:b w:val="0"/>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4"/>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60" w:lineRule="auto"/>
        <w:rPr>
          <w:rFonts w:ascii="宋体" w:hAnsi="宋体" w:cs="宋体"/>
          <w:sz w:val="24"/>
          <w:szCs w:val="24"/>
        </w:rPr>
      </w:pPr>
      <w:r>
        <w:rPr>
          <w:rFonts w:hint="eastAsia" w:ascii="宋体" w:hAnsi="宋体" w:cs="宋体"/>
          <w:sz w:val="24"/>
          <w:szCs w:val="24"/>
        </w:rPr>
        <w:t>五、成交通知</w:t>
      </w:r>
      <w:bookmarkEnd w:id="57"/>
      <w:bookmarkEnd w:id="58"/>
      <w:bookmarkEnd w:id="59"/>
      <w:bookmarkEnd w:id="60"/>
      <w:bookmarkEnd w:id="61"/>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4"/>
        <w:spacing w:before="0" w:after="0" w:line="360" w:lineRule="auto"/>
        <w:rPr>
          <w:rFonts w:ascii="宋体" w:hAnsi="宋体" w:cs="宋体"/>
          <w:sz w:val="24"/>
          <w:szCs w:val="24"/>
        </w:rPr>
      </w:pPr>
      <w:bookmarkStart w:id="62" w:name="_Toc1331"/>
      <w:bookmarkStart w:id="63" w:name="_Toc4498"/>
      <w:bookmarkStart w:id="64" w:name="_Toc14603"/>
      <w:r>
        <w:rPr>
          <w:rFonts w:hint="eastAsia" w:ascii="宋体" w:hAnsi="宋体" w:cs="宋体"/>
          <w:sz w:val="24"/>
          <w:szCs w:val="24"/>
        </w:rPr>
        <w:t>六、关于咨询</w:t>
      </w:r>
      <w:bookmarkEnd w:id="62"/>
      <w:bookmarkEnd w:id="63"/>
      <w:bookmarkEnd w:id="64"/>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sz w:val="24"/>
          <w:szCs w:val="24"/>
        </w:rPr>
      </w:pPr>
      <w:bookmarkStart w:id="65" w:name="_Toc102227322"/>
      <w:bookmarkStart w:id="66" w:name="_Toc342913396"/>
      <w:bookmarkStart w:id="67" w:name="_Toc3254"/>
      <w:bookmarkStart w:id="68" w:name="_Toc9382"/>
      <w:bookmarkStart w:id="69" w:name="_Toc9092"/>
      <w:r>
        <w:rPr>
          <w:rFonts w:hint="eastAsia" w:ascii="宋体" w:hAnsi="宋体" w:cs="宋体"/>
          <w:sz w:val="24"/>
          <w:szCs w:val="24"/>
        </w:rPr>
        <w:t>七、签订</w:t>
      </w:r>
      <w:bookmarkEnd w:id="65"/>
      <w:r>
        <w:rPr>
          <w:rFonts w:hint="eastAsia" w:ascii="宋体" w:hAnsi="宋体" w:cs="宋体"/>
          <w:sz w:val="24"/>
          <w:szCs w:val="24"/>
        </w:rPr>
        <w:t>合同</w:t>
      </w:r>
      <w:bookmarkEnd w:id="66"/>
      <w:bookmarkEnd w:id="67"/>
      <w:bookmarkEnd w:id="68"/>
      <w:bookmarkEnd w:id="69"/>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11"/>
        <w:tabs>
          <w:tab w:val="left" w:pos="1260"/>
          <w:tab w:val="left" w:pos="1685"/>
          <w:tab w:val="right" w:leader="dot" w:pos="8400"/>
        </w:tabs>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3"/>
        <w:spacing w:line="360" w:lineRule="auto"/>
        <w:jc w:val="both"/>
        <w:rPr>
          <w:rFonts w:ascii="宋体" w:hAnsi="宋体" w:eastAsia="宋体" w:cs="宋体"/>
          <w:b w:val="0"/>
          <w:sz w:val="36"/>
          <w:szCs w:val="30"/>
        </w:rPr>
      </w:pPr>
      <w:r>
        <w:rPr>
          <w:rFonts w:hint="eastAsia" w:ascii="宋体" w:hAnsi="宋体" w:eastAsia="宋体" w:cs="宋体"/>
          <w:b w:val="0"/>
          <w:kern w:val="2"/>
          <w:sz w:val="24"/>
          <w:szCs w:val="24"/>
          <w:lang w:val="en-US" w:eastAsia="zh-CN" w:bidi="ar-SA"/>
        </w:rPr>
        <w:t>18580766891。</w:t>
      </w:r>
      <w:r>
        <w:rPr>
          <w:rFonts w:hint="eastAsia" w:ascii="宋体" w:hAnsi="宋体" w:eastAsia="宋体" w:cs="宋体"/>
          <w:sz w:val="36"/>
          <w:szCs w:val="30"/>
        </w:rPr>
        <w:br w:type="page"/>
      </w:r>
      <w:bookmarkStart w:id="70" w:name="_Toc54279010"/>
      <w:r>
        <w:rPr>
          <w:rFonts w:hint="eastAsia" w:ascii="宋体" w:hAnsi="宋体" w:eastAsia="宋体" w:cs="宋体"/>
          <w:b w:val="0"/>
          <w:sz w:val="36"/>
          <w:szCs w:val="30"/>
        </w:rPr>
        <w:t xml:space="preserve">第六篇  </w:t>
      </w:r>
      <w:bookmarkEnd w:id="38"/>
      <w:bookmarkEnd w:id="39"/>
      <w:r>
        <w:rPr>
          <w:rFonts w:hint="eastAsia" w:ascii="宋体" w:hAnsi="宋体" w:eastAsia="宋体" w:cs="宋体"/>
          <w:b w:val="0"/>
          <w:sz w:val="36"/>
          <w:szCs w:val="30"/>
        </w:rPr>
        <w:t>合同</w:t>
      </w:r>
      <w:bookmarkEnd w:id="70"/>
    </w:p>
    <w:p>
      <w:pPr>
        <w:tabs>
          <w:tab w:val="left" w:pos="9000"/>
        </w:tabs>
        <w:spacing w:line="360" w:lineRule="auto"/>
        <w:jc w:val="center"/>
        <w:rPr>
          <w:rFonts w:ascii="宋体" w:hAnsi="宋体" w:cs="宋体"/>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29402"/>
      <w:bookmarkStart w:id="74" w:name="_Toc32160"/>
      <w:bookmarkStart w:id="75" w:name="_Toc3907"/>
      <w:bookmarkStart w:id="76" w:name="_Toc313888360"/>
      <w:bookmarkStart w:id="77" w:name="_Toc313008356"/>
      <w:bookmarkStart w:id="78" w:name="_Toc342913419"/>
      <w:bookmarkStart w:id="79" w:name="_Toc54279012"/>
      <w:bookmarkStart w:id="80" w:name="_Toc283382454"/>
      <w:bookmarkStart w:id="81" w:name="_Toc12789073"/>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hint="eastAsia" w:ascii="宋体" w:hAnsi="宋体" w:cs="宋体"/>
          <w:sz w:val="24"/>
          <w:szCs w:val="24"/>
        </w:rPr>
      </w:pPr>
    </w:p>
    <w:p>
      <w:pPr>
        <w:pStyle w:val="4"/>
        <w:spacing w:line="360" w:lineRule="auto"/>
        <w:rPr>
          <w:rFonts w:ascii="宋体" w:hAnsi="宋体" w:cs="宋体"/>
          <w:sz w:val="24"/>
          <w:szCs w:val="24"/>
        </w:rPr>
      </w:pPr>
      <w:r>
        <w:rPr>
          <w:rFonts w:hint="eastAsia" w:ascii="宋体" w:hAnsi="宋体" w:cs="宋体"/>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1、愿意按照竞争性磋商文件中的一切要求，提供本项目的服务费初始报价为人民币：</w:t>
      </w:r>
      <w:r>
        <w:rPr>
          <w:rFonts w:hint="eastAsia" w:ascii="宋体" w:hAnsi="宋体" w:cs="宋体"/>
          <w:sz w:val="24"/>
          <w:szCs w:val="24"/>
          <w:u w:val="single"/>
        </w:rPr>
        <w:t>       </w:t>
      </w:r>
      <w:r>
        <w:rPr>
          <w:rFonts w:hint="eastAsia" w:ascii="宋体" w:hAnsi="宋体" w:cs="宋体"/>
          <w:sz w:val="24"/>
          <w:szCs w:val="24"/>
          <w:u w:val="none"/>
        </w:rPr>
        <w:t>元</w:t>
      </w:r>
      <w:r>
        <w:rPr>
          <w:rFonts w:hint="eastAsia" w:ascii="宋体" w:hAnsi="宋体" w:cs="宋体"/>
          <w:sz w:val="24"/>
          <w:szCs w:val="24"/>
          <w:u w:val="none"/>
          <w:lang w:eastAsia="zh-CN"/>
        </w:rPr>
        <w:t>，大写：</w:t>
      </w:r>
      <w:r>
        <w:rPr>
          <w:rFonts w:hint="eastAsia" w:ascii="宋体" w:hAnsi="宋体" w:cs="宋体"/>
          <w:sz w:val="24"/>
          <w:szCs w:val="24"/>
          <w:u w:val="single"/>
          <w:lang w:val="en-US" w:eastAsia="zh-CN"/>
        </w:rPr>
        <w:t xml:space="preserve">           </w:t>
      </w:r>
      <w:r>
        <w:rPr>
          <w:rFonts w:hint="eastAsia" w:ascii="宋体" w:hAnsi="宋体" w:cs="宋体"/>
          <w:sz w:val="24"/>
          <w:szCs w:val="24"/>
        </w:rPr>
        <w:t>。以我公司最后报价为准。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w:t>
      </w:r>
      <w:r>
        <w:rPr>
          <w:rFonts w:hint="eastAsia" w:ascii="宋体" w:hAnsi="宋体" w:cs="宋体"/>
          <w:sz w:val="24"/>
          <w:szCs w:val="24"/>
          <w:u w:val="single"/>
        </w:rPr>
        <w:t>90</w:t>
      </w:r>
      <w:r>
        <w:rPr>
          <w:rFonts w:hint="eastAsia" w:ascii="宋体" w:hAnsi="宋体" w:cs="宋体"/>
          <w:sz w:val="24"/>
          <w:szCs w:val="24"/>
        </w:rPr>
        <w:t>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sz w:val="24"/>
          <w:szCs w:val="24"/>
        </w:rPr>
      </w:pPr>
      <w:r>
        <w:rPr>
          <w:rFonts w:hint="eastAsia" w:ascii="宋体" w:hAnsi="宋体" w:cs="宋体"/>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4"/>
        <w:spacing w:before="0" w:after="0" w:line="312" w:lineRule="auto"/>
        <w:rPr>
          <w:rFonts w:ascii="宋体" w:hAnsi="宋体" w:cs="宋体"/>
          <w:color w:val="auto"/>
          <w:sz w:val="24"/>
          <w:szCs w:val="24"/>
          <w:highlight w:val="none"/>
        </w:rPr>
      </w:pPr>
      <w:bookmarkStart w:id="82" w:name="_Toc5448"/>
      <w:bookmarkStart w:id="83" w:name="_Toc24044"/>
      <w:bookmarkStart w:id="84" w:name="_Toc9573"/>
      <w:bookmarkStart w:id="85" w:name="_Toc313888361"/>
      <w:bookmarkStart w:id="86" w:name="_Toc313008357"/>
      <w:bookmarkStart w:id="87" w:name="_Toc342913420"/>
      <w:r>
        <w:rPr>
          <w:rFonts w:hint="eastAsia" w:ascii="宋体" w:hAnsi="宋体" w:cs="宋体"/>
          <w:color w:val="auto"/>
          <w:sz w:val="24"/>
          <w:szCs w:val="24"/>
          <w:highlight w:val="none"/>
        </w:rPr>
        <w:t>二、服务部分</w:t>
      </w:r>
      <w:bookmarkEnd w:id="82"/>
      <w:bookmarkEnd w:id="83"/>
      <w:bookmarkEnd w:id="84"/>
      <w:bookmarkEnd w:id="85"/>
      <w:bookmarkEnd w:id="86"/>
      <w:bookmarkEnd w:id="87"/>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8"/>
        <w:tabs>
          <w:tab w:val="left" w:pos="6300"/>
        </w:tabs>
        <w:snapToGrid w:val="0"/>
        <w:spacing w:line="312" w:lineRule="auto"/>
        <w:ind w:firstLine="480" w:firstLineChars="200"/>
        <w:outlineLvl w:val="0"/>
        <w:rPr>
          <w:rFonts w:ascii="宋体" w:hAnsi="宋体" w:cs="宋体"/>
          <w:color w:val="auto"/>
          <w:sz w:val="24"/>
          <w:highlight w:val="none"/>
        </w:rPr>
      </w:pPr>
    </w:p>
    <w:p>
      <w:pPr>
        <w:pStyle w:val="8"/>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88" w:name="_Toc313888362"/>
      <w:bookmarkStart w:id="89" w:name="_Toc342913421"/>
      <w:bookmarkStart w:id="90" w:name="_Toc5445"/>
      <w:bookmarkStart w:id="91" w:name="_Toc313008358"/>
      <w:bookmarkStart w:id="92" w:name="_Toc30652"/>
      <w:bookmarkStart w:id="93" w:name="_Toc9361"/>
      <w:r>
        <w:rPr>
          <w:rFonts w:hint="eastAsia" w:ascii="宋体" w:hAnsi="宋体" w:cs="宋体"/>
          <w:color w:val="auto"/>
          <w:sz w:val="24"/>
          <w:szCs w:val="24"/>
          <w:highlight w:val="none"/>
        </w:rPr>
        <w:t>三、商务部分</w:t>
      </w:r>
      <w:bookmarkEnd w:id="88"/>
      <w:bookmarkEnd w:id="89"/>
      <w:bookmarkEnd w:id="90"/>
      <w:bookmarkEnd w:id="91"/>
      <w:bookmarkEnd w:id="92"/>
      <w:bookmarkEnd w:id="93"/>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4"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4"/>
      <w:bookmarkStart w:id="95" w:name="_Toc342913422"/>
      <w:bookmarkStart w:id="96" w:name="_Toc313008359"/>
      <w:bookmarkStart w:id="97" w:name="_Toc313888363"/>
      <w:bookmarkStart w:id="98" w:name="_Toc5971"/>
      <w:bookmarkStart w:id="99" w:name="_Toc10102"/>
      <w:bookmarkStart w:id="100" w:name="_Toc13012"/>
      <w:r>
        <w:rPr>
          <w:rFonts w:hint="eastAsia" w:ascii="宋体" w:hAnsi="宋体" w:cs="宋体"/>
          <w:color w:val="auto"/>
          <w:sz w:val="24"/>
          <w:szCs w:val="24"/>
          <w:highlight w:val="none"/>
        </w:rPr>
        <w:t>四、资格条件及其他</w:t>
      </w:r>
      <w:bookmarkEnd w:id="95"/>
      <w:bookmarkEnd w:id="96"/>
      <w:bookmarkEnd w:id="97"/>
      <w:bookmarkEnd w:id="98"/>
      <w:bookmarkEnd w:id="99"/>
      <w:bookmarkEnd w:id="100"/>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76462354"/>
      <w:bookmarkStart w:id="102" w:name="_Toc106030910"/>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abstractNum w:abstractNumId="1">
    <w:nsid w:val="69AF3536"/>
    <w:multiLevelType w:val="singleLevel"/>
    <w:tmpl w:val="69AF3536"/>
    <w:lvl w:ilvl="0" w:tentative="0">
      <w:start w:val="1"/>
      <w:numFmt w:val="decimal"/>
      <w:suff w:val="nothing"/>
      <w:lvlText w:val="（%1）"/>
      <w:lvlJc w:val="left"/>
    </w:lvl>
  </w:abstractNum>
  <w:abstractNum w:abstractNumId="2">
    <w:nsid w:val="6AD80A59"/>
    <w:multiLevelType w:val="singleLevel"/>
    <w:tmpl w:val="6AD80A5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663C7"/>
    <w:rsid w:val="068F4DD4"/>
    <w:rsid w:val="0C10190A"/>
    <w:rsid w:val="0E624708"/>
    <w:rsid w:val="0E745939"/>
    <w:rsid w:val="0F381EC5"/>
    <w:rsid w:val="0FE469B6"/>
    <w:rsid w:val="1A532509"/>
    <w:rsid w:val="2190071D"/>
    <w:rsid w:val="2446697F"/>
    <w:rsid w:val="24BA3E6E"/>
    <w:rsid w:val="2BD732FC"/>
    <w:rsid w:val="2EE75977"/>
    <w:rsid w:val="30617EF3"/>
    <w:rsid w:val="34557310"/>
    <w:rsid w:val="3FE663C7"/>
    <w:rsid w:val="46772A10"/>
    <w:rsid w:val="46C16077"/>
    <w:rsid w:val="491F5BE9"/>
    <w:rsid w:val="5AEF4847"/>
    <w:rsid w:val="60B41A34"/>
    <w:rsid w:val="60C40834"/>
    <w:rsid w:val="637D2031"/>
    <w:rsid w:val="688E31DD"/>
    <w:rsid w:val="68D93B18"/>
    <w:rsid w:val="7733710C"/>
    <w:rsid w:val="7BBF7A98"/>
    <w:rsid w:val="7BE16971"/>
    <w:rsid w:val="7EBC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5">
    <w:name w:val="Normal Indent"/>
    <w:basedOn w:val="1"/>
    <w:qFormat/>
    <w:uiPriority w:val="0"/>
    <w:pPr>
      <w:adjustRightInd w:val="0"/>
      <w:snapToGrid w:val="0"/>
      <w:spacing w:line="360" w:lineRule="auto"/>
      <w:ind w:firstLine="420"/>
    </w:pPr>
    <w:rPr>
      <w:sz w:val="24"/>
    </w:r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pPr>
      <w:spacing w:before="120" w:after="120"/>
      <w:jc w:val="left"/>
    </w:pPr>
    <w:rPr>
      <w:caps/>
      <w:sz w:val="20"/>
    </w:rPr>
  </w:style>
  <w:style w:type="paragraph" w:styleId="12">
    <w:name w:val="toc 2"/>
    <w:basedOn w:val="1"/>
    <w:next w:val="1"/>
    <w:qFormat/>
    <w:uiPriority w:val="39"/>
    <w:pPr>
      <w:ind w:left="420" w:leftChars="200"/>
    </w:p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2023-04-06T07:30:00Z</dcterms:created>
  <dc:creator>王小勇</dc:creator>
  <cp:lastModifiedBy>王小勇</cp:lastModifiedBy>
  <dcterms:modified xsi:type="dcterms:W3CDTF">2023-04-23T04:27:03Z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