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lang w:eastAsia="zh-CN"/>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sz w:val="84"/>
          <w:szCs w:val="84"/>
        </w:rPr>
      </w:pPr>
    </w:p>
    <w:p>
      <w:pPr>
        <w:jc w:val="center"/>
        <w:rPr>
          <w:rFonts w:ascii="宋体" w:hAnsi="宋体" w:cs="宋体"/>
          <w:color w:val="auto"/>
          <w:sz w:val="84"/>
          <w:szCs w:val="84"/>
        </w:rPr>
      </w:pPr>
      <w:r>
        <w:rPr>
          <w:rFonts w:hint="eastAsia" w:ascii="宋体" w:hAnsi="宋体" w:cs="宋体"/>
          <w:color w:val="auto"/>
          <w:sz w:val="84"/>
          <w:szCs w:val="84"/>
        </w:rPr>
        <w:t>竞争性磋商文件</w:t>
      </w:r>
    </w:p>
    <w:p>
      <w:pPr>
        <w:spacing w:line="700" w:lineRule="exact"/>
        <w:jc w:val="center"/>
        <w:rPr>
          <w:rFonts w:ascii="宋体" w:hAnsi="宋体" w:cs="宋体"/>
          <w:color w:val="auto"/>
          <w:sz w:val="32"/>
        </w:rPr>
      </w:pPr>
    </w:p>
    <w:p>
      <w:pPr>
        <w:spacing w:line="700" w:lineRule="exact"/>
        <w:jc w:val="center"/>
        <w:rPr>
          <w:rFonts w:hint="eastAsia" w:ascii="宋体" w:hAnsi="宋体" w:eastAsia="宋体" w:cs="宋体"/>
          <w:color w:val="auto"/>
          <w:sz w:val="32"/>
          <w:lang w:eastAsia="zh-CN"/>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ind w:left="2514" w:leftChars="512" w:hanging="1080" w:hangingChars="300"/>
        <w:rPr>
          <w:rFonts w:hint="eastAsia" w:ascii="宋体" w:hAnsi="宋体" w:cs="宋体"/>
          <w:color w:val="auto"/>
          <w:sz w:val="36"/>
          <w:szCs w:val="30"/>
        </w:rPr>
      </w:pPr>
      <w:r>
        <w:rPr>
          <w:rFonts w:hint="eastAsia" w:ascii="宋体" w:hAnsi="宋体" w:cs="宋体"/>
          <w:color w:val="auto"/>
          <w:sz w:val="36"/>
          <w:szCs w:val="30"/>
        </w:rPr>
        <w:t>磋商项目名称：大渡口区实验小学扩建工程</w:t>
      </w:r>
    </w:p>
    <w:p>
      <w:pPr>
        <w:spacing w:line="700" w:lineRule="exact"/>
        <w:ind w:left="2514" w:leftChars="512" w:hanging="1080" w:hangingChars="300"/>
        <w:rPr>
          <w:rFonts w:hint="eastAsia" w:ascii="宋体" w:hAnsi="宋体" w:eastAsia="宋体" w:cs="宋体"/>
          <w:color w:val="auto"/>
          <w:sz w:val="36"/>
          <w:szCs w:val="30"/>
          <w:lang w:eastAsia="zh-CN"/>
        </w:rPr>
      </w:pPr>
      <w:r>
        <w:rPr>
          <w:rFonts w:hint="eastAsia" w:ascii="宋体" w:hAnsi="宋体" w:cs="宋体"/>
          <w:color w:val="auto"/>
          <w:sz w:val="36"/>
          <w:szCs w:val="30"/>
        </w:rPr>
        <w:t>检测服务</w:t>
      </w:r>
      <w:r>
        <w:rPr>
          <w:rFonts w:hint="eastAsia" w:ascii="宋体" w:hAnsi="宋体" w:cs="宋体"/>
          <w:color w:val="auto"/>
          <w:sz w:val="36"/>
          <w:szCs w:val="30"/>
          <w:lang w:eastAsia="zh-CN"/>
        </w:rPr>
        <w:t>（第二次）</w:t>
      </w:r>
    </w:p>
    <w:p>
      <w:pPr>
        <w:spacing w:line="700" w:lineRule="exact"/>
        <w:ind w:firstLine="1749" w:firstLineChars="486"/>
        <w:rPr>
          <w:rFonts w:ascii="宋体" w:hAnsi="宋体" w:cs="宋体"/>
          <w:color w:val="auto"/>
          <w:sz w:val="36"/>
          <w:szCs w:val="30"/>
        </w:rPr>
      </w:pPr>
    </w:p>
    <w:p>
      <w:pPr>
        <w:spacing w:line="700" w:lineRule="exact"/>
        <w:ind w:firstLine="1749" w:firstLineChars="486"/>
        <w:rPr>
          <w:rFonts w:ascii="宋体" w:hAnsi="宋体" w:cs="宋体"/>
          <w:color w:val="auto"/>
          <w:sz w:val="36"/>
          <w:szCs w:val="30"/>
        </w:rPr>
      </w:pPr>
    </w:p>
    <w:p>
      <w:pPr>
        <w:spacing w:line="700" w:lineRule="exact"/>
        <w:jc w:val="center"/>
        <w:rPr>
          <w:rFonts w:ascii="宋体" w:hAnsi="宋体" w:cs="宋体"/>
          <w:b/>
          <w:color w:val="auto"/>
          <w:sz w:val="30"/>
          <w:szCs w:val="30"/>
        </w:rPr>
      </w:pPr>
    </w:p>
    <w:p>
      <w:pPr>
        <w:spacing w:line="700" w:lineRule="exact"/>
        <w:ind w:left="2514" w:leftChars="512" w:hanging="1080" w:hangingChars="300"/>
        <w:rPr>
          <w:rFonts w:hint="eastAsia" w:ascii="宋体" w:hAnsi="宋体" w:eastAsia="宋体" w:cs="宋体"/>
          <w:color w:val="auto"/>
          <w:sz w:val="36"/>
          <w:szCs w:val="30"/>
        </w:rPr>
      </w:pPr>
      <w:r>
        <w:rPr>
          <w:rFonts w:hint="eastAsia" w:ascii="宋体" w:hAnsi="宋体" w:eastAsia="宋体" w:cs="宋体"/>
          <w:color w:val="auto"/>
          <w:sz w:val="36"/>
          <w:szCs w:val="30"/>
        </w:rPr>
        <w:t>采   购   人：重庆市大渡口区实验小学</w:t>
      </w:r>
    </w:p>
    <w:p>
      <w:pPr>
        <w:spacing w:line="700" w:lineRule="exact"/>
        <w:ind w:left="2514" w:leftChars="512" w:hanging="1080" w:hangingChars="300"/>
        <w:rPr>
          <w:rFonts w:hint="eastAsia" w:ascii="宋体" w:hAnsi="宋体" w:eastAsia="宋体" w:cs="宋体"/>
          <w:color w:val="auto"/>
          <w:sz w:val="36"/>
          <w:szCs w:val="30"/>
        </w:rPr>
      </w:pPr>
      <w:r>
        <w:rPr>
          <w:rFonts w:hint="eastAsia" w:ascii="宋体" w:hAnsi="宋体" w:eastAsia="宋体" w:cs="宋体"/>
          <w:color w:val="auto"/>
          <w:sz w:val="36"/>
          <w:szCs w:val="30"/>
          <w:lang w:eastAsia="zh-CN"/>
        </w:rPr>
        <w:t>代</w:t>
      </w:r>
      <w:r>
        <w:rPr>
          <w:rFonts w:hint="eastAsia" w:ascii="宋体" w:hAnsi="宋体" w:eastAsia="宋体" w:cs="宋体"/>
          <w:color w:val="auto"/>
          <w:sz w:val="36"/>
          <w:szCs w:val="30"/>
          <w:lang w:val="en-US" w:eastAsia="zh-CN"/>
        </w:rPr>
        <w:t xml:space="preserve">  </w:t>
      </w:r>
      <w:r>
        <w:rPr>
          <w:rFonts w:hint="eastAsia" w:ascii="宋体" w:hAnsi="宋体" w:eastAsia="宋体" w:cs="宋体"/>
          <w:color w:val="auto"/>
          <w:sz w:val="36"/>
          <w:szCs w:val="30"/>
          <w:lang w:eastAsia="zh-CN"/>
        </w:rPr>
        <w:t>建</w:t>
      </w:r>
      <w:r>
        <w:rPr>
          <w:rFonts w:hint="eastAsia" w:ascii="宋体" w:hAnsi="宋体" w:eastAsia="宋体" w:cs="宋体"/>
          <w:color w:val="auto"/>
          <w:sz w:val="36"/>
          <w:szCs w:val="30"/>
          <w:lang w:val="en-US" w:eastAsia="zh-CN"/>
        </w:rPr>
        <w:t xml:space="preserve">  </w:t>
      </w:r>
      <w:r>
        <w:rPr>
          <w:rFonts w:hint="eastAsia" w:ascii="宋体" w:hAnsi="宋体" w:eastAsia="宋体" w:cs="宋体"/>
          <w:color w:val="auto"/>
          <w:sz w:val="36"/>
          <w:szCs w:val="30"/>
          <w:lang w:eastAsia="zh-CN"/>
        </w:rPr>
        <w:t>业</w:t>
      </w:r>
      <w:r>
        <w:rPr>
          <w:rFonts w:hint="eastAsia" w:ascii="宋体" w:hAnsi="宋体" w:eastAsia="宋体" w:cs="宋体"/>
          <w:color w:val="auto"/>
          <w:sz w:val="36"/>
          <w:szCs w:val="30"/>
          <w:lang w:val="en-US" w:eastAsia="zh-CN"/>
        </w:rPr>
        <w:t xml:space="preserve">  </w:t>
      </w:r>
      <w:r>
        <w:rPr>
          <w:rFonts w:hint="eastAsia" w:ascii="宋体" w:hAnsi="宋体" w:eastAsia="宋体" w:cs="宋体"/>
          <w:color w:val="auto"/>
          <w:sz w:val="36"/>
          <w:szCs w:val="30"/>
          <w:lang w:eastAsia="zh-CN"/>
        </w:rPr>
        <w:t>主：</w:t>
      </w:r>
      <w:r>
        <w:rPr>
          <w:rFonts w:hint="eastAsia" w:ascii="宋体" w:hAnsi="宋体" w:eastAsia="宋体" w:cs="宋体"/>
          <w:color w:val="auto"/>
          <w:sz w:val="36"/>
          <w:szCs w:val="30"/>
        </w:rPr>
        <w:t>重庆建桥实业发展有限公司</w:t>
      </w:r>
    </w:p>
    <w:p>
      <w:pPr>
        <w:spacing w:line="720" w:lineRule="exact"/>
        <w:jc w:val="center"/>
        <w:outlineLvl w:val="0"/>
        <w:rPr>
          <w:rFonts w:ascii="宋体" w:hAnsi="宋体" w:cs="宋体"/>
          <w:color w:val="auto"/>
          <w:sz w:val="36"/>
          <w:szCs w:val="30"/>
        </w:rPr>
      </w:pPr>
    </w:p>
    <w:p>
      <w:pPr>
        <w:spacing w:line="720" w:lineRule="exact"/>
        <w:jc w:val="center"/>
        <w:outlineLvl w:val="0"/>
        <w:rPr>
          <w:rFonts w:ascii="宋体" w:hAnsi="宋体" w:cs="宋体"/>
          <w:color w:val="auto"/>
          <w:sz w:val="36"/>
          <w:szCs w:val="30"/>
        </w:rPr>
      </w:pPr>
      <w:r>
        <w:rPr>
          <w:rFonts w:hint="eastAsia" w:ascii="宋体" w:hAnsi="宋体" w:cs="宋体"/>
          <w:color w:val="auto"/>
          <w:sz w:val="36"/>
          <w:szCs w:val="30"/>
        </w:rPr>
        <w:t>二〇二</w:t>
      </w:r>
      <w:r>
        <w:rPr>
          <w:rFonts w:hint="eastAsia" w:ascii="宋体" w:hAnsi="宋体" w:cs="宋体"/>
          <w:color w:val="auto"/>
          <w:sz w:val="36"/>
          <w:szCs w:val="30"/>
          <w:lang w:eastAsia="zh-CN"/>
        </w:rPr>
        <w:t>三</w:t>
      </w:r>
      <w:r>
        <w:rPr>
          <w:rFonts w:hint="eastAsia" w:ascii="宋体" w:hAnsi="宋体" w:cs="宋体"/>
          <w:color w:val="auto"/>
          <w:sz w:val="36"/>
          <w:szCs w:val="30"/>
        </w:rPr>
        <w:t>年</w:t>
      </w:r>
      <w:r>
        <w:rPr>
          <w:rFonts w:hint="eastAsia" w:ascii="宋体" w:hAnsi="宋体" w:cs="宋体"/>
          <w:color w:val="auto"/>
          <w:sz w:val="36"/>
          <w:szCs w:val="30"/>
          <w:lang w:eastAsia="zh-CN"/>
        </w:rPr>
        <w:t>四</w:t>
      </w:r>
      <w:r>
        <w:rPr>
          <w:rFonts w:hint="eastAsia" w:ascii="宋体" w:hAnsi="宋体" w:cs="宋体"/>
          <w:color w:val="auto"/>
          <w:sz w:val="36"/>
          <w:szCs w:val="30"/>
        </w:rPr>
        <w:t>月</w:t>
      </w:r>
    </w:p>
    <w:p>
      <w:pPr>
        <w:spacing w:line="480" w:lineRule="exact"/>
        <w:jc w:val="center"/>
        <w:outlineLvl w:val="0"/>
        <w:rPr>
          <w:rFonts w:ascii="宋体" w:hAnsi="宋体" w:cs="宋体"/>
          <w:color w:val="auto"/>
          <w:sz w:val="44"/>
          <w:szCs w:val="28"/>
        </w:rPr>
      </w:pPr>
      <w:r>
        <w:rPr>
          <w:rFonts w:hint="eastAsia" w:ascii="宋体" w:hAnsi="宋体" w:cs="宋体"/>
          <w:color w:val="auto"/>
          <w:sz w:val="44"/>
          <w:szCs w:val="28"/>
        </w:rPr>
        <w:br w:type="page"/>
      </w:r>
      <w:r>
        <w:rPr>
          <w:rFonts w:hint="eastAsia" w:ascii="宋体" w:hAnsi="宋体" w:cs="宋体"/>
          <w:color w:val="auto"/>
          <w:sz w:val="44"/>
          <w:szCs w:val="28"/>
        </w:rPr>
        <w:t>目   录</w:t>
      </w:r>
    </w:p>
    <w:p>
      <w:pPr>
        <w:pStyle w:val="11"/>
        <w:tabs>
          <w:tab w:val="right" w:leader="dot" w:pos="9402"/>
        </w:tabs>
        <w:ind w:left="560"/>
        <w:rPr>
          <w:rFonts w:ascii="宋体" w:hAnsi="宋体" w:cs="宋体"/>
          <w:color w:val="auto"/>
          <w:sz w:val="21"/>
          <w:szCs w:val="22"/>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TOC \o "1-3" \h \z </w:instrText>
      </w:r>
      <w:r>
        <w:rPr>
          <w:rFonts w:hint="eastAsia" w:ascii="宋体" w:hAnsi="宋体" w:cs="宋体"/>
          <w:color w:val="auto"/>
          <w:sz w:val="21"/>
          <w:szCs w:val="21"/>
        </w:rPr>
        <w:fldChar w:fldCharType="separate"/>
      </w:r>
      <w:r>
        <w:rPr>
          <w:color w:val="auto"/>
        </w:rPr>
        <w:fldChar w:fldCharType="begin"/>
      </w:r>
      <w:r>
        <w:rPr>
          <w:color w:val="auto"/>
        </w:rPr>
        <w:instrText xml:space="preserve"> HYPERLINK \l "_Toc54278968" </w:instrText>
      </w:r>
      <w:r>
        <w:rPr>
          <w:color w:val="auto"/>
        </w:rPr>
        <w:fldChar w:fldCharType="separate"/>
      </w:r>
      <w:r>
        <w:rPr>
          <w:rStyle w:val="15"/>
          <w:rFonts w:hint="eastAsia" w:ascii="宋体" w:hAnsi="宋体" w:cs="宋体"/>
          <w:color w:val="auto"/>
        </w:rPr>
        <w:t>第一篇  采购邀请书</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_Toc54278968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"_Toc54278969" </w:instrText>
      </w:r>
      <w:r>
        <w:rPr>
          <w:color w:val="auto"/>
        </w:rPr>
        <w:fldChar w:fldCharType="separate"/>
      </w:r>
      <w:r>
        <w:rPr>
          <w:rStyle w:val="15"/>
          <w:rFonts w:hint="eastAsia" w:ascii="宋体" w:hAnsi="宋体" w:cs="宋体"/>
          <w:color w:val="auto"/>
        </w:rPr>
        <w:t>一、竞争性磋商内容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_Toc54278969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"_Toc54278970" </w:instrText>
      </w:r>
      <w:r>
        <w:rPr>
          <w:color w:val="auto"/>
        </w:rPr>
        <w:fldChar w:fldCharType="separate"/>
      </w:r>
      <w:r>
        <w:rPr>
          <w:rStyle w:val="15"/>
          <w:rFonts w:hint="eastAsia" w:ascii="宋体" w:hAnsi="宋体" w:cs="宋体"/>
          <w:color w:val="auto"/>
        </w:rPr>
        <w:t>二、资金来源</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_Toc54278970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"_Toc54278971" </w:instrText>
      </w:r>
      <w:r>
        <w:rPr>
          <w:color w:val="auto"/>
        </w:rPr>
        <w:fldChar w:fldCharType="separate"/>
      </w:r>
      <w:r>
        <w:rPr>
          <w:rStyle w:val="15"/>
          <w:rFonts w:hint="eastAsia" w:ascii="宋体" w:hAnsi="宋体" w:cs="宋体"/>
          <w:color w:val="auto"/>
        </w:rPr>
        <w:t>三、供应商资格条件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_Toc54278971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Style w:val="15"/>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四、磋商有关说明</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Style w:val="15"/>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五、磋商保证金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u w:val="single"/>
        </w:rPr>
      </w:pPr>
      <w:r>
        <w:rPr>
          <w:color w:val="auto"/>
        </w:rPr>
        <w:fldChar w:fldCharType="begin"/>
      </w:r>
      <w:r>
        <w:rPr>
          <w:color w:val="auto"/>
        </w:rPr>
        <w:instrText xml:space="preserve"> HYPERLINK \l "_Toc54278972" </w:instrText>
      </w:r>
      <w:r>
        <w:rPr>
          <w:color w:val="auto"/>
        </w:rPr>
        <w:fldChar w:fldCharType="separate"/>
      </w:r>
      <w:r>
        <w:rPr>
          <w:rStyle w:val="15"/>
          <w:rFonts w:hint="eastAsia" w:ascii="宋体" w:hAnsi="宋体" w:cs="宋体"/>
          <w:color w:val="auto"/>
        </w:rPr>
        <w:t>六、履约保证金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"_Toc54278973" </w:instrText>
      </w:r>
      <w:r>
        <w:rPr>
          <w:color w:val="auto"/>
        </w:rPr>
        <w:fldChar w:fldCharType="separate"/>
      </w:r>
      <w:r>
        <w:rPr>
          <w:rStyle w:val="15"/>
          <w:rFonts w:hint="eastAsia" w:ascii="宋体" w:hAnsi="宋体" w:cs="宋体"/>
          <w:color w:val="auto"/>
        </w:rPr>
        <w:t>七、采购项目需落实的政府采购政策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_Toc54278973 \h </w:instrText>
      </w:r>
      <w:r>
        <w:rPr>
          <w:rFonts w:hint="eastAsia" w:ascii="宋体" w:hAnsi="宋体" w:cs="宋体"/>
          <w:color w:val="auto"/>
        </w:rPr>
        <w:fldChar w:fldCharType="separate"/>
      </w:r>
      <w:r>
        <w:rPr>
          <w:rFonts w:hint="eastAsia" w:ascii="宋体" w:hAnsi="宋体" w:cs="宋体"/>
          <w:color w:val="auto"/>
        </w:rPr>
        <w:t>- 6 -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"_Toc54278974" </w:instrText>
      </w:r>
      <w:r>
        <w:rPr>
          <w:color w:val="auto"/>
        </w:rPr>
        <w:fldChar w:fldCharType="separate"/>
      </w:r>
      <w:r>
        <w:rPr>
          <w:rStyle w:val="15"/>
          <w:rFonts w:hint="eastAsia" w:ascii="宋体" w:hAnsi="宋体" w:cs="宋体"/>
          <w:color w:val="auto"/>
        </w:rPr>
        <w:t>八、其它有关规定</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_Toc54278974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"_Toc54278975" </w:instrText>
      </w:r>
      <w:r>
        <w:rPr>
          <w:color w:val="auto"/>
        </w:rPr>
        <w:fldChar w:fldCharType="separate"/>
      </w:r>
      <w:r>
        <w:rPr>
          <w:rStyle w:val="15"/>
          <w:rFonts w:hint="eastAsia" w:ascii="宋体" w:hAnsi="宋体" w:cs="宋体"/>
          <w:color w:val="auto"/>
        </w:rPr>
        <w:t>九、联系方式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_Toc54278975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"_Toc54278977" </w:instrText>
      </w:r>
      <w:r>
        <w:rPr>
          <w:color w:val="auto"/>
        </w:rPr>
        <w:fldChar w:fldCharType="separate"/>
      </w:r>
      <w:r>
        <w:rPr>
          <w:rStyle w:val="15"/>
          <w:rFonts w:hint="eastAsia" w:ascii="宋体" w:hAnsi="宋体" w:cs="宋体"/>
          <w:color w:val="auto"/>
        </w:rPr>
        <w:t>第二篇  项目服务需求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_Toc54278977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"_Toc54278978" </w:instrText>
      </w:r>
      <w:r>
        <w:rPr>
          <w:color w:val="auto"/>
        </w:rPr>
        <w:fldChar w:fldCharType="separate"/>
      </w:r>
      <w:r>
        <w:rPr>
          <w:rStyle w:val="15"/>
          <w:rFonts w:hint="eastAsia" w:ascii="宋体" w:hAnsi="宋体" w:cs="宋体"/>
          <w:color w:val="auto"/>
        </w:rPr>
        <w:t>一、建设地点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"_Toc54278979" </w:instrText>
      </w:r>
      <w:r>
        <w:rPr>
          <w:color w:val="auto"/>
        </w:rPr>
        <w:fldChar w:fldCharType="separate"/>
      </w:r>
      <w:r>
        <w:rPr>
          <w:rStyle w:val="15"/>
          <w:rFonts w:hint="eastAsia" w:ascii="宋体" w:hAnsi="宋体" w:cs="宋体"/>
          <w:color w:val="auto"/>
        </w:rPr>
        <w:t>二、建设规模</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"_Toc54278984" </w:instrText>
      </w:r>
      <w:r>
        <w:rPr>
          <w:color w:val="auto"/>
        </w:rPr>
        <w:fldChar w:fldCharType="separate"/>
      </w:r>
      <w:r>
        <w:rPr>
          <w:rStyle w:val="15"/>
          <w:rFonts w:hint="eastAsia" w:ascii="宋体" w:hAnsi="宋体" w:cs="宋体"/>
          <w:color w:val="auto"/>
        </w:rPr>
        <w:t>第三篇  项目商务需求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_Toc54278984 \h </w:instrText>
      </w:r>
      <w:r>
        <w:rPr>
          <w:rFonts w:hint="eastAsia" w:ascii="宋体" w:hAnsi="宋体" w:cs="宋体"/>
          <w:color w:val="auto"/>
        </w:rPr>
        <w:fldChar w:fldCharType="separate"/>
      </w:r>
      <w:r>
        <w:rPr>
          <w:rFonts w:hint="eastAsia" w:ascii="宋体" w:hAnsi="宋体" w:cs="宋体"/>
          <w:color w:val="auto"/>
        </w:rPr>
        <w:t>- 8 -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"_Toc54278985" </w:instrText>
      </w:r>
      <w:r>
        <w:rPr>
          <w:color w:val="auto"/>
        </w:rPr>
        <w:fldChar w:fldCharType="separate"/>
      </w:r>
      <w:r>
        <w:rPr>
          <w:rStyle w:val="15"/>
          <w:rFonts w:hint="eastAsia" w:ascii="宋体" w:hAnsi="宋体" w:cs="宋体"/>
          <w:color w:val="auto"/>
        </w:rPr>
        <w:t>一、服务期、地点及验收方式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_Toc54278985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"_Toc54278986" </w:instrText>
      </w:r>
      <w:r>
        <w:rPr>
          <w:color w:val="auto"/>
        </w:rPr>
        <w:fldChar w:fldCharType="separate"/>
      </w:r>
      <w:r>
        <w:rPr>
          <w:rStyle w:val="15"/>
          <w:rFonts w:hint="eastAsia" w:ascii="宋体" w:hAnsi="宋体" w:cs="宋体"/>
          <w:color w:val="auto"/>
        </w:rPr>
        <w:t>二、报价要求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_Toc54278986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"_Toc54278987" </w:instrText>
      </w:r>
      <w:r>
        <w:rPr>
          <w:color w:val="auto"/>
        </w:rPr>
        <w:fldChar w:fldCharType="separate"/>
      </w:r>
      <w:r>
        <w:rPr>
          <w:rStyle w:val="15"/>
          <w:rFonts w:hint="eastAsia" w:ascii="宋体" w:hAnsi="宋体" w:cs="宋体"/>
          <w:color w:val="auto"/>
        </w:rPr>
        <w:t>三、结算原则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_Toc54278987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"_Toc54278988" </w:instrText>
      </w:r>
      <w:r>
        <w:rPr>
          <w:color w:val="auto"/>
        </w:rPr>
        <w:fldChar w:fldCharType="separate"/>
      </w:r>
      <w:r>
        <w:rPr>
          <w:rStyle w:val="15"/>
          <w:rFonts w:hint="eastAsia" w:ascii="宋体" w:hAnsi="宋体" w:cs="宋体"/>
          <w:color w:val="auto"/>
        </w:rPr>
        <w:t>四、付款方式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"_Toc54278989" </w:instrText>
      </w:r>
      <w:r>
        <w:rPr>
          <w:color w:val="auto"/>
        </w:rPr>
        <w:fldChar w:fldCharType="separate"/>
      </w:r>
      <w:r>
        <w:rPr>
          <w:rStyle w:val="15"/>
          <w:rFonts w:hint="eastAsia" w:ascii="宋体" w:hAnsi="宋体" w:cs="宋体"/>
          <w:color w:val="auto"/>
        </w:rPr>
        <w:t>五、知识产权</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"_Toc54278991" </w:instrText>
      </w:r>
      <w:r>
        <w:rPr>
          <w:color w:val="auto"/>
        </w:rPr>
        <w:fldChar w:fldCharType="separate"/>
      </w:r>
      <w:r>
        <w:rPr>
          <w:rStyle w:val="15"/>
          <w:rFonts w:hint="eastAsia" w:ascii="宋体" w:hAnsi="宋体" w:cs="宋体"/>
          <w:color w:val="auto"/>
        </w:rPr>
        <w:t>六、其他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"_Toc54278994" </w:instrText>
      </w:r>
      <w:r>
        <w:rPr>
          <w:color w:val="auto"/>
        </w:rPr>
        <w:fldChar w:fldCharType="separate"/>
      </w:r>
      <w:r>
        <w:rPr>
          <w:rStyle w:val="15"/>
          <w:rFonts w:hint="eastAsia" w:ascii="宋体" w:hAnsi="宋体" w:cs="宋体"/>
          <w:color w:val="auto"/>
        </w:rPr>
        <w:t>第四篇  磋商程序及方法、评审标准、无效响应和采购终止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_Toc54278994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"_Toc54278995" </w:instrText>
      </w:r>
      <w:r>
        <w:rPr>
          <w:color w:val="auto"/>
        </w:rPr>
        <w:fldChar w:fldCharType="separate"/>
      </w:r>
      <w:r>
        <w:rPr>
          <w:rStyle w:val="15"/>
          <w:rFonts w:hint="eastAsia" w:ascii="宋体" w:hAnsi="宋体" w:cs="宋体"/>
          <w:color w:val="auto"/>
        </w:rPr>
        <w:t>一、磋商程序及方法</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_Toc54278995 \h </w:instrText>
      </w:r>
      <w:r>
        <w:rPr>
          <w:rFonts w:hint="eastAsia" w:ascii="宋体" w:hAnsi="宋体" w:cs="宋体"/>
          <w:color w:val="auto"/>
        </w:rPr>
        <w:fldChar w:fldCharType="separate"/>
      </w:r>
      <w:r>
        <w:rPr>
          <w:rFonts w:hint="eastAsia" w:ascii="宋体" w:hAnsi="宋体" w:cs="宋体"/>
          <w:color w:val="auto"/>
        </w:rPr>
        <w:t>- 11 -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"_Toc54278996" </w:instrText>
      </w:r>
      <w:r>
        <w:rPr>
          <w:color w:val="auto"/>
        </w:rPr>
        <w:fldChar w:fldCharType="separate"/>
      </w:r>
      <w:r>
        <w:rPr>
          <w:rStyle w:val="15"/>
          <w:rFonts w:hint="eastAsia" w:ascii="宋体" w:hAnsi="宋体" w:cs="宋体"/>
          <w:color w:val="auto"/>
        </w:rPr>
        <w:t>二、评审标准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_Toc54278996 \h </w:instrText>
      </w:r>
      <w:r>
        <w:rPr>
          <w:rFonts w:hint="eastAsia" w:ascii="宋体" w:hAnsi="宋体" w:cs="宋体"/>
          <w:color w:val="auto"/>
        </w:rPr>
        <w:fldChar w:fldCharType="separate"/>
      </w:r>
      <w:r>
        <w:rPr>
          <w:rFonts w:hint="eastAsia" w:ascii="宋体" w:hAnsi="宋体" w:cs="宋体"/>
          <w:color w:val="auto"/>
        </w:rPr>
        <w:t>- 13 -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"_Toc54278997" </w:instrText>
      </w:r>
      <w:r>
        <w:rPr>
          <w:color w:val="auto"/>
        </w:rPr>
        <w:fldChar w:fldCharType="separate"/>
      </w:r>
      <w:r>
        <w:rPr>
          <w:rStyle w:val="15"/>
          <w:rFonts w:hint="eastAsia" w:ascii="宋体" w:hAnsi="宋体" w:cs="宋体"/>
          <w:color w:val="auto"/>
        </w:rPr>
        <w:t>三、无效响应</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_Toc54278997 \h </w:instrText>
      </w:r>
      <w:r>
        <w:rPr>
          <w:rFonts w:hint="eastAsia" w:ascii="宋体" w:hAnsi="宋体" w:cs="宋体"/>
          <w:color w:val="auto"/>
        </w:rPr>
        <w:fldChar w:fldCharType="separate"/>
      </w:r>
      <w:r>
        <w:rPr>
          <w:rFonts w:hint="eastAsia" w:ascii="宋体" w:hAnsi="宋体" w:cs="宋体"/>
          <w:color w:val="auto"/>
        </w:rPr>
        <w:t>- 15 -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"_Toc54278998" </w:instrText>
      </w:r>
      <w:r>
        <w:rPr>
          <w:color w:val="auto"/>
        </w:rPr>
        <w:fldChar w:fldCharType="separate"/>
      </w:r>
      <w:r>
        <w:rPr>
          <w:rStyle w:val="15"/>
          <w:rFonts w:hint="eastAsia" w:ascii="宋体" w:hAnsi="宋体" w:cs="宋体"/>
          <w:color w:val="auto"/>
        </w:rPr>
        <w:t>四、采购终止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_Toc54278998 \h </w:instrText>
      </w:r>
      <w:r>
        <w:rPr>
          <w:rFonts w:hint="eastAsia" w:ascii="宋体" w:hAnsi="宋体" w:cs="宋体"/>
          <w:color w:val="auto"/>
        </w:rPr>
        <w:fldChar w:fldCharType="separate"/>
      </w:r>
      <w:r>
        <w:rPr>
          <w:rFonts w:hint="eastAsia" w:ascii="宋体" w:hAnsi="宋体" w:cs="宋体"/>
          <w:color w:val="auto"/>
        </w:rPr>
        <w:t>- 15 -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"_Toc54278999" </w:instrText>
      </w:r>
      <w:r>
        <w:rPr>
          <w:color w:val="auto"/>
        </w:rPr>
        <w:fldChar w:fldCharType="separate"/>
      </w:r>
      <w:r>
        <w:rPr>
          <w:rStyle w:val="15"/>
          <w:rFonts w:hint="eastAsia" w:ascii="宋体" w:hAnsi="宋体" w:cs="宋体"/>
          <w:color w:val="auto"/>
        </w:rPr>
        <w:t>第五篇  供应商须知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"_Toc54279000" </w:instrText>
      </w:r>
      <w:r>
        <w:rPr>
          <w:color w:val="auto"/>
        </w:rPr>
        <w:fldChar w:fldCharType="separate"/>
      </w:r>
      <w:r>
        <w:rPr>
          <w:rStyle w:val="15"/>
          <w:rFonts w:hint="eastAsia" w:ascii="宋体" w:hAnsi="宋体" w:cs="宋体"/>
          <w:color w:val="auto"/>
        </w:rPr>
        <w:t>一、磋商费用</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_Toc54279000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"_Toc54279001" </w:instrText>
      </w:r>
      <w:r>
        <w:rPr>
          <w:color w:val="auto"/>
        </w:rPr>
        <w:fldChar w:fldCharType="separate"/>
      </w:r>
      <w:r>
        <w:rPr>
          <w:rStyle w:val="15"/>
          <w:rFonts w:hint="eastAsia" w:ascii="宋体" w:hAnsi="宋体" w:cs="宋体"/>
          <w:color w:val="auto"/>
        </w:rPr>
        <w:t>二、竞争性磋商文件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"_Toc54279002" </w:instrText>
      </w:r>
      <w:r>
        <w:rPr>
          <w:color w:val="auto"/>
        </w:rPr>
        <w:fldChar w:fldCharType="separate"/>
      </w:r>
      <w:r>
        <w:rPr>
          <w:rStyle w:val="15"/>
          <w:rFonts w:hint="eastAsia" w:ascii="宋体" w:hAnsi="宋体" w:cs="宋体"/>
          <w:color w:val="auto"/>
        </w:rPr>
        <w:t>三、磋商要求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_Toc54279002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"_Toc54279003" </w:instrText>
      </w:r>
      <w:r>
        <w:rPr>
          <w:color w:val="auto"/>
        </w:rPr>
        <w:fldChar w:fldCharType="separate"/>
      </w:r>
      <w:r>
        <w:rPr>
          <w:rStyle w:val="15"/>
          <w:rFonts w:hint="eastAsia" w:ascii="宋体" w:hAnsi="宋体" w:cs="宋体"/>
          <w:color w:val="auto"/>
        </w:rPr>
        <w:t>四、成交供应商的确认和变更</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_Toc54279003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"_Toc54279004" </w:instrText>
      </w:r>
      <w:r>
        <w:rPr>
          <w:color w:val="auto"/>
        </w:rPr>
        <w:fldChar w:fldCharType="separate"/>
      </w:r>
      <w:r>
        <w:rPr>
          <w:rStyle w:val="15"/>
          <w:rFonts w:hint="eastAsia" w:ascii="宋体" w:hAnsi="宋体" w:cs="宋体"/>
          <w:color w:val="auto"/>
        </w:rPr>
        <w:t>五、成交通知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_Toc54279004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"_Toc54279005" </w:instrText>
      </w:r>
      <w:r>
        <w:rPr>
          <w:color w:val="auto"/>
        </w:rPr>
        <w:fldChar w:fldCharType="separate"/>
      </w:r>
      <w:r>
        <w:rPr>
          <w:rStyle w:val="15"/>
          <w:rFonts w:hint="eastAsia" w:ascii="宋体" w:hAnsi="宋体" w:cs="宋体"/>
          <w:color w:val="auto"/>
        </w:rPr>
        <w:t>六、关于质疑和投诉</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_Toc54279005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"_Toc54279008" </w:instrText>
      </w:r>
      <w:r>
        <w:rPr>
          <w:color w:val="auto"/>
        </w:rPr>
        <w:fldChar w:fldCharType="separate"/>
      </w:r>
      <w:r>
        <w:rPr>
          <w:rStyle w:val="15"/>
          <w:rFonts w:hint="eastAsia" w:ascii="宋体" w:hAnsi="宋体" w:cs="宋体"/>
          <w:color w:val="auto"/>
        </w:rPr>
        <w:t>七、签订合同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"_Toc54279009" </w:instrText>
      </w:r>
      <w:r>
        <w:rPr>
          <w:color w:val="auto"/>
        </w:rPr>
        <w:fldChar w:fldCharType="separate"/>
      </w:r>
      <w:r>
        <w:rPr>
          <w:rStyle w:val="15"/>
          <w:rFonts w:hint="eastAsia" w:ascii="宋体" w:hAnsi="宋体" w:cs="宋体"/>
          <w:color w:val="auto"/>
        </w:rPr>
        <w:t>八、政府采购信用融资</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"_Toc54279010" </w:instrText>
      </w:r>
      <w:r>
        <w:rPr>
          <w:color w:val="auto"/>
        </w:rPr>
        <w:fldChar w:fldCharType="separate"/>
      </w:r>
      <w:r>
        <w:rPr>
          <w:rStyle w:val="15"/>
          <w:rFonts w:hint="eastAsia" w:ascii="宋体" w:hAnsi="宋体" w:cs="宋体"/>
          <w:color w:val="auto"/>
        </w:rPr>
        <w:t>第六篇  政府采购合同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_Toc54279010 \h </w:instrText>
      </w:r>
      <w:r>
        <w:rPr>
          <w:rFonts w:hint="eastAsia" w:ascii="宋体" w:hAnsi="宋体" w:cs="宋体"/>
          <w:color w:val="auto"/>
        </w:rPr>
        <w:fldChar w:fldCharType="separate"/>
      </w:r>
      <w:r>
        <w:rPr>
          <w:rFonts w:hint="eastAsia" w:ascii="宋体" w:hAnsi="宋体" w:cs="宋体"/>
          <w:color w:val="auto"/>
        </w:rPr>
        <w:t>- 22 -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"_Toc54279011" </w:instrText>
      </w:r>
      <w:r>
        <w:rPr>
          <w:color w:val="auto"/>
        </w:rPr>
        <w:fldChar w:fldCharType="separate"/>
      </w:r>
      <w:r>
        <w:rPr>
          <w:rStyle w:val="15"/>
          <w:rFonts w:hint="eastAsia" w:ascii="宋体" w:hAnsi="宋体" w:cs="宋体"/>
          <w:color w:val="auto"/>
        </w:rPr>
        <w:t>第七篇  响应文件编制要求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"_Toc54279012" </w:instrText>
      </w:r>
      <w:r>
        <w:rPr>
          <w:color w:val="auto"/>
        </w:rPr>
        <w:fldChar w:fldCharType="separate"/>
      </w:r>
      <w:r>
        <w:rPr>
          <w:rStyle w:val="15"/>
          <w:rFonts w:hint="eastAsia" w:ascii="宋体" w:hAnsi="宋体" w:cs="宋体"/>
          <w:color w:val="auto"/>
        </w:rPr>
        <w:t>一、经济部分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_Toc54279012 \h </w:instrText>
      </w:r>
      <w:r>
        <w:rPr>
          <w:rFonts w:hint="eastAsia" w:ascii="宋体" w:hAnsi="宋体" w:cs="宋体"/>
          <w:color w:val="auto"/>
        </w:rPr>
        <w:fldChar w:fldCharType="separate"/>
      </w:r>
      <w:r>
        <w:rPr>
          <w:rFonts w:hint="eastAsia" w:ascii="宋体" w:hAnsi="宋体" w:cs="宋体"/>
          <w:color w:val="auto"/>
        </w:rPr>
        <w:t>- 23 -</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"_Toc54279013" </w:instrText>
      </w:r>
      <w:r>
        <w:rPr>
          <w:color w:val="auto"/>
        </w:rPr>
        <w:fldChar w:fldCharType="separate"/>
      </w:r>
      <w:r>
        <w:rPr>
          <w:rStyle w:val="15"/>
          <w:rFonts w:hint="eastAsia" w:ascii="宋体" w:hAnsi="宋体" w:cs="宋体"/>
          <w:color w:val="auto"/>
        </w:rPr>
        <w:t>二、服务部分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_Toc54279013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"_Toc54279014" </w:instrText>
      </w:r>
      <w:r>
        <w:rPr>
          <w:color w:val="auto"/>
        </w:rPr>
        <w:fldChar w:fldCharType="separate"/>
      </w:r>
      <w:r>
        <w:rPr>
          <w:rStyle w:val="15"/>
          <w:rFonts w:hint="eastAsia" w:ascii="宋体" w:hAnsi="宋体" w:cs="宋体"/>
          <w:color w:val="auto"/>
        </w:rPr>
        <w:t>三、商务部分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_Toc54279014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"_Toc54279015" </w:instrText>
      </w:r>
      <w:r>
        <w:rPr>
          <w:color w:val="auto"/>
        </w:rPr>
        <w:fldChar w:fldCharType="separate"/>
      </w:r>
      <w:r>
        <w:rPr>
          <w:rStyle w:val="15"/>
          <w:rFonts w:hint="eastAsia" w:ascii="宋体" w:hAnsi="宋体" w:cs="宋体"/>
          <w:color w:val="auto"/>
        </w:rPr>
        <w:t>四、资格条件及其他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_Toc54279015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6"/>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"_Toc54279016" </w:instrText>
      </w:r>
      <w:r>
        <w:rPr>
          <w:color w:val="auto"/>
        </w:rPr>
        <w:fldChar w:fldCharType="separate"/>
      </w:r>
      <w:r>
        <w:rPr>
          <w:rStyle w:val="15"/>
          <w:rFonts w:hint="eastAsia" w:ascii="宋体" w:hAnsi="宋体" w:cs="宋体"/>
          <w:color w:val="auto"/>
        </w:rPr>
        <w:t>五、其他资料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_Toc54279016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spacing w:line="480" w:lineRule="exact"/>
        <w:ind w:left="560"/>
        <w:jc w:val="center"/>
        <w:rPr>
          <w:rFonts w:ascii="宋体" w:hAnsi="宋体" w:cs="宋体"/>
          <w:color w:val="auto"/>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rPr>
        <w:fldChar w:fldCharType="end"/>
      </w:r>
    </w:p>
    <w:p>
      <w:pPr>
        <w:pStyle w:val="3"/>
        <w:spacing w:line="360" w:lineRule="auto"/>
        <w:jc w:val="center"/>
        <w:rPr>
          <w:rFonts w:ascii="宋体" w:hAnsi="宋体" w:eastAsia="宋体" w:cs="宋体"/>
          <w:b w:val="0"/>
          <w:color w:val="auto"/>
          <w:szCs w:val="30"/>
        </w:rPr>
      </w:pPr>
      <w:bookmarkStart w:id="0" w:name="_Toc12789052"/>
      <w:bookmarkStart w:id="1" w:name="_Toc54278968"/>
      <w:bookmarkStart w:id="2" w:name="_Toc11641050"/>
      <w:r>
        <w:rPr>
          <w:rFonts w:hint="eastAsia" w:ascii="宋体" w:hAnsi="宋体" w:eastAsia="宋体" w:cs="宋体"/>
          <w:b w:val="0"/>
          <w:color w:val="auto"/>
          <w:sz w:val="36"/>
          <w:szCs w:val="30"/>
        </w:rPr>
        <w:t>第一篇  采购邀请书</w:t>
      </w:r>
      <w:bookmarkEnd w:id="0"/>
      <w:bookmarkEnd w:id="1"/>
      <w:bookmarkEnd w:id="2"/>
    </w:p>
    <w:p>
      <w:pPr>
        <w:pStyle w:val="4"/>
        <w:spacing w:line="360" w:lineRule="auto"/>
        <w:rPr>
          <w:rFonts w:ascii="宋体" w:hAnsi="宋体" w:cs="宋体"/>
          <w:color w:val="auto"/>
          <w:sz w:val="24"/>
          <w:szCs w:val="24"/>
        </w:rPr>
      </w:pPr>
      <w:bookmarkStart w:id="3" w:name="_Toc317775175"/>
      <w:bookmarkStart w:id="4" w:name="_Toc54278969"/>
      <w:bookmarkStart w:id="5" w:name="_Toc313893526"/>
      <w:r>
        <w:rPr>
          <w:rFonts w:hint="eastAsia" w:ascii="宋体" w:hAnsi="宋体" w:cs="宋体"/>
          <w:color w:val="auto"/>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lang w:eastAsia="zh-CN"/>
              </w:rPr>
              <w:t>最高</w:t>
            </w:r>
            <w:r>
              <w:rPr>
                <w:rFonts w:hint="eastAsia" w:ascii="宋体" w:hAnsi="宋体" w:cs="宋体"/>
                <w:b/>
                <w:bCs/>
                <w:color w:val="auto"/>
                <w:kern w:val="0"/>
                <w:sz w:val="21"/>
                <w:szCs w:val="24"/>
              </w:rPr>
              <w:t>限价</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宋体" w:hAnsi="宋体" w:cs="宋体"/>
                <w:color w:val="auto"/>
                <w:sz w:val="24"/>
                <w:szCs w:val="24"/>
              </w:rPr>
            </w:pPr>
            <w:bookmarkStart w:id="6" w:name="_Hlk344477914"/>
            <w:r>
              <w:rPr>
                <w:rFonts w:hint="eastAsia" w:ascii="宋体" w:hAnsi="宋体" w:cs="宋体"/>
                <w:color w:val="auto"/>
                <w:sz w:val="24"/>
                <w:szCs w:val="24"/>
              </w:rPr>
              <w:t>大渡口区实验小学扩建工程</w:t>
            </w:r>
          </w:p>
          <w:p>
            <w:pPr>
              <w:widowControl/>
              <w:spacing w:line="360" w:lineRule="auto"/>
              <w:jc w:val="center"/>
              <w:rPr>
                <w:rFonts w:hint="eastAsia" w:ascii="宋体" w:hAnsi="宋体" w:eastAsia="宋体" w:cs="宋体"/>
                <w:color w:val="auto"/>
                <w:kern w:val="0"/>
                <w:sz w:val="21"/>
                <w:szCs w:val="24"/>
                <w:lang w:eastAsia="zh-CN"/>
              </w:rPr>
            </w:pPr>
            <w:r>
              <w:rPr>
                <w:rFonts w:hint="eastAsia" w:ascii="宋体" w:hAnsi="宋体" w:cs="宋体"/>
                <w:color w:val="auto"/>
                <w:sz w:val="24"/>
                <w:szCs w:val="24"/>
              </w:rPr>
              <w:t>检测服务</w:t>
            </w:r>
            <w:r>
              <w:rPr>
                <w:rFonts w:hint="eastAsia" w:ascii="宋体" w:hAnsi="宋体" w:cs="宋体"/>
                <w:color w:val="auto"/>
                <w:sz w:val="24"/>
                <w:szCs w:val="24"/>
                <w:lang w:eastAsia="zh-CN"/>
              </w:rPr>
              <w:t>（第二次）</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480000元</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建筑业</w:t>
            </w:r>
          </w:p>
        </w:tc>
      </w:tr>
      <w:bookmarkEnd w:id="6"/>
    </w:tbl>
    <w:p>
      <w:pPr>
        <w:pStyle w:val="4"/>
        <w:spacing w:line="360" w:lineRule="auto"/>
        <w:rPr>
          <w:rFonts w:ascii="宋体" w:hAnsi="宋体" w:cs="宋体"/>
          <w:color w:val="auto"/>
          <w:sz w:val="24"/>
          <w:szCs w:val="24"/>
        </w:rPr>
      </w:pPr>
      <w:bookmarkStart w:id="7" w:name="_Toc54278970"/>
      <w:bookmarkStart w:id="8" w:name="_Toc373860293"/>
      <w:bookmarkStart w:id="9" w:name="_Toc317775178"/>
      <w:r>
        <w:rPr>
          <w:rFonts w:hint="eastAsia" w:ascii="宋体" w:hAnsi="宋体" w:cs="宋体"/>
          <w:color w:val="auto"/>
          <w:sz w:val="24"/>
          <w:szCs w:val="24"/>
        </w:rPr>
        <w:t>二、资金来源</w:t>
      </w:r>
      <w:bookmarkEnd w:id="7"/>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自筹资金，采购预算</w:t>
      </w:r>
      <w:r>
        <w:rPr>
          <w:rFonts w:hint="eastAsia" w:ascii="宋体" w:hAnsi="宋体" w:cs="宋体"/>
          <w:color w:val="auto"/>
          <w:sz w:val="24"/>
          <w:szCs w:val="24"/>
          <w:lang w:val="en-US" w:eastAsia="zh-CN"/>
        </w:rPr>
        <w:t>48000</w:t>
      </w:r>
      <w:r>
        <w:rPr>
          <w:rFonts w:hint="eastAsia" w:ascii="宋体" w:hAnsi="宋体" w:cs="宋体"/>
          <w:color w:val="auto"/>
          <w:sz w:val="24"/>
          <w:szCs w:val="24"/>
        </w:rPr>
        <w:t>0元。</w:t>
      </w:r>
    </w:p>
    <w:p>
      <w:pPr>
        <w:pStyle w:val="4"/>
        <w:spacing w:line="360" w:lineRule="auto"/>
        <w:rPr>
          <w:rFonts w:ascii="宋体" w:hAnsi="宋体" w:cs="宋体"/>
          <w:color w:val="auto"/>
          <w:sz w:val="24"/>
          <w:szCs w:val="24"/>
        </w:rPr>
      </w:pPr>
      <w:bookmarkStart w:id="10" w:name="_Toc54278971"/>
      <w:r>
        <w:rPr>
          <w:rFonts w:hint="eastAsia" w:ascii="宋体" w:hAnsi="宋体" w:cs="宋体"/>
          <w:color w:val="auto"/>
          <w:sz w:val="24"/>
          <w:szCs w:val="24"/>
        </w:rPr>
        <w:t>三、供应商资格条件</w:t>
      </w:r>
      <w:bookmarkEnd w:id="1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（一）基本资格条件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1.具有独立承担民事责任的能力；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2.具有良好的商业信誉和健全的财务会计制度；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3.具有履行合同所必需的设备和专业技术能力；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4.有依法缴纳税收和社会保障资金的良好记录；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5.参加政府采购活动前三年内，在经营活动中没有重大违法记录；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6.法律、行政法规规定的其他条件。</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（二）特定资格条件</w:t>
      </w:r>
      <w:bookmarkStart w:id="11" w:name="_Toc54278972"/>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szCs w:val="24"/>
          <w:lang w:val="en-US" w:eastAsia="zh-CN"/>
        </w:rPr>
        <w:t>1</w:t>
      </w:r>
      <w:r>
        <w:rPr>
          <w:rFonts w:hint="eastAsia" w:ascii="宋体" w:hAnsi="宋体" w:eastAsia="宋体" w:cs="宋体"/>
          <w:b w:val="0"/>
          <w:color w:val="auto"/>
          <w:kern w:val="2"/>
          <w:sz w:val="24"/>
          <w:szCs w:val="24"/>
          <w:lang w:val="en-US" w:eastAsia="zh-CN" w:bidi="ar-SA"/>
        </w:rPr>
        <w:t>、投标人须具有省级（直辖市、自治区）及以上建设行政主管部门颁发的建设工程质量检测机构资质证书，检测资质类别须同时包含下列内容：见证取样检测、地基基础工程检测、主体结构工程现场检测、钢结构工程检测、市政道路工程检测、建筑节能检测、室内环境质量检测、建筑门窗检测（提供有效资质证书复印件并加盖投标人公章（鲜章））；</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2、投标人须具有省级（含直辖市或自治区）及以上质量技术监督部门颁发的CMA认证合格证书（提供有效的证书复印件并加盖投标人公章（鲜章））；</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（二）人员要求：</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1、项目负责人1人，为投标人本单位在职人员，须具备工程类高级职称。【须提供拟派项目负责人的身份证、职称证和投标人本单位为其缴纳的202</w:t>
      </w: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年</w:t>
      </w:r>
      <w:r>
        <w:rPr>
          <w:rFonts w:hint="eastAsia" w:ascii="宋体" w:hAnsi="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en-US" w:eastAsia="zh-CN" w:bidi="ar-SA"/>
        </w:rPr>
        <w:t>月-2023年</w:t>
      </w: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月养老保险证明材料复印件</w:t>
      </w:r>
      <w:r>
        <w:rPr>
          <w:rFonts w:hint="eastAsia" w:ascii="宋体" w:hAnsi="宋体" w:cs="宋体"/>
          <w:b w:val="0"/>
          <w:color w:val="auto"/>
          <w:kern w:val="2"/>
          <w:sz w:val="24"/>
          <w:szCs w:val="24"/>
          <w:lang w:val="en-US" w:eastAsia="zh-CN" w:bidi="ar-SA"/>
        </w:rPr>
        <w:t>，并加盖投标人公章</w:t>
      </w:r>
      <w:r>
        <w:rPr>
          <w:rFonts w:hint="eastAsia" w:ascii="宋体" w:hAnsi="宋体" w:eastAsia="宋体" w:cs="宋体"/>
          <w:b w:val="0"/>
          <w:color w:val="auto"/>
          <w:kern w:val="2"/>
          <w:sz w:val="24"/>
          <w:szCs w:val="24"/>
          <w:lang w:val="en-US" w:eastAsia="zh-CN" w:bidi="ar-SA"/>
        </w:rPr>
        <w:t>。】</w:t>
      </w:r>
    </w:p>
    <w:p>
      <w:pPr>
        <w:pStyle w:val="4"/>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2、技术负责人1人，为投标人本单位在职人员，须具备工程类高级职称。</w:t>
      </w:r>
    </w:p>
    <w:p>
      <w:pPr>
        <w:pStyle w:val="4"/>
        <w:spacing w:line="360" w:lineRule="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【须提供拟派技术负责人的身份证、职称证和投标人本单位为其缴纳的202</w:t>
      </w: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年</w:t>
      </w:r>
      <w:r>
        <w:rPr>
          <w:rFonts w:hint="eastAsia" w:ascii="宋体" w:hAnsi="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en-US" w:eastAsia="zh-CN" w:bidi="ar-SA"/>
        </w:rPr>
        <w:t>月-2023年</w:t>
      </w: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月养老保险证明材料复印件</w:t>
      </w:r>
      <w:r>
        <w:rPr>
          <w:rFonts w:hint="eastAsia" w:ascii="宋体" w:hAnsi="宋体" w:cs="宋体"/>
          <w:b w:val="0"/>
          <w:color w:val="auto"/>
          <w:kern w:val="2"/>
          <w:sz w:val="24"/>
          <w:szCs w:val="24"/>
          <w:lang w:val="en-US" w:eastAsia="zh-CN" w:bidi="ar-SA"/>
        </w:rPr>
        <w:t>，并加盖投标人公章</w:t>
      </w:r>
      <w:r>
        <w:rPr>
          <w:rFonts w:hint="eastAsia" w:ascii="宋体" w:hAnsi="宋体" w:eastAsia="宋体" w:cs="宋体"/>
          <w:b w:val="0"/>
          <w:color w:val="auto"/>
          <w:kern w:val="2"/>
          <w:sz w:val="24"/>
          <w:szCs w:val="24"/>
          <w:lang w:val="en-US" w:eastAsia="zh-CN" w:bidi="ar-SA"/>
        </w:rPr>
        <w:t>。】</w:t>
      </w:r>
    </w:p>
    <w:p>
      <w:pPr>
        <w:pStyle w:val="4"/>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3、其他拟派检测人员不少于</w:t>
      </w:r>
      <w:r>
        <w:rPr>
          <w:rFonts w:hint="eastAsia" w:ascii="宋体" w:hAnsi="宋体" w:cs="宋体"/>
          <w:b w:val="0"/>
          <w:color w:val="auto"/>
          <w:kern w:val="2"/>
          <w:sz w:val="24"/>
          <w:szCs w:val="24"/>
          <w:lang w:val="en-US" w:eastAsia="zh-CN" w:bidi="ar-SA"/>
        </w:rPr>
        <w:t>5</w:t>
      </w:r>
      <w:r>
        <w:rPr>
          <w:rFonts w:hint="eastAsia" w:ascii="宋体" w:hAnsi="宋体" w:eastAsia="宋体" w:cs="宋体"/>
          <w:b w:val="0"/>
          <w:color w:val="auto"/>
          <w:kern w:val="2"/>
          <w:sz w:val="24"/>
          <w:szCs w:val="24"/>
          <w:lang w:val="en-US" w:eastAsia="zh-CN" w:bidi="ar-SA"/>
        </w:rPr>
        <w:t>人，为投标人本单位在职人员，均须具备工程类中级及以上职称。</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【须提供以上人员的身份证、职称证和投标人本单位为其缴纳的202</w:t>
      </w: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年</w:t>
      </w:r>
      <w:r>
        <w:rPr>
          <w:rFonts w:hint="eastAsia" w:ascii="宋体" w:hAnsi="宋体" w:cs="宋体"/>
          <w:b w:val="0"/>
          <w:color w:val="auto"/>
          <w:kern w:val="2"/>
          <w:sz w:val="24"/>
          <w:szCs w:val="24"/>
          <w:lang w:val="en-US" w:eastAsia="zh-CN" w:bidi="ar-SA"/>
        </w:rPr>
        <w:t>1</w:t>
      </w:r>
      <w:r>
        <w:rPr>
          <w:rFonts w:hint="eastAsia" w:ascii="宋体" w:hAnsi="宋体" w:eastAsia="宋体" w:cs="宋体"/>
          <w:b w:val="0"/>
          <w:color w:val="auto"/>
          <w:kern w:val="2"/>
          <w:sz w:val="24"/>
          <w:szCs w:val="24"/>
          <w:lang w:val="en-US" w:eastAsia="zh-CN" w:bidi="ar-SA"/>
        </w:rPr>
        <w:t>月-2023年</w:t>
      </w: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月养老保险证明材料复印件</w:t>
      </w:r>
      <w:r>
        <w:rPr>
          <w:rFonts w:hint="eastAsia" w:ascii="宋体" w:hAnsi="宋体" w:cs="宋体"/>
          <w:b w:val="0"/>
          <w:color w:val="auto"/>
          <w:kern w:val="2"/>
          <w:sz w:val="24"/>
          <w:szCs w:val="24"/>
          <w:lang w:val="en-US" w:eastAsia="zh-CN" w:bidi="ar-SA"/>
        </w:rPr>
        <w:t>，并加盖投标人公章</w:t>
      </w:r>
      <w:r>
        <w:rPr>
          <w:rFonts w:hint="eastAsia" w:ascii="宋体" w:hAnsi="宋体" w:eastAsia="宋体" w:cs="宋体"/>
          <w:b w:val="0"/>
          <w:color w:val="auto"/>
          <w:kern w:val="2"/>
          <w:sz w:val="24"/>
          <w:szCs w:val="24"/>
          <w:lang w:val="en-US" w:eastAsia="zh-CN" w:bidi="ar-SA"/>
        </w:rPr>
        <w:t>。】</w:t>
      </w:r>
    </w:p>
    <w:p>
      <w:pPr>
        <w:pStyle w:val="4"/>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（三）业绩要求：</w:t>
      </w:r>
    </w:p>
    <w:p>
      <w:pPr>
        <w:pStyle w:val="4"/>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投标人近三年（2020年1月1日至今，以检测合同签订时间为准）承担过单项合同建筑面积不低于25000平方米的公共建筑工程质量检测业绩不少于1个。</w:t>
      </w:r>
    </w:p>
    <w:p>
      <w:pPr>
        <w:pStyle w:val="4"/>
        <w:spacing w:line="360" w:lineRule="auto"/>
        <w:ind w:firstLine="480" w:firstLineChars="200"/>
        <w:rPr>
          <w:rFonts w:hint="default"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【须提供合同证明材料，并加盖投标人公章。合同证明材料中需能体现建筑规模和建筑类别，不能体现的应提供业主证明（格式自拟），否则为无效业绩。】</w:t>
      </w:r>
    </w:p>
    <w:p>
      <w:pPr>
        <w:pStyle w:val="4"/>
        <w:spacing w:line="360" w:lineRule="auto"/>
        <w:rPr>
          <w:rFonts w:ascii="宋体" w:hAnsi="宋体" w:cs="宋体"/>
          <w:color w:val="auto"/>
          <w:sz w:val="24"/>
          <w:szCs w:val="24"/>
        </w:rPr>
      </w:pPr>
      <w:r>
        <w:rPr>
          <w:rFonts w:hint="eastAsia" w:ascii="宋体" w:hAnsi="宋体" w:cs="宋体"/>
          <w:color w:val="auto"/>
          <w:sz w:val="24"/>
          <w:szCs w:val="24"/>
        </w:rPr>
        <w:t>四、磋商有关说明</w:t>
      </w:r>
      <w:bookmarkEnd w:id="8"/>
      <w:bookmarkEnd w:id="1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b/>
          <w:color w:val="auto"/>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（二）凡有意参加磋商的供应商，请于公告发布之日（202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23</w:t>
      </w:r>
      <w:r>
        <w:rPr>
          <w:rFonts w:hint="eastAsia" w:ascii="宋体" w:hAnsi="宋体" w:cs="宋体"/>
          <w:color w:val="auto"/>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（三）竞争性磋商公告期限：自采购公告发布之日（202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23</w:t>
      </w:r>
      <w:r>
        <w:rPr>
          <w:rFonts w:hint="eastAsia" w:ascii="宋体" w:hAnsi="宋体" w:cs="宋体"/>
          <w:color w:val="auto"/>
          <w:sz w:val="24"/>
          <w:szCs w:val="24"/>
        </w:rPr>
        <w:t>日）起三个工作日。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（四）竞标人须满足以下三种要件，其响应文件才被接受：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1、按磋商文件要求缴纳了竞标保证金；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2、按时递交了响应文件；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3、按时报名签到。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（六）响应文件递交时间：202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27</w:t>
      </w:r>
      <w:r>
        <w:rPr>
          <w:rFonts w:hint="eastAsia" w:ascii="宋体" w:hAnsi="宋体" w:cs="宋体"/>
          <w:color w:val="auto"/>
          <w:sz w:val="24"/>
          <w:szCs w:val="24"/>
        </w:rPr>
        <w:t>日北京时间14：00-14:30</w:t>
      </w:r>
    </w:p>
    <w:p>
      <w:pPr>
        <w:spacing w:line="360" w:lineRule="auto"/>
        <w:ind w:firstLine="1200" w:firstLineChars="500"/>
        <w:rPr>
          <w:rFonts w:ascii="宋体" w:hAnsi="宋体" w:cs="宋体"/>
          <w:color w:val="auto"/>
          <w:sz w:val="24"/>
          <w:szCs w:val="24"/>
        </w:rPr>
      </w:pPr>
      <w:r>
        <w:rPr>
          <w:rFonts w:hint="eastAsia" w:ascii="宋体" w:hAnsi="宋体" w:cs="宋体"/>
          <w:color w:val="auto"/>
          <w:sz w:val="24"/>
          <w:szCs w:val="24"/>
        </w:rPr>
        <w:t>截止时间：202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27</w:t>
      </w:r>
      <w:r>
        <w:rPr>
          <w:rFonts w:hint="eastAsia" w:ascii="宋体" w:hAnsi="宋体" w:cs="宋体"/>
          <w:color w:val="auto"/>
          <w:sz w:val="24"/>
          <w:szCs w:val="24"/>
        </w:rPr>
        <w:t>日北京时间14:30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（七）磋商开始时间：202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4</w:t>
      </w:r>
      <w:r>
        <w:rPr>
          <w:rFonts w:hint="eastAsia" w:ascii="宋体" w:hAnsi="宋体" w:cs="宋体"/>
          <w:color w:val="auto"/>
          <w:sz w:val="24"/>
          <w:szCs w:val="24"/>
        </w:rPr>
        <w:t>月</w:t>
      </w:r>
      <w:r>
        <w:rPr>
          <w:rFonts w:hint="eastAsia" w:ascii="宋体" w:hAnsi="宋体" w:cs="宋体"/>
          <w:color w:val="auto"/>
          <w:sz w:val="24"/>
          <w:szCs w:val="24"/>
          <w:lang w:val="en-US" w:eastAsia="zh-CN"/>
        </w:rPr>
        <w:t>27</w:t>
      </w:r>
      <w:r>
        <w:rPr>
          <w:rFonts w:hint="eastAsia" w:ascii="宋体" w:hAnsi="宋体" w:cs="宋体"/>
          <w:color w:val="auto"/>
          <w:sz w:val="24"/>
          <w:szCs w:val="24"/>
        </w:rPr>
        <w:t>日北京时间14:30</w:t>
      </w:r>
    </w:p>
    <w:p>
      <w:pPr>
        <w:pStyle w:val="4"/>
        <w:spacing w:line="360" w:lineRule="auto"/>
        <w:rPr>
          <w:rFonts w:ascii="宋体" w:hAnsi="宋体" w:cs="宋体"/>
          <w:color w:val="auto"/>
          <w:sz w:val="24"/>
          <w:szCs w:val="24"/>
        </w:rPr>
      </w:pPr>
      <w:bookmarkStart w:id="12" w:name="_Toc373860294"/>
      <w:bookmarkStart w:id="13" w:name="_Toc54278973"/>
      <w:r>
        <w:rPr>
          <w:rFonts w:hint="eastAsia" w:ascii="宋体" w:hAnsi="宋体" w:cs="宋体"/>
          <w:color w:val="auto"/>
          <w:sz w:val="24"/>
          <w:szCs w:val="24"/>
        </w:rPr>
        <w:t>五、磋商保证金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（一）保证金递交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1、竞标保证金交款形式及要求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竞标人从单位</w:t>
      </w:r>
      <w:r>
        <w:rPr>
          <w:rFonts w:hint="eastAsia" w:ascii="宋体" w:hAnsi="宋体" w:cs="宋体"/>
          <w:b/>
          <w:color w:val="auto"/>
          <w:sz w:val="24"/>
          <w:szCs w:val="24"/>
          <w:u w:val="single"/>
        </w:rPr>
        <w:t>基本银行账户</w:t>
      </w:r>
      <w:r>
        <w:rPr>
          <w:rFonts w:hint="eastAsia" w:ascii="宋体" w:hAnsi="宋体" w:cs="宋体"/>
          <w:color w:val="auto"/>
          <w:sz w:val="24"/>
          <w:szCs w:val="24"/>
        </w:rPr>
        <w:t>在</w:t>
      </w:r>
      <w:r>
        <w:rPr>
          <w:rFonts w:hint="eastAsia" w:ascii="宋体" w:hAnsi="宋体" w:cs="宋体"/>
          <w:b/>
          <w:color w:val="auto"/>
          <w:sz w:val="24"/>
          <w:szCs w:val="24"/>
          <w:u w:val="single"/>
        </w:rPr>
        <w:t>202</w:t>
      </w:r>
      <w:r>
        <w:rPr>
          <w:rFonts w:hint="eastAsia" w:ascii="宋体" w:hAnsi="宋体" w:cs="宋体"/>
          <w:b/>
          <w:color w:val="auto"/>
          <w:sz w:val="24"/>
          <w:szCs w:val="24"/>
          <w:u w:val="single"/>
          <w:lang w:val="en-US" w:eastAsia="zh-CN"/>
        </w:rPr>
        <w:t>3</w:t>
      </w:r>
      <w:r>
        <w:rPr>
          <w:rFonts w:hint="eastAsia" w:ascii="宋体" w:hAnsi="宋体" w:cs="宋体"/>
          <w:b/>
          <w:color w:val="auto"/>
          <w:sz w:val="24"/>
          <w:szCs w:val="24"/>
          <w:u w:val="single"/>
        </w:rPr>
        <w:t>年</w:t>
      </w:r>
      <w:r>
        <w:rPr>
          <w:rFonts w:hint="eastAsia" w:ascii="宋体" w:hAnsi="宋体" w:cs="宋体"/>
          <w:b/>
          <w:color w:val="auto"/>
          <w:sz w:val="24"/>
          <w:szCs w:val="24"/>
          <w:u w:val="single"/>
          <w:lang w:val="en-US" w:eastAsia="zh-CN"/>
        </w:rPr>
        <w:t>4</w:t>
      </w:r>
      <w:r>
        <w:rPr>
          <w:rFonts w:hint="eastAsia" w:ascii="宋体" w:hAnsi="宋体" w:cs="宋体"/>
          <w:b/>
          <w:color w:val="auto"/>
          <w:sz w:val="24"/>
          <w:szCs w:val="24"/>
          <w:u w:val="single"/>
        </w:rPr>
        <w:t>月</w:t>
      </w:r>
      <w:r>
        <w:rPr>
          <w:rFonts w:hint="eastAsia" w:ascii="宋体" w:hAnsi="宋体" w:cs="宋体"/>
          <w:b/>
          <w:color w:val="auto"/>
          <w:sz w:val="24"/>
          <w:szCs w:val="24"/>
          <w:u w:val="single"/>
          <w:lang w:val="en-US" w:eastAsia="zh-CN"/>
        </w:rPr>
        <w:t>26</w:t>
      </w:r>
      <w:r>
        <w:rPr>
          <w:rFonts w:hint="eastAsia" w:ascii="宋体" w:hAnsi="宋体" w:cs="宋体"/>
          <w:b/>
          <w:color w:val="auto"/>
          <w:sz w:val="24"/>
          <w:szCs w:val="24"/>
          <w:u w:val="single"/>
        </w:rPr>
        <w:t>日</w:t>
      </w:r>
      <w:r>
        <w:rPr>
          <w:rFonts w:hint="eastAsia" w:ascii="宋体" w:hAnsi="宋体" w:cs="宋体"/>
          <w:b/>
          <w:color w:val="auto"/>
          <w:sz w:val="24"/>
          <w:szCs w:val="24"/>
          <w:u w:val="single"/>
          <w:lang w:val="en-US" w:eastAsia="zh-CN"/>
        </w:rPr>
        <w:t>17</w:t>
      </w:r>
      <w:r>
        <w:rPr>
          <w:rFonts w:hint="eastAsia" w:ascii="宋体" w:hAnsi="宋体" w:cs="宋体"/>
          <w:b/>
          <w:color w:val="auto"/>
          <w:sz w:val="24"/>
          <w:szCs w:val="24"/>
          <w:u w:val="single"/>
        </w:rPr>
        <w:t>时00分（北京时间）前</w:t>
      </w:r>
      <w:r>
        <w:rPr>
          <w:rFonts w:hint="eastAsia" w:ascii="宋体" w:hAnsi="宋体" w:cs="宋体"/>
          <w:color w:val="auto"/>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u w:val="single"/>
        </w:rPr>
      </w:pPr>
      <w:r>
        <w:rPr>
          <w:rFonts w:hint="eastAsia" w:ascii="宋体" w:hAnsi="宋体" w:cs="宋体"/>
          <w:color w:val="auto"/>
          <w:sz w:val="24"/>
          <w:szCs w:val="24"/>
        </w:rPr>
        <w:t>2、</w:t>
      </w:r>
      <w:r>
        <w:rPr>
          <w:rFonts w:hint="eastAsia" w:ascii="宋体" w:hAnsi="宋体" w:cs="宋体"/>
          <w:b/>
          <w:color w:val="auto"/>
          <w:sz w:val="24"/>
          <w:szCs w:val="24"/>
          <w:u w:val="single"/>
        </w:rPr>
        <w:t>竞标保证金的金额：人民币</w:t>
      </w:r>
      <w:r>
        <w:rPr>
          <w:rFonts w:hint="eastAsia" w:ascii="宋体" w:hAnsi="宋体" w:cs="宋体"/>
          <w:b/>
          <w:color w:val="auto"/>
          <w:sz w:val="24"/>
          <w:szCs w:val="24"/>
          <w:u w:val="single"/>
          <w:lang w:val="en-US" w:eastAsia="zh-CN"/>
        </w:rPr>
        <w:t>95</w:t>
      </w:r>
      <w:r>
        <w:rPr>
          <w:rFonts w:hint="eastAsia" w:ascii="宋体" w:hAnsi="宋体" w:cs="宋体"/>
          <w:b/>
          <w:color w:val="auto"/>
          <w:sz w:val="24"/>
          <w:szCs w:val="24"/>
          <w:u w:val="single"/>
        </w:rPr>
        <w:t>00元（大写：</w:t>
      </w:r>
      <w:r>
        <w:rPr>
          <w:rFonts w:hint="eastAsia" w:ascii="宋体" w:hAnsi="宋体" w:cs="宋体"/>
          <w:b/>
          <w:color w:val="auto"/>
          <w:sz w:val="24"/>
          <w:szCs w:val="24"/>
          <w:u w:val="single"/>
          <w:lang w:eastAsia="zh-CN"/>
        </w:rPr>
        <w:t>玖</w:t>
      </w:r>
      <w:r>
        <w:rPr>
          <w:rFonts w:hint="eastAsia" w:ascii="宋体" w:hAnsi="宋体" w:cs="宋体"/>
          <w:b/>
          <w:color w:val="auto"/>
          <w:sz w:val="24"/>
          <w:szCs w:val="24"/>
          <w:u w:val="single"/>
        </w:rPr>
        <w:t>仟</w:t>
      </w:r>
      <w:r>
        <w:rPr>
          <w:rFonts w:hint="eastAsia" w:ascii="宋体" w:hAnsi="宋体" w:cs="宋体"/>
          <w:b/>
          <w:color w:val="auto"/>
          <w:sz w:val="24"/>
          <w:szCs w:val="24"/>
          <w:u w:val="single"/>
          <w:lang w:eastAsia="zh-CN"/>
        </w:rPr>
        <w:t>伍佰</w:t>
      </w:r>
      <w:r>
        <w:rPr>
          <w:rFonts w:hint="eastAsia" w:ascii="宋体" w:hAnsi="宋体" w:cs="宋体"/>
          <w:b/>
          <w:color w:val="auto"/>
          <w:sz w:val="24"/>
          <w:szCs w:val="24"/>
          <w:u w:val="single"/>
        </w:rPr>
        <w:t>元整）。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3、竞标保证金有效期等同竞标有效期。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4、未在指定时间内到账的竞标保证金为无效竞标保证金，当场退还其响应文件。</w:t>
      </w:r>
    </w:p>
    <w:p>
      <w:pPr>
        <w:spacing w:line="360" w:lineRule="auto"/>
        <w:ind w:firstLine="480" w:firstLineChars="200"/>
        <w:rPr>
          <w:color w:val="auto"/>
        </w:rPr>
      </w:pPr>
      <w:r>
        <w:rPr>
          <w:rFonts w:hint="eastAsia" w:ascii="宋体" w:hAnsi="宋体" w:cs="宋体"/>
          <w:color w:val="auto"/>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（二）保证金退还方式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保证金联系人：李老师；      咨询电话：023-68955002</w:t>
      </w:r>
    </w:p>
    <w:p>
      <w:pPr>
        <w:pStyle w:val="4"/>
        <w:spacing w:line="360" w:lineRule="auto"/>
        <w:rPr>
          <w:rFonts w:ascii="宋体" w:hAnsi="宋体" w:cs="宋体"/>
          <w:color w:val="auto"/>
          <w:sz w:val="24"/>
          <w:szCs w:val="24"/>
        </w:rPr>
      </w:pPr>
      <w:r>
        <w:rPr>
          <w:rFonts w:hint="eastAsia" w:ascii="宋体" w:hAnsi="宋体" w:cs="宋体"/>
          <w:color w:val="auto"/>
          <w:sz w:val="24"/>
          <w:szCs w:val="24"/>
        </w:rPr>
        <w:t>六、履约保证金</w:t>
      </w:r>
    </w:p>
    <w:p>
      <w:pPr>
        <w:spacing w:line="360" w:lineRule="auto"/>
        <w:ind w:firstLine="354" w:firstLineChars="147"/>
        <w:rPr>
          <w:rFonts w:ascii="宋体" w:hAnsi="宋体" w:cs="宋体"/>
          <w:b/>
          <w:color w:val="auto"/>
          <w:sz w:val="24"/>
          <w:szCs w:val="24"/>
        </w:rPr>
      </w:pPr>
      <w:r>
        <w:rPr>
          <w:rFonts w:hint="eastAsia" w:ascii="宋体" w:hAnsi="宋体" w:cs="宋体"/>
          <w:b/>
          <w:color w:val="auto"/>
          <w:sz w:val="24"/>
          <w:szCs w:val="24"/>
        </w:rPr>
        <w:t>履约保证金金额为：项目成交金额的10%。</w:t>
      </w:r>
    </w:p>
    <w:p>
      <w:pPr>
        <w:pStyle w:val="4"/>
        <w:spacing w:line="360" w:lineRule="auto"/>
        <w:ind w:firstLine="480" w:firstLineChars="200"/>
        <w:rPr>
          <w:rFonts w:hint="eastAsia" w:ascii="宋体" w:hAnsi="宋体" w:cs="宋体"/>
          <w:b w:val="0"/>
          <w:color w:val="auto"/>
          <w:sz w:val="24"/>
          <w:szCs w:val="24"/>
        </w:rPr>
      </w:pPr>
      <w:r>
        <w:rPr>
          <w:rFonts w:hint="eastAsia" w:ascii="宋体" w:hAnsi="宋体" w:cs="宋体"/>
          <w:b w:val="0"/>
          <w:color w:val="auto"/>
          <w:sz w:val="24"/>
          <w:szCs w:val="24"/>
        </w:rPr>
        <w:t>账户信息：成交人应当在</w:t>
      </w:r>
      <w:r>
        <w:rPr>
          <w:rFonts w:hint="eastAsia" w:ascii="宋体" w:hAnsi="宋体" w:cs="宋体"/>
          <w:b w:val="0"/>
          <w:color w:val="auto"/>
          <w:sz w:val="24"/>
          <w:szCs w:val="24"/>
          <w:lang w:eastAsia="zh-CN"/>
        </w:rPr>
        <w:t>领取成交通知书后</w:t>
      </w:r>
      <w:r>
        <w:rPr>
          <w:rFonts w:hint="eastAsia" w:ascii="宋体" w:hAnsi="宋体" w:cs="宋体"/>
          <w:b w:val="0"/>
          <w:color w:val="auto"/>
          <w:sz w:val="24"/>
          <w:szCs w:val="24"/>
          <w:lang w:val="en-US" w:eastAsia="zh-CN"/>
        </w:rPr>
        <w:t>15个工作日内且合同签订之前</w:t>
      </w:r>
      <w:r>
        <w:rPr>
          <w:rFonts w:hint="eastAsia" w:ascii="宋体" w:hAnsi="宋体" w:cs="宋体"/>
          <w:b w:val="0"/>
          <w:color w:val="auto"/>
          <w:sz w:val="24"/>
          <w:szCs w:val="24"/>
        </w:rPr>
        <w:t>（到账时间以重庆建桥实业发展有限公司开具收据为准）将履约担保汇入下列帐户：</w:t>
      </w:r>
    </w:p>
    <w:p>
      <w:pPr>
        <w:pStyle w:val="4"/>
        <w:spacing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开户行：交通银行大渡口支行</w:t>
      </w:r>
    </w:p>
    <w:p>
      <w:pPr>
        <w:pStyle w:val="4"/>
        <w:spacing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帐  号：500103011018001201702。</w:t>
      </w:r>
    </w:p>
    <w:p>
      <w:pPr>
        <w:pStyle w:val="4"/>
        <w:spacing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帐户名称：重庆建桥实业发展有限公司</w:t>
      </w:r>
    </w:p>
    <w:p>
      <w:pPr>
        <w:pStyle w:val="4"/>
        <w:spacing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退还时间：</w:t>
      </w:r>
      <w:r>
        <w:rPr>
          <w:rFonts w:hint="eastAsia" w:ascii="宋体" w:hAnsi="宋体" w:cs="宋体"/>
          <w:b w:val="0"/>
          <w:color w:val="auto"/>
          <w:sz w:val="24"/>
          <w:szCs w:val="24"/>
          <w:lang w:eastAsia="zh-CN"/>
        </w:rPr>
        <w:t>项目服务期满后</w:t>
      </w:r>
      <w:r>
        <w:rPr>
          <w:rFonts w:hint="eastAsia" w:ascii="宋体" w:hAnsi="宋体" w:cs="宋体"/>
          <w:b w:val="0"/>
          <w:color w:val="auto"/>
          <w:sz w:val="24"/>
          <w:szCs w:val="24"/>
        </w:rPr>
        <w:t>30日内返还履约保证金的100%（不计息）。</w:t>
      </w:r>
    </w:p>
    <w:p>
      <w:pPr>
        <w:pStyle w:val="4"/>
        <w:spacing w:line="360" w:lineRule="auto"/>
        <w:rPr>
          <w:rFonts w:ascii="宋体" w:hAnsi="宋体" w:cs="宋体"/>
          <w:color w:val="auto"/>
          <w:sz w:val="24"/>
          <w:szCs w:val="24"/>
        </w:rPr>
      </w:pPr>
      <w:r>
        <w:rPr>
          <w:rFonts w:hint="eastAsia" w:ascii="宋体" w:hAnsi="宋体" w:cs="宋体"/>
          <w:color w:val="auto"/>
          <w:sz w:val="24"/>
          <w:szCs w:val="24"/>
        </w:rPr>
        <w:t>七、</w:t>
      </w:r>
      <w:bookmarkEnd w:id="9"/>
      <w:bookmarkEnd w:id="12"/>
      <w:bookmarkStart w:id="14" w:name="_Toc480466698"/>
      <w:bookmarkStart w:id="15" w:name="_Toc479668114"/>
      <w:r>
        <w:rPr>
          <w:rFonts w:hint="eastAsia" w:ascii="宋体" w:hAnsi="宋体" w:cs="宋体"/>
          <w:color w:val="auto"/>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（四）按照《三部门联合发布关于促进残疾人就业政府采购政策的通知》（财库〔2017〕 141号）的规定，落实支持残疾人福利性单位发展政策。</w:t>
      </w:r>
    </w:p>
    <w:p>
      <w:pPr>
        <w:pStyle w:val="4"/>
        <w:spacing w:line="360" w:lineRule="auto"/>
        <w:rPr>
          <w:rFonts w:ascii="宋体" w:hAnsi="宋体" w:cs="宋体"/>
          <w:color w:val="auto"/>
          <w:sz w:val="24"/>
          <w:szCs w:val="24"/>
        </w:rPr>
      </w:pPr>
      <w:bookmarkStart w:id="16" w:name="_Toc54278974"/>
      <w:bookmarkStart w:id="17" w:name="_Toc480466699"/>
      <w:r>
        <w:rPr>
          <w:rFonts w:hint="eastAsia" w:ascii="宋体" w:hAnsi="宋体" w:cs="宋体"/>
          <w:color w:val="auto"/>
          <w:sz w:val="24"/>
          <w:szCs w:val="24"/>
        </w:rPr>
        <w:t>八、其它有关规定</w:t>
      </w:r>
      <w:bookmarkEnd w:id="16"/>
      <w:bookmarkEnd w:id="17"/>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（四）超过响应文件截止时间递交的响应文件，恕不接收。</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（六）</w:t>
      </w:r>
      <w:r>
        <w:rPr>
          <w:rFonts w:hint="eastAsia" w:ascii="宋体" w:hAnsi="宋体" w:cs="宋体"/>
          <w:b/>
          <w:color w:val="auto"/>
          <w:sz w:val="24"/>
          <w:szCs w:val="24"/>
        </w:rPr>
        <w:t>本项目不接受联合体参与磋商。</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（七）</w:t>
      </w:r>
      <w:bookmarkStart w:id="18" w:name="_Toc480466700"/>
      <w:r>
        <w:rPr>
          <w:rFonts w:hint="eastAsia" w:ascii="宋体" w:hAnsi="宋体" w:cs="宋体"/>
          <w:color w:val="auto"/>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line="360" w:lineRule="auto"/>
        <w:rPr>
          <w:rFonts w:ascii="宋体" w:hAnsi="宋体" w:cs="宋体"/>
          <w:color w:val="auto"/>
          <w:sz w:val="24"/>
          <w:szCs w:val="24"/>
        </w:rPr>
      </w:pPr>
      <w:bookmarkStart w:id="19" w:name="_Toc54278975"/>
      <w:r>
        <w:rPr>
          <w:rFonts w:hint="eastAsia" w:ascii="宋体" w:hAnsi="宋体" w:cs="宋体"/>
          <w:color w:val="auto"/>
          <w:sz w:val="24"/>
          <w:szCs w:val="24"/>
        </w:rPr>
        <w:t>九、联系方式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采购人：</w:t>
      </w:r>
      <w:r>
        <w:rPr>
          <w:rFonts w:hint="eastAsia" w:ascii="宋体" w:hAnsi="宋体" w:cs="宋体"/>
          <w:color w:val="auto"/>
          <w:sz w:val="24"/>
          <w:szCs w:val="24"/>
          <w:highlight w:val="none"/>
          <w:lang w:eastAsia="zh-CN"/>
        </w:rPr>
        <w:t>重庆市大渡口区教育委员会</w:t>
      </w:r>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lang w:eastAsia="zh-CN"/>
        </w:rPr>
        <w:t>代建业主：</w:t>
      </w:r>
      <w:r>
        <w:rPr>
          <w:rFonts w:hint="eastAsia" w:ascii="宋体" w:hAnsi="宋体" w:cs="宋体"/>
          <w:color w:val="auto"/>
          <w:sz w:val="24"/>
          <w:szCs w:val="24"/>
          <w:highlight w:val="none"/>
        </w:rPr>
        <w:t xml:space="preserve">重庆建桥实业发展有限公司 </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联系人：李老师</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36"/>
          <w:szCs w:val="30"/>
        </w:rPr>
      </w:pPr>
      <w:r>
        <w:rPr>
          <w:rFonts w:hint="eastAsia" w:ascii="宋体" w:hAnsi="宋体" w:cs="宋体"/>
          <w:color w:val="auto"/>
          <w:sz w:val="24"/>
          <w:szCs w:val="24"/>
          <w:highlight w:val="none"/>
        </w:rPr>
        <w:t>地  址：重庆市大渡口区田西路中冶熙城商街1号楼1楼</w:t>
      </w:r>
    </w:p>
    <w:p>
      <w:pPr>
        <w:rPr>
          <w:color w:val="auto"/>
        </w:rPr>
      </w:pPr>
    </w:p>
    <w:p>
      <w:pPr>
        <w:pStyle w:val="3"/>
        <w:spacing w:line="360" w:lineRule="auto"/>
        <w:jc w:val="center"/>
        <w:rPr>
          <w:rFonts w:ascii="宋体" w:hAnsi="宋体" w:eastAsia="宋体" w:cs="宋体"/>
          <w:b w:val="0"/>
          <w:color w:val="auto"/>
          <w:sz w:val="30"/>
          <w:szCs w:val="30"/>
        </w:rPr>
      </w:pPr>
      <w:r>
        <w:rPr>
          <w:rFonts w:hint="eastAsia" w:ascii="宋体" w:hAnsi="宋体" w:eastAsia="宋体" w:cs="宋体"/>
          <w:b w:val="0"/>
          <w:color w:val="auto"/>
          <w:sz w:val="36"/>
          <w:szCs w:val="30"/>
        </w:rPr>
        <w:t>第二篇  项目服务需求</w:t>
      </w:r>
      <w:bookmarkEnd w:id="2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color w:val="auto"/>
          <w:sz w:val="24"/>
          <w:szCs w:val="24"/>
        </w:rPr>
      </w:pPr>
      <w:bookmarkStart w:id="21" w:name="_Toc12789058"/>
      <w:r>
        <w:rPr>
          <w:rFonts w:hint="eastAsia" w:ascii="宋体" w:hAnsi="宋体" w:cs="宋体"/>
          <w:b/>
          <w:bCs/>
          <w:color w:val="auto"/>
          <w:sz w:val="24"/>
          <w:szCs w:val="24"/>
        </w:rPr>
        <w:t>1.建设地点：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重庆市大渡口区。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b/>
          <w:bCs/>
          <w:color w:val="auto"/>
          <w:sz w:val="24"/>
          <w:szCs w:val="24"/>
        </w:rPr>
        <w:t>建设规模：</w:t>
      </w:r>
      <w:bookmarkStart w:id="22" w:name="_Toc54278984"/>
    </w:p>
    <w:p>
      <w:pPr>
        <w:pStyle w:val="2"/>
        <w:keepNext w:val="0"/>
        <w:keepLines w:val="0"/>
        <w:pageBreakBefore w:val="0"/>
        <w:widowControl w:val="0"/>
        <w:numPr>
          <w:ilvl w:val="0"/>
          <w:numId w:val="0"/>
        </w:numPr>
        <w:kinsoku/>
        <w:wordWrap/>
        <w:overflowPunct/>
        <w:topLinePunct w:val="0"/>
        <w:autoSpaceDE/>
        <w:autoSpaceDN/>
        <w:bidi w:val="0"/>
        <w:adjustRightInd/>
        <w:snapToGrid/>
        <w:spacing w:before="120" w:after="120" w:line="360" w:lineRule="auto"/>
        <w:ind w:firstLine="480" w:firstLineChars="200"/>
        <w:jc w:val="left"/>
        <w:textAlignment w:val="auto"/>
        <w:rPr>
          <w:rFonts w:hint="eastAsia" w:ascii="宋体" w:hAnsi="宋体" w:eastAsia="宋体" w:cs="宋体"/>
          <w:caps w:val="0"/>
          <w:color w:val="auto"/>
          <w:kern w:val="2"/>
          <w:sz w:val="24"/>
          <w:szCs w:val="24"/>
          <w:lang w:val="en-US" w:eastAsia="zh-CN" w:bidi="ar-SA"/>
        </w:rPr>
      </w:pPr>
      <w:r>
        <w:rPr>
          <w:rFonts w:hint="eastAsia" w:ascii="宋体" w:hAnsi="宋体" w:eastAsia="宋体" w:cs="宋体"/>
          <w:caps w:val="0"/>
          <w:color w:val="auto"/>
          <w:kern w:val="2"/>
          <w:sz w:val="24"/>
          <w:szCs w:val="24"/>
          <w:lang w:val="en-US" w:eastAsia="zh-CN" w:bidi="ar-SA"/>
        </w:rPr>
        <w:t>大渡口区实验小学扩建工程项目总占地面积约25400.00㎡，总建筑面积约为34906.40㎡，其中教学楼及附属用房约30572.20㎡、车库及活动用房约4334.20㎡。总图附属工程包含土石方工程58110.81m³、防护挡墙工程3347.47m³、环境铺装及运动场12771.03㎡、室外道路1252.88㎡、绿化工程2661.06㎡、新建围墙1262.6m、建筑物拆除6497㎡、外立面改造2100㎡。项目建成后拟形成48个教学班、2160人办学规模。建设内容包括土建工程、安装工程、装饰装修工程、设施设备工程及总图附属工程（含土石方、挡墙、环境铺装及运动场、室外道路、绿化、围墙建筑物拆除、外立面改造等）。</w:t>
      </w: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pStyle w:val="3"/>
        <w:spacing w:line="360" w:lineRule="auto"/>
        <w:jc w:val="center"/>
        <w:rPr>
          <w:rFonts w:hint="eastAsia" w:ascii="宋体" w:hAnsi="宋体" w:eastAsia="宋体" w:cs="宋体"/>
          <w:b w:val="0"/>
          <w:color w:val="auto"/>
          <w:kern w:val="2"/>
          <w:sz w:val="24"/>
          <w:szCs w:val="24"/>
          <w:lang w:val="en-US" w:eastAsia="zh-CN" w:bidi="ar-SA"/>
        </w:rPr>
      </w:pPr>
    </w:p>
    <w:p>
      <w:pPr>
        <w:pStyle w:val="3"/>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 xml:space="preserve">第三篇  </w:t>
      </w:r>
      <w:bookmarkEnd w:id="21"/>
      <w:r>
        <w:rPr>
          <w:rFonts w:hint="eastAsia" w:ascii="宋体" w:hAnsi="宋体" w:eastAsia="宋体" w:cs="宋体"/>
          <w:b w:val="0"/>
          <w:color w:val="auto"/>
          <w:sz w:val="36"/>
          <w:szCs w:val="30"/>
        </w:rPr>
        <w:t>项目商务需求</w:t>
      </w:r>
      <w:bookmarkEnd w:id="22"/>
    </w:p>
    <w:p>
      <w:pPr>
        <w:pStyle w:val="4"/>
        <w:spacing w:line="440" w:lineRule="exact"/>
        <w:rPr>
          <w:rFonts w:ascii="宋体" w:hAnsi="宋体" w:cs="宋体"/>
          <w:color w:val="auto"/>
          <w:sz w:val="24"/>
          <w:szCs w:val="24"/>
        </w:rPr>
      </w:pPr>
      <w:bookmarkStart w:id="23" w:name="_Toc54278985"/>
      <w:bookmarkStart w:id="24" w:name="_Toc344475120"/>
      <w:r>
        <w:rPr>
          <w:rFonts w:hint="eastAsia" w:ascii="宋体" w:hAnsi="宋体" w:cs="宋体"/>
          <w:color w:val="auto"/>
          <w:sz w:val="24"/>
          <w:szCs w:val="24"/>
        </w:rPr>
        <w:t>一、服务期、</w:t>
      </w:r>
      <w:r>
        <w:rPr>
          <w:rFonts w:hint="eastAsia" w:ascii="宋体" w:hAnsi="宋体" w:cs="宋体"/>
          <w:color w:val="auto"/>
          <w:sz w:val="24"/>
          <w:szCs w:val="24"/>
          <w:lang w:eastAsia="zh-CN"/>
        </w:rPr>
        <w:t>服务内容、</w:t>
      </w:r>
      <w:r>
        <w:rPr>
          <w:rFonts w:hint="eastAsia" w:ascii="宋体" w:hAnsi="宋体" w:cs="宋体"/>
          <w:color w:val="auto"/>
          <w:sz w:val="24"/>
          <w:szCs w:val="24"/>
        </w:rPr>
        <w:t>地点及验收方式</w:t>
      </w:r>
      <w:bookmarkEnd w:id="23"/>
      <w:bookmarkEnd w:id="24"/>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（一）服务期：暂定1080日历天。本项目工作服务期限以甲方下达的开工通知书为准，依据施工进度按相关要求完成质量检测工作。</w:t>
      </w:r>
    </w:p>
    <w:p>
      <w:pPr>
        <w:spacing w:line="540" w:lineRule="exact"/>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服务内容：本次采购包含见证取样检测、地基基础工程检测、主体结构工程现场检测、建筑门窗检测、室内环境质量、建筑节能检测、建筑智能检测、市政道路工程检测、消防设施检测、防雷检测等达到工程竣工验收备案所须的所有检测。</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）服务地点：采购人指定地点。</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四</w:t>
      </w:r>
      <w:r>
        <w:rPr>
          <w:rFonts w:hint="eastAsia" w:ascii="宋体" w:hAnsi="宋体" w:cs="宋体"/>
          <w:color w:val="auto"/>
          <w:sz w:val="24"/>
          <w:szCs w:val="24"/>
        </w:rPr>
        <w:t>）验收方式及标准</w:t>
      </w:r>
      <w:bookmarkStart w:id="25" w:name="_Toc344475121"/>
      <w:bookmarkStart w:id="26" w:name="_Toc5427898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1、由采购人自行验收；</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2、竞标人提供的服务未达到竞争性磋商文件规定要求，且对采购人造成损失的，由竞标人承担一切责任，并赔偿所造成的损失。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3、达到国家现行有关施工质量验收规范要求，并达到合格标准，设计文件应满足国家、行业、地区有关规定及设计标准、规范、规程、定额和办法等的要求及行业设计深度规定要求，满足招标人要求。</w:t>
      </w:r>
    </w:p>
    <w:p>
      <w:pPr>
        <w:pStyle w:val="4"/>
        <w:spacing w:line="400" w:lineRule="exact"/>
        <w:rPr>
          <w:rFonts w:ascii="宋体" w:hAnsi="宋体" w:cs="宋体"/>
          <w:color w:val="auto"/>
          <w:sz w:val="24"/>
          <w:szCs w:val="24"/>
        </w:rPr>
      </w:pPr>
      <w:r>
        <w:rPr>
          <w:rFonts w:hint="eastAsia" w:ascii="宋体" w:hAnsi="宋体" w:cs="宋体"/>
          <w:color w:val="auto"/>
          <w:sz w:val="24"/>
          <w:szCs w:val="24"/>
        </w:rPr>
        <w:t>二、</w:t>
      </w:r>
      <w:bookmarkEnd w:id="25"/>
      <w:r>
        <w:rPr>
          <w:rFonts w:hint="eastAsia" w:ascii="宋体" w:hAnsi="宋体" w:cs="宋体"/>
          <w:color w:val="auto"/>
          <w:sz w:val="24"/>
          <w:szCs w:val="24"/>
        </w:rPr>
        <w:t>报价要求</w:t>
      </w:r>
      <w:bookmarkEnd w:id="2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（一）最高限价</w:t>
      </w:r>
    </w:p>
    <w:p>
      <w:pPr>
        <w:spacing w:line="540" w:lineRule="exact"/>
        <w:ind w:firstLine="480" w:firstLineChars="200"/>
        <w:jc w:val="left"/>
        <w:rPr>
          <w:rFonts w:hint="eastAsia" w:ascii="宋体" w:hAnsi="宋体" w:cs="宋体"/>
          <w:color w:val="auto"/>
          <w:sz w:val="24"/>
          <w:szCs w:val="24"/>
          <w:lang w:eastAsia="zh-CN"/>
        </w:rPr>
      </w:pPr>
      <w:bookmarkStart w:id="27" w:name="_Toc54278994"/>
      <w:r>
        <w:rPr>
          <w:rFonts w:hint="eastAsia" w:ascii="宋体" w:hAnsi="宋体" w:cs="宋体"/>
          <w:color w:val="auto"/>
          <w:sz w:val="24"/>
          <w:szCs w:val="24"/>
        </w:rPr>
        <w:t>本项目</w:t>
      </w:r>
      <w:r>
        <w:rPr>
          <w:rFonts w:hint="eastAsia" w:ascii="宋体" w:hAnsi="宋体" w:cs="宋体"/>
          <w:color w:val="auto"/>
          <w:sz w:val="24"/>
          <w:szCs w:val="24"/>
          <w:lang w:eastAsia="zh-CN"/>
        </w:rPr>
        <w:t>采用总价报价，该费用包含但不限于完成本项目所需的人工、材料、机械、风险、利润、税金等一切费用。</w:t>
      </w:r>
    </w:p>
    <w:p>
      <w:pPr>
        <w:spacing w:line="400" w:lineRule="exact"/>
        <w:rPr>
          <w:rFonts w:ascii="宋体" w:hAnsi="宋体" w:cs="宋体"/>
          <w:b/>
          <w:color w:val="auto"/>
          <w:sz w:val="24"/>
          <w:szCs w:val="24"/>
        </w:rPr>
      </w:pPr>
      <w:r>
        <w:rPr>
          <w:rFonts w:hint="eastAsia" w:ascii="宋体" w:hAnsi="宋体" w:cs="宋体"/>
          <w:b/>
          <w:color w:val="auto"/>
          <w:sz w:val="24"/>
          <w:szCs w:val="24"/>
        </w:rPr>
        <w:t>三、结算原则</w:t>
      </w:r>
    </w:p>
    <w:p>
      <w:pPr>
        <w:spacing w:line="540" w:lineRule="exact"/>
        <w:ind w:firstLine="720" w:firstLineChars="300"/>
        <w:jc w:val="left"/>
        <w:rPr>
          <w:rFonts w:hint="eastAsia" w:ascii="宋体" w:hAnsi="宋体" w:cs="宋体"/>
          <w:color w:val="auto"/>
          <w:sz w:val="24"/>
          <w:szCs w:val="24"/>
        </w:rPr>
      </w:pPr>
      <w:r>
        <w:rPr>
          <w:rFonts w:hint="eastAsia" w:ascii="宋体" w:hAnsi="宋体" w:cs="宋体"/>
          <w:color w:val="auto"/>
          <w:sz w:val="24"/>
          <w:szCs w:val="24"/>
        </w:rPr>
        <w:t>合同结算金额=合同暂定金额-违约金</w:t>
      </w:r>
    </w:p>
    <w:p>
      <w:pPr>
        <w:spacing w:line="400" w:lineRule="exact"/>
        <w:rPr>
          <w:rFonts w:ascii="宋体" w:hAnsi="宋体" w:cs="宋体"/>
          <w:b/>
          <w:color w:val="auto"/>
          <w:sz w:val="24"/>
          <w:szCs w:val="24"/>
        </w:rPr>
      </w:pPr>
      <w:r>
        <w:rPr>
          <w:rFonts w:hint="eastAsia" w:ascii="宋体" w:hAnsi="宋体" w:cs="宋体"/>
          <w:b/>
          <w:color w:val="auto"/>
          <w:sz w:val="24"/>
          <w:szCs w:val="24"/>
        </w:rPr>
        <w:t>四、付款方式</w:t>
      </w:r>
    </w:p>
    <w:p>
      <w:pPr>
        <w:spacing w:line="540" w:lineRule="exact"/>
        <w:ind w:firstLine="720" w:firstLineChars="300"/>
        <w:jc w:val="left"/>
        <w:rPr>
          <w:rFonts w:hint="eastAsia" w:ascii="宋体" w:hAnsi="宋体" w:cs="宋体"/>
          <w:color w:val="auto"/>
          <w:sz w:val="24"/>
          <w:szCs w:val="24"/>
        </w:rPr>
      </w:pPr>
      <w:r>
        <w:rPr>
          <w:rFonts w:hint="eastAsia" w:ascii="宋体" w:hAnsi="宋体" w:cs="宋体"/>
          <w:color w:val="auto"/>
          <w:sz w:val="24"/>
          <w:szCs w:val="24"/>
        </w:rPr>
        <w:t>1.一期工程地基基础验收合格后30日内，支付合同金额的10%；</w:t>
      </w:r>
    </w:p>
    <w:p>
      <w:pPr>
        <w:spacing w:line="540" w:lineRule="exact"/>
        <w:ind w:firstLine="720" w:firstLineChars="300"/>
        <w:jc w:val="left"/>
        <w:rPr>
          <w:rFonts w:hint="eastAsia" w:ascii="宋体" w:hAnsi="宋体" w:cs="宋体"/>
          <w:color w:val="auto"/>
          <w:sz w:val="24"/>
          <w:szCs w:val="24"/>
        </w:rPr>
      </w:pPr>
      <w:r>
        <w:rPr>
          <w:rFonts w:hint="eastAsia" w:ascii="宋体" w:hAnsi="宋体" w:cs="宋体"/>
          <w:color w:val="auto"/>
          <w:sz w:val="24"/>
          <w:szCs w:val="24"/>
        </w:rPr>
        <w:t>2.一期工程主体结构验收合格后30日内，支付合同金额的20%；</w:t>
      </w:r>
    </w:p>
    <w:p>
      <w:pPr>
        <w:spacing w:line="540" w:lineRule="exact"/>
        <w:ind w:firstLine="720" w:firstLineChars="300"/>
        <w:jc w:val="left"/>
        <w:rPr>
          <w:rFonts w:hint="eastAsia" w:ascii="宋体" w:hAnsi="宋体" w:cs="宋体"/>
          <w:color w:val="auto"/>
          <w:sz w:val="24"/>
          <w:szCs w:val="24"/>
        </w:rPr>
      </w:pPr>
      <w:r>
        <w:rPr>
          <w:rFonts w:hint="eastAsia" w:ascii="宋体" w:hAnsi="宋体" w:cs="宋体"/>
          <w:color w:val="auto"/>
          <w:sz w:val="24"/>
          <w:szCs w:val="24"/>
        </w:rPr>
        <w:t>3.一期工程竣工验收合格后30日内，支付合同金额的20%；</w:t>
      </w:r>
    </w:p>
    <w:p>
      <w:pPr>
        <w:spacing w:line="540" w:lineRule="exact"/>
        <w:ind w:firstLine="720" w:firstLineChars="300"/>
        <w:jc w:val="left"/>
        <w:rPr>
          <w:rFonts w:hint="eastAsia" w:ascii="宋体" w:hAnsi="宋体" w:cs="宋体"/>
          <w:color w:val="auto"/>
          <w:sz w:val="24"/>
          <w:szCs w:val="24"/>
        </w:rPr>
      </w:pPr>
      <w:r>
        <w:rPr>
          <w:rFonts w:hint="eastAsia" w:ascii="宋体" w:hAnsi="宋体" w:cs="宋体"/>
          <w:color w:val="auto"/>
          <w:sz w:val="24"/>
          <w:szCs w:val="24"/>
        </w:rPr>
        <w:t>4.二期工程地基基础验收合格后30日内，支付合同金额的10%；</w:t>
      </w:r>
    </w:p>
    <w:p>
      <w:pPr>
        <w:spacing w:line="540" w:lineRule="exact"/>
        <w:ind w:firstLine="720" w:firstLineChars="300"/>
        <w:jc w:val="left"/>
        <w:rPr>
          <w:rFonts w:hint="eastAsia" w:ascii="宋体" w:hAnsi="宋体" w:cs="宋体"/>
          <w:color w:val="auto"/>
          <w:sz w:val="24"/>
          <w:szCs w:val="24"/>
        </w:rPr>
      </w:pPr>
      <w:r>
        <w:rPr>
          <w:rFonts w:hint="eastAsia" w:ascii="宋体" w:hAnsi="宋体" w:cs="宋体"/>
          <w:color w:val="auto"/>
          <w:sz w:val="24"/>
          <w:szCs w:val="24"/>
        </w:rPr>
        <w:t>5.二期工程主体结构验收合格后30日内，支付合同金额的20%；</w:t>
      </w:r>
    </w:p>
    <w:p>
      <w:pPr>
        <w:spacing w:line="540" w:lineRule="exact"/>
        <w:ind w:firstLine="720" w:firstLineChars="300"/>
        <w:jc w:val="left"/>
        <w:rPr>
          <w:rFonts w:hint="eastAsia" w:ascii="宋体" w:hAnsi="宋体" w:cs="宋体"/>
          <w:color w:val="auto"/>
          <w:sz w:val="24"/>
          <w:szCs w:val="24"/>
        </w:rPr>
      </w:pPr>
      <w:r>
        <w:rPr>
          <w:rFonts w:hint="eastAsia" w:ascii="宋体" w:hAnsi="宋体" w:cs="宋体"/>
          <w:color w:val="auto"/>
          <w:sz w:val="24"/>
          <w:szCs w:val="24"/>
        </w:rPr>
        <w:t>6.二期工程竣工验收合格后30日内，支付至合同金额的100%。</w:t>
      </w:r>
    </w:p>
    <w:p>
      <w:pPr>
        <w:spacing w:line="540" w:lineRule="exact"/>
        <w:ind w:firstLine="720" w:firstLineChars="300"/>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备注：违约金在每次支付进度款时扣除。</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发包人向设计人支付费用前，设计人应向发包人提供合法的符合合同约定金额的增值税</w:t>
      </w:r>
      <w:r>
        <w:rPr>
          <w:rFonts w:hint="eastAsia" w:ascii="宋体" w:hAnsi="宋体" w:cs="宋体"/>
          <w:color w:val="auto"/>
          <w:sz w:val="24"/>
          <w:szCs w:val="24"/>
          <w:lang w:eastAsia="zh-CN"/>
        </w:rPr>
        <w:t>普通</w:t>
      </w:r>
      <w:r>
        <w:rPr>
          <w:rFonts w:hint="eastAsia" w:ascii="宋体" w:hAnsi="宋体" w:cs="宋体"/>
          <w:color w:val="auto"/>
          <w:sz w:val="24"/>
          <w:szCs w:val="24"/>
        </w:rPr>
        <w:t>发票，否则发包人有权拒绝支付，由此造成的损失设计人自行承担。</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五、知识产权</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（二）涉及软件开发等服务类项目知识产权的，知识产权归采购人所有。</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六、其他</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（二）</w:t>
      </w:r>
      <w:r>
        <w:rPr>
          <w:rFonts w:hint="eastAsia" w:ascii="宋体" w:hAnsi="宋体" w:cs="宋体"/>
          <w:color w:val="auto"/>
          <w:sz w:val="24"/>
          <w:szCs w:val="24"/>
          <w:lang w:eastAsia="zh-CN"/>
        </w:rPr>
        <w:t>中标人</w:t>
      </w:r>
      <w:r>
        <w:rPr>
          <w:rFonts w:hint="eastAsia" w:ascii="宋体" w:hAnsi="宋体" w:cs="宋体"/>
          <w:color w:val="auto"/>
          <w:sz w:val="24"/>
          <w:szCs w:val="24"/>
        </w:rPr>
        <w:t>应在收到</w:t>
      </w:r>
      <w:r>
        <w:rPr>
          <w:rFonts w:hint="eastAsia" w:ascii="宋体" w:hAnsi="宋体" w:cs="宋体"/>
          <w:color w:val="auto"/>
          <w:sz w:val="24"/>
          <w:szCs w:val="24"/>
          <w:lang w:eastAsia="zh-CN"/>
        </w:rPr>
        <w:t>采购人</w:t>
      </w:r>
      <w:r>
        <w:rPr>
          <w:rFonts w:hint="eastAsia" w:ascii="宋体" w:hAnsi="宋体" w:cs="宋体"/>
          <w:color w:val="auto"/>
          <w:sz w:val="24"/>
          <w:szCs w:val="24"/>
        </w:rPr>
        <w:t>通知后（包括但不限于电话、短信、微信或函件）3天内进场检测，检测完毕后的第二天告知</w:t>
      </w:r>
      <w:r>
        <w:rPr>
          <w:rFonts w:hint="eastAsia" w:ascii="宋体" w:hAnsi="宋体" w:cs="宋体"/>
          <w:color w:val="auto"/>
          <w:sz w:val="24"/>
          <w:szCs w:val="24"/>
          <w:lang w:eastAsia="zh-CN"/>
        </w:rPr>
        <w:t>采购人</w:t>
      </w:r>
      <w:r>
        <w:rPr>
          <w:rFonts w:hint="eastAsia" w:ascii="宋体" w:hAnsi="宋体" w:cs="宋体"/>
          <w:color w:val="auto"/>
          <w:sz w:val="24"/>
          <w:szCs w:val="24"/>
        </w:rPr>
        <w:t>检测结果，并在检测后七天内提交正式检测报告，急件在符合检测规范的前提下2日内提交正式检测报告，一式两份。</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（三）采购人</w:t>
      </w:r>
      <w:r>
        <w:rPr>
          <w:rFonts w:hint="eastAsia" w:ascii="宋体" w:hAnsi="宋体" w:cs="宋体"/>
          <w:color w:val="auto"/>
          <w:sz w:val="24"/>
          <w:szCs w:val="24"/>
        </w:rPr>
        <w:t>未按时支付检测费用，</w:t>
      </w:r>
      <w:r>
        <w:rPr>
          <w:rFonts w:hint="eastAsia" w:ascii="宋体" w:hAnsi="宋体" w:cs="宋体"/>
          <w:color w:val="auto"/>
          <w:sz w:val="24"/>
          <w:szCs w:val="24"/>
          <w:lang w:eastAsia="zh-CN"/>
        </w:rPr>
        <w:t>中标人</w:t>
      </w:r>
      <w:r>
        <w:rPr>
          <w:rFonts w:hint="eastAsia" w:ascii="宋体" w:hAnsi="宋体" w:cs="宋体"/>
          <w:color w:val="auto"/>
          <w:sz w:val="24"/>
          <w:szCs w:val="24"/>
        </w:rPr>
        <w:t>有权暂扣检测报告。</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（四）</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原因，未在约定时间内进场检测，或检测完毕后未在约定时间内提交正式检测报告的，按1000元/次的标准处违约金，在项目</w:t>
      </w:r>
      <w:r>
        <w:rPr>
          <w:rFonts w:hint="eastAsia" w:ascii="宋体" w:hAnsi="宋体" w:cs="宋体"/>
          <w:color w:val="auto"/>
          <w:sz w:val="24"/>
          <w:szCs w:val="24"/>
          <w:lang w:eastAsia="zh-CN"/>
        </w:rPr>
        <w:t>每次支付进度款时</w:t>
      </w:r>
      <w:r>
        <w:rPr>
          <w:rFonts w:hint="eastAsia" w:ascii="宋体" w:hAnsi="宋体" w:cs="宋体"/>
          <w:color w:val="auto"/>
          <w:sz w:val="24"/>
          <w:szCs w:val="24"/>
        </w:rPr>
        <w:t>扣除。</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（五）</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原因，所提供的报告不符合规范要求和有关规定，</w:t>
      </w:r>
      <w:r>
        <w:rPr>
          <w:rFonts w:hint="eastAsia" w:ascii="宋体" w:hAnsi="宋体" w:cs="宋体"/>
          <w:color w:val="auto"/>
          <w:sz w:val="24"/>
          <w:szCs w:val="24"/>
          <w:lang w:eastAsia="zh-CN"/>
        </w:rPr>
        <w:t>中标人</w:t>
      </w:r>
      <w:r>
        <w:rPr>
          <w:rFonts w:hint="eastAsia" w:ascii="宋体" w:hAnsi="宋体" w:cs="宋体"/>
          <w:color w:val="auto"/>
          <w:sz w:val="24"/>
          <w:szCs w:val="24"/>
        </w:rPr>
        <w:t>承担相应损失。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eastAsia="zh-CN"/>
        </w:rPr>
        <w:t>（六）</w:t>
      </w:r>
      <w:r>
        <w:rPr>
          <w:rFonts w:hint="eastAsia" w:ascii="宋体" w:hAnsi="宋体" w:cs="宋体"/>
          <w:color w:val="auto"/>
          <w:sz w:val="24"/>
          <w:szCs w:val="24"/>
        </w:rPr>
        <w:t>其他未尽事宜由供需双方在采购合同中详细约定。</w:t>
      </w:r>
    </w:p>
    <w:p>
      <w:pPr>
        <w:spacing w:line="540" w:lineRule="exact"/>
        <w:ind w:firstLine="480" w:firstLineChars="200"/>
        <w:jc w:val="left"/>
        <w:rPr>
          <w:rFonts w:ascii="宋体" w:hAnsi="宋体" w:cs="宋体"/>
          <w:color w:val="auto"/>
          <w:sz w:val="24"/>
          <w:szCs w:val="24"/>
        </w:rPr>
      </w:pPr>
    </w:p>
    <w:p>
      <w:pPr>
        <w:pStyle w:val="3"/>
        <w:pageBreakBefore/>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第四篇  磋商程序及方法、评审标准、无效响应和</w:t>
      </w:r>
      <w:r>
        <w:rPr>
          <w:rFonts w:hint="eastAsia" w:ascii="宋体" w:hAnsi="宋体" w:eastAsia="宋体" w:cs="宋体"/>
          <w:b w:val="0"/>
          <w:color w:val="auto"/>
          <w:sz w:val="36"/>
          <w:szCs w:val="36"/>
        </w:rPr>
        <w:t>采购终止</w:t>
      </w:r>
      <w:bookmarkEnd w:id="27"/>
    </w:p>
    <w:p>
      <w:pPr>
        <w:pStyle w:val="4"/>
        <w:spacing w:line="440" w:lineRule="exact"/>
        <w:rPr>
          <w:rFonts w:ascii="宋体" w:hAnsi="宋体" w:cs="宋体"/>
          <w:color w:val="auto"/>
          <w:sz w:val="24"/>
          <w:szCs w:val="24"/>
        </w:rPr>
      </w:pPr>
      <w:bookmarkStart w:id="28" w:name="_Toc54278995"/>
      <w:r>
        <w:rPr>
          <w:rFonts w:hint="eastAsia" w:ascii="宋体" w:hAnsi="宋体" w:cs="宋体"/>
          <w:color w:val="auto"/>
          <w:sz w:val="24"/>
          <w:szCs w:val="24"/>
        </w:rPr>
        <w:t>一、磋商程序及方法</w:t>
      </w:r>
      <w:bookmarkEnd w:id="28"/>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color w:val="auto"/>
          <w:kern w:val="0"/>
          <w:sz w:val="24"/>
          <w:szCs w:val="24"/>
        </w:rPr>
      </w:pPr>
      <w:r>
        <w:rPr>
          <w:rFonts w:hint="eastAsia" w:ascii="宋体" w:hAnsi="宋体" w:cs="宋体"/>
          <w:color w:val="auto"/>
          <w:sz w:val="24"/>
          <w:szCs w:val="24"/>
        </w:rPr>
        <w:t>1.</w:t>
      </w:r>
      <w:r>
        <w:rPr>
          <w:rFonts w:hint="eastAsia" w:ascii="宋体" w:hAnsi="宋体" w:cs="宋体"/>
          <w:color w:val="auto"/>
          <w:kern w:val="0"/>
          <w:sz w:val="24"/>
          <w:szCs w:val="24"/>
        </w:rPr>
        <w:t>资格性检查。依据法律法规和竞争性磋商文件的规定，对响应文件中的资格证明、等进行审查，以确定供应商是否具备磋商资格。资格性检查资料表如下：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5388" w:type="dxa"/>
            <w:gridSpan w:val="2"/>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检查因素</w:t>
            </w:r>
          </w:p>
        </w:tc>
        <w:tc>
          <w:tcPr>
            <w:tcW w:w="3542"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rPr>
            </w:pPr>
            <w:r>
              <w:rPr>
                <w:rFonts w:hint="eastAsia" w:ascii="宋体" w:hAnsi="宋体" w:cs="宋体"/>
                <w:color w:val="auto"/>
                <w:sz w:val="21"/>
                <w:szCs w:val="21"/>
              </w:rPr>
              <w:t>1</w:t>
            </w:r>
          </w:p>
          <w:p>
            <w:pPr>
              <w:jc w:val="center"/>
              <w:rPr>
                <w:rFonts w:ascii="宋体" w:hAnsi="宋体" w:cs="宋体"/>
                <w:color w:val="auto"/>
                <w:sz w:val="21"/>
                <w:szCs w:val="21"/>
              </w:rPr>
            </w:pPr>
          </w:p>
        </w:tc>
        <w:tc>
          <w:tcPr>
            <w:tcW w:w="709" w:type="dxa"/>
            <w:vMerge w:val="restart"/>
            <w:vAlign w:val="center"/>
          </w:tcPr>
          <w:p>
            <w:pPr>
              <w:rPr>
                <w:rFonts w:ascii="宋体" w:hAnsi="宋体" w:cs="宋体"/>
                <w:color w:val="auto"/>
                <w:sz w:val="21"/>
                <w:szCs w:val="21"/>
                <w:lang w:val="zh-CN"/>
              </w:rPr>
            </w:pPr>
            <w:r>
              <w:rPr>
                <w:rFonts w:hint="eastAsia" w:ascii="宋体" w:hAnsi="宋体" w:cs="宋体"/>
                <w:color w:val="auto"/>
                <w:sz w:val="21"/>
                <w:szCs w:val="21"/>
              </w:rPr>
              <w:t>供应商</w:t>
            </w:r>
            <w:r>
              <w:rPr>
                <w:rFonts w:hint="eastAsia" w:ascii="宋体" w:hAnsi="宋体" w:cs="宋体"/>
                <w:color w:val="auto"/>
                <w:sz w:val="21"/>
                <w:szCs w:val="21"/>
                <w:lang w:val="zh-CN"/>
              </w:rPr>
              <w:t>应符合的基本资格条件</w:t>
            </w: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（1）具有独立承担民事责任的能力</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供应商法人营业执照（副本）或事业单位法人证书（副本）或个体工商户营业执照、组织机构代码证复印件（注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 xml:space="preserve">）； </w:t>
            </w:r>
          </w:p>
          <w:p>
            <w:pPr>
              <w:rPr>
                <w:rFonts w:ascii="宋体" w:hAnsi="宋体" w:cs="宋体"/>
                <w:color w:val="auto"/>
                <w:sz w:val="21"/>
                <w:szCs w:val="21"/>
              </w:rPr>
            </w:pPr>
            <w:r>
              <w:rPr>
                <w:rFonts w:hint="eastAsia" w:ascii="宋体" w:hAnsi="宋体" w:cs="宋体"/>
                <w:color w:val="auto"/>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lang w:val="zh-CN"/>
              </w:rPr>
              <w:t>（2）</w:t>
            </w:r>
            <w:r>
              <w:rPr>
                <w:rFonts w:hint="eastAsia" w:ascii="宋体" w:hAnsi="宋体" w:cs="宋体"/>
                <w:color w:val="auto"/>
                <w:sz w:val="21"/>
                <w:szCs w:val="21"/>
              </w:rPr>
              <w:t>具有良好的商业信誉和健全的财务会计制度</w:t>
            </w:r>
          </w:p>
        </w:tc>
        <w:tc>
          <w:tcPr>
            <w:tcW w:w="3542" w:type="dxa"/>
            <w:vMerge w:val="restart"/>
            <w:vAlign w:val="center"/>
          </w:tcPr>
          <w:p>
            <w:pPr>
              <w:rPr>
                <w:rFonts w:ascii="宋体" w:hAnsi="宋体" w:cs="宋体"/>
                <w:color w:val="auto"/>
                <w:sz w:val="21"/>
                <w:szCs w:val="21"/>
              </w:rPr>
            </w:pPr>
            <w:r>
              <w:rPr>
                <w:rFonts w:hint="eastAsia" w:ascii="宋体" w:hAnsi="宋体" w:cs="宋体"/>
                <w:color w:val="auto"/>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（3）具有履行合同所必需的设备和专业技术能力</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（4）有依法缴纳税收和社会保障金的良好记录</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rPr>
              <w:t>（5）参加政府采购活动前三年内，在经营活动中没有重大违法记录（注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（6）法律、行政法规规定的其他条件</w:t>
            </w:r>
          </w:p>
        </w:tc>
        <w:tc>
          <w:tcPr>
            <w:tcW w:w="3542" w:type="dxa"/>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Align w:val="center"/>
          </w:tcPr>
          <w:p>
            <w:pPr>
              <w:tabs>
                <w:tab w:val="left" w:pos="1494"/>
              </w:tabs>
              <w:rPr>
                <w:rFonts w:ascii="宋体" w:hAnsi="宋体" w:cs="宋体"/>
                <w:color w:val="auto"/>
                <w:sz w:val="21"/>
                <w:szCs w:val="21"/>
              </w:rPr>
            </w:pPr>
          </w:p>
        </w:tc>
        <w:tc>
          <w:tcPr>
            <w:tcW w:w="4679" w:type="dxa"/>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（7）特定资格条件</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rPr>
            </w:pPr>
            <w:r>
              <w:rPr>
                <w:rFonts w:hint="eastAsia" w:ascii="宋体" w:hAnsi="宋体" w:cs="宋体"/>
                <w:color w:val="auto"/>
                <w:sz w:val="21"/>
                <w:szCs w:val="21"/>
              </w:rPr>
              <w:t>2</w:t>
            </w:r>
          </w:p>
        </w:tc>
        <w:tc>
          <w:tcPr>
            <w:tcW w:w="5388" w:type="dxa"/>
            <w:gridSpan w:val="2"/>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落实政府采购政策需满足的资格要求</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eq \o\ac(○,1)</w:instrText>
      </w:r>
      <w:r>
        <w:rPr>
          <w:rFonts w:hint="eastAsia" w:ascii="宋体" w:hAnsi="宋体" w:cs="宋体"/>
          <w:color w:val="auto"/>
          <w:sz w:val="21"/>
          <w:szCs w:val="21"/>
        </w:rPr>
        <w:fldChar w:fldCharType="end"/>
      </w:r>
      <w:r>
        <w:rPr>
          <w:rFonts w:hint="eastAsia" w:ascii="宋体" w:hAnsi="宋体" w:cs="宋体"/>
          <w:color w:val="auto"/>
          <w:sz w:val="21"/>
          <w:szCs w:val="21"/>
        </w:rPr>
        <w:t>：供</w:t>
      </w:r>
      <w:r>
        <w:rPr>
          <w:rFonts w:hint="eastAsia" w:ascii="宋体" w:hAnsi="宋体" w:cs="宋体"/>
          <w:color w:val="auto"/>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r>
        <w:rPr>
          <w:rFonts w:hint="eastAsia" w:ascii="宋体" w:hAnsi="宋体" w:cs="宋体"/>
          <w:color w:val="auto"/>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color w:val="auto"/>
        </w:rPr>
      </w:pPr>
      <w:r>
        <w:rPr>
          <w:rFonts w:hint="eastAsia" w:ascii="宋体" w:hAnsi="宋体" w:cs="宋体"/>
          <w:color w:val="auto"/>
          <w:kern w:val="0"/>
          <w:sz w:val="24"/>
          <w:szCs w:val="24"/>
        </w:rPr>
        <w:t>2、符合性检查。依据磋商</w:t>
      </w:r>
      <w:r>
        <w:rPr>
          <w:rFonts w:ascii="宋体" w:hAnsi="宋体" w:cs="宋体"/>
          <w:color w:val="auto"/>
          <w:kern w:val="0"/>
          <w:sz w:val="24"/>
          <w:szCs w:val="24"/>
        </w:rPr>
        <w:t>采购</w:t>
      </w:r>
      <w:r>
        <w:rPr>
          <w:rFonts w:hint="eastAsia" w:ascii="宋体" w:hAnsi="宋体" w:cs="宋体"/>
          <w:color w:val="auto"/>
          <w:kern w:val="0"/>
          <w:sz w:val="24"/>
          <w:szCs w:val="24"/>
        </w:rPr>
        <w:t>文件的规定，从响应文件的有效性、完整性和对磋商</w:t>
      </w:r>
      <w:r>
        <w:rPr>
          <w:rFonts w:ascii="宋体" w:hAnsi="宋体" w:cs="宋体"/>
          <w:color w:val="auto"/>
          <w:kern w:val="0"/>
          <w:sz w:val="24"/>
          <w:szCs w:val="24"/>
        </w:rPr>
        <w:t>采购</w:t>
      </w:r>
      <w:r>
        <w:rPr>
          <w:rFonts w:hint="eastAsia" w:ascii="宋体" w:hAnsi="宋体" w:cs="宋体"/>
          <w:color w:val="auto"/>
          <w:kern w:val="0"/>
          <w:sz w:val="24"/>
          <w:szCs w:val="24"/>
        </w:rPr>
        <w:t>文件的响应程度进行审查，以确定是否对磋商</w:t>
      </w:r>
      <w:r>
        <w:rPr>
          <w:rFonts w:ascii="宋体" w:hAnsi="宋体" w:cs="宋体"/>
          <w:color w:val="auto"/>
          <w:kern w:val="0"/>
          <w:sz w:val="24"/>
          <w:szCs w:val="24"/>
        </w:rPr>
        <w:t>采购</w:t>
      </w:r>
      <w:r>
        <w:rPr>
          <w:rFonts w:hint="eastAsia" w:ascii="宋体" w:hAnsi="宋体" w:cs="宋体"/>
          <w:color w:val="auto"/>
          <w:kern w:val="0"/>
          <w:sz w:val="24"/>
          <w:szCs w:val="24"/>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3544" w:type="dxa"/>
            <w:gridSpan w:val="2"/>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评审因素</w:t>
            </w:r>
          </w:p>
        </w:tc>
        <w:tc>
          <w:tcPr>
            <w:tcW w:w="5409"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1560" w:type="dxa"/>
            <w:vMerge w:val="restart"/>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有效性审查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响应文件签署</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w:t>
            </w:r>
          </w:p>
        </w:tc>
        <w:tc>
          <w:tcPr>
            <w:tcW w:w="540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响应</w:t>
            </w:r>
            <w:r>
              <w:rPr>
                <w:rFonts w:hint="eastAsia" w:ascii="宋体" w:hAnsi="宋体" w:cs="宋体"/>
                <w:color w:val="auto"/>
                <w:sz w:val="21"/>
                <w:szCs w:val="21"/>
                <w:lang w:val="zh-CN"/>
              </w:rPr>
              <w:t>方案</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lang w:val="zh-CN"/>
              </w:rPr>
              <w:t>每个分包只能有一个</w:t>
            </w:r>
            <w:r>
              <w:rPr>
                <w:rFonts w:hint="eastAsia" w:ascii="宋体" w:hAnsi="宋体" w:cs="宋体"/>
                <w:color w:val="auto"/>
                <w:sz w:val="21"/>
                <w:szCs w:val="21"/>
              </w:rPr>
              <w:t>响应</w:t>
            </w:r>
            <w:r>
              <w:rPr>
                <w:rFonts w:hint="eastAsia" w:ascii="宋体" w:hAnsi="宋体" w:cs="宋体"/>
                <w:color w:val="auto"/>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报价唯一</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1560"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完整性审查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文件份数</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文件正、副本数量（含电子文档）符合</w:t>
            </w:r>
            <w:r>
              <w:rPr>
                <w:rFonts w:hint="eastAsia" w:ascii="宋体" w:hAnsi="宋体" w:cs="宋体"/>
                <w:color w:val="auto"/>
                <w:sz w:val="21"/>
                <w:szCs w:val="21"/>
              </w:rPr>
              <w:t>竞争性磋商</w:t>
            </w:r>
            <w:r>
              <w:rPr>
                <w:rFonts w:hint="eastAsia" w:ascii="宋体" w:hAnsi="宋体" w:cs="宋体"/>
                <w:color w:val="auto"/>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1560" w:type="dxa"/>
            <w:vMerge w:val="restart"/>
            <w:noWrap/>
            <w:vAlign w:val="center"/>
          </w:tcPr>
          <w:p>
            <w:pPr>
              <w:spacing w:line="240" w:lineRule="exact"/>
              <w:rPr>
                <w:rFonts w:ascii="宋体" w:hAnsi="宋体" w:cs="宋体"/>
                <w:color w:val="auto"/>
                <w:sz w:val="21"/>
                <w:szCs w:val="21"/>
                <w:lang w:val="zh-CN"/>
              </w:rPr>
            </w:pPr>
            <w:r>
              <w:rPr>
                <w:rFonts w:hint="eastAsia" w:ascii="宋体" w:hAnsi="宋体" w:cs="宋体"/>
                <w:color w:val="auto"/>
                <w:kern w:val="0"/>
                <w:sz w:val="21"/>
                <w:szCs w:val="21"/>
              </w:rPr>
              <w:t>竞争性磋商文件的响应程度审查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响应文件内容</w:t>
            </w:r>
          </w:p>
        </w:tc>
        <w:tc>
          <w:tcPr>
            <w:tcW w:w="5409" w:type="dxa"/>
            <w:noWrap/>
            <w:vAlign w:val="center"/>
          </w:tcPr>
          <w:p>
            <w:pPr>
              <w:pStyle w:val="8"/>
              <w:spacing w:line="240" w:lineRule="exact"/>
              <w:rPr>
                <w:rFonts w:ascii="宋体" w:hAnsi="宋体" w:cs="宋体"/>
                <w:color w:val="auto"/>
                <w:kern w:val="0"/>
                <w:sz w:val="21"/>
                <w:szCs w:val="21"/>
              </w:rPr>
            </w:pPr>
            <w:r>
              <w:rPr>
                <w:rFonts w:hint="eastAsia" w:ascii="宋体" w:hAnsi="宋体" w:cs="宋体"/>
                <w:color w:val="auto"/>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sz w:val="21"/>
                <w:szCs w:val="21"/>
                <w:lang w:val="zh-CN"/>
              </w:rPr>
            </w:pP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磋商有效期</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满足磋商文件</w:t>
            </w:r>
            <w:r>
              <w:rPr>
                <w:rFonts w:hint="eastAsia" w:ascii="宋体" w:hAnsi="宋体" w:cs="宋体"/>
                <w:color w:val="auto"/>
                <w:sz w:val="21"/>
                <w:szCs w:val="21"/>
                <w:lang w:val="zh-CN"/>
              </w:rPr>
              <w:t>规定。</w:t>
            </w:r>
          </w:p>
        </w:tc>
      </w:tr>
    </w:tbl>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（九）磋商小组采用综合评分法对提交最后报价的供应商的响应文件和最后报价（含有效书面承诺）进行综合评分。</w:t>
      </w:r>
      <w:r>
        <w:rPr>
          <w:rFonts w:hint="eastAsia" w:ascii="宋体" w:hAnsi="宋体" w:cs="宋体"/>
          <w:color w:val="auto"/>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分</w:t>
      </w:r>
      <w:r>
        <w:rPr>
          <w:rFonts w:hint="eastAsia" w:ascii="宋体" w:hAnsi="宋体" w:cs="宋体"/>
          <w:color w:val="auto"/>
          <w:sz w:val="24"/>
          <w:szCs w:val="24"/>
        </w:rPr>
        <w:t>。（详见评审标准）。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（十）磋商小组各成员独立对每个有效响应（通过资格性检查、</w:t>
      </w:r>
      <w:r>
        <w:rPr>
          <w:rFonts w:hint="eastAsia" w:ascii="宋体" w:hAnsi="宋体" w:cs="宋体"/>
          <w:color w:val="auto"/>
          <w:kern w:val="0"/>
          <w:sz w:val="24"/>
          <w:szCs w:val="24"/>
        </w:rPr>
        <w:t>符合性检查的供应商</w:t>
      </w:r>
      <w:r>
        <w:rPr>
          <w:rFonts w:hint="eastAsia" w:ascii="宋体" w:hAnsi="宋体" w:cs="宋体"/>
          <w:color w:val="auto"/>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line="440" w:lineRule="exact"/>
        <w:rPr>
          <w:rFonts w:ascii="宋体" w:hAnsi="宋体" w:cs="宋体"/>
          <w:color w:val="auto"/>
          <w:sz w:val="24"/>
          <w:szCs w:val="24"/>
        </w:rPr>
      </w:pPr>
      <w:bookmarkStart w:id="29" w:name="_Toc54278996"/>
      <w:r>
        <w:rPr>
          <w:rFonts w:hint="eastAsia" w:ascii="宋体" w:hAnsi="宋体" w:cs="宋体"/>
          <w:color w:val="auto"/>
          <w:sz w:val="24"/>
          <w:szCs w:val="24"/>
        </w:rPr>
        <w:t>二、</w:t>
      </w:r>
      <w:bookmarkStart w:id="30" w:name="_Toc102227320"/>
      <w:bookmarkStart w:id="31" w:name="_Toc342913394"/>
      <w:r>
        <w:rPr>
          <w:rFonts w:hint="eastAsia" w:ascii="宋体" w:hAnsi="宋体" w:cs="宋体"/>
          <w:color w:val="auto"/>
          <w:sz w:val="24"/>
          <w:szCs w:val="24"/>
        </w:rPr>
        <w:t>评审标准</w:t>
      </w:r>
      <w:bookmarkEnd w:id="29"/>
      <w:r>
        <w:rPr>
          <w:rFonts w:hint="eastAsia" w:ascii="宋体" w:hAnsi="宋体" w:cs="宋体"/>
          <w:color w:val="auto"/>
          <w:sz w:val="24"/>
          <w:szCs w:val="24"/>
        </w:rPr>
        <w:t>注</w:t>
      </w:r>
    </w:p>
    <w:tbl>
      <w:tblPr>
        <w:tblStyle w:val="12"/>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84"/>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序号</w:t>
            </w:r>
          </w:p>
        </w:tc>
        <w:tc>
          <w:tcPr>
            <w:tcW w:w="1284"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评分权重</w:t>
            </w:r>
          </w:p>
        </w:tc>
        <w:tc>
          <w:tcPr>
            <w:tcW w:w="1761"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分值</w:t>
            </w:r>
          </w:p>
        </w:tc>
        <w:tc>
          <w:tcPr>
            <w:tcW w:w="364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评分标准</w:t>
            </w:r>
          </w:p>
        </w:tc>
        <w:tc>
          <w:tcPr>
            <w:tcW w:w="2446"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w:t>
            </w:r>
          </w:p>
        </w:tc>
        <w:tc>
          <w:tcPr>
            <w:tcW w:w="1284"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lang w:eastAsia="zh-CN"/>
              </w:rPr>
              <w:t>经济部分</w:t>
            </w:r>
            <w:r>
              <w:rPr>
                <w:rFonts w:hint="eastAsia" w:ascii="宋体" w:hAnsi="宋体" w:cs="宋体"/>
                <w:color w:val="auto"/>
                <w:sz w:val="24"/>
                <w:szCs w:val="24"/>
              </w:rPr>
              <w:t>（20%）</w:t>
            </w:r>
          </w:p>
        </w:tc>
        <w:tc>
          <w:tcPr>
            <w:tcW w:w="1761"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20分</w:t>
            </w:r>
          </w:p>
        </w:tc>
        <w:tc>
          <w:tcPr>
            <w:tcW w:w="3640"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有效的投标报价中的最低价为评标基准价，按照下列公式计算每个投标人的投标价格得分。</w:t>
            </w:r>
          </w:p>
          <w:p>
            <w:pPr>
              <w:spacing w:line="400" w:lineRule="exact"/>
              <w:rPr>
                <w:rFonts w:ascii="宋体" w:hAnsi="宋体" w:cs="宋体"/>
                <w:color w:val="auto"/>
                <w:sz w:val="24"/>
                <w:szCs w:val="24"/>
              </w:rPr>
            </w:pPr>
            <w:r>
              <w:rPr>
                <w:rFonts w:hint="eastAsia" w:ascii="宋体" w:hAnsi="宋体" w:cs="宋体"/>
                <w:color w:val="auto"/>
                <w:sz w:val="24"/>
                <w:szCs w:val="24"/>
              </w:rPr>
              <w:t>投标报价得分＝（评标基准价/投标报价）×价格权重×100，得数保留至小数点后两位。</w:t>
            </w:r>
          </w:p>
        </w:tc>
        <w:tc>
          <w:tcPr>
            <w:tcW w:w="2446"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0" w:type="dxa"/>
            <w:vMerge w:val="restart"/>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2</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商务部分（</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团队人员</w:t>
            </w:r>
          </w:p>
          <w:p>
            <w:pPr>
              <w:spacing w:line="400" w:lineRule="exact"/>
              <w:jc w:val="center"/>
              <w:rPr>
                <w:color w:val="auto"/>
                <w:sz w:val="24"/>
                <w:szCs w:val="24"/>
              </w:rPr>
            </w:pPr>
            <w:r>
              <w:rPr>
                <w:rFonts w:hint="eastAsia"/>
                <w:color w:val="auto"/>
                <w:sz w:val="24"/>
                <w:szCs w:val="22"/>
              </w:rPr>
              <w:t>（2</w:t>
            </w:r>
            <w:r>
              <w:rPr>
                <w:rFonts w:hint="eastAsia"/>
                <w:color w:val="auto"/>
                <w:sz w:val="24"/>
                <w:szCs w:val="22"/>
                <w:lang w:val="en-US" w:eastAsia="zh-CN"/>
              </w:rPr>
              <w:t>5</w:t>
            </w:r>
            <w:r>
              <w:rPr>
                <w:rFonts w:hint="eastAsia"/>
                <w:color w:val="auto"/>
                <w:sz w:val="24"/>
                <w:szCs w:val="22"/>
              </w:rPr>
              <w:t>分）</w:t>
            </w:r>
          </w:p>
        </w:tc>
        <w:tc>
          <w:tcPr>
            <w:tcW w:w="3640" w:type="dxa"/>
            <w:noWrap/>
            <w:vAlign w:val="center"/>
          </w:tcPr>
          <w:p>
            <w:pPr>
              <w:spacing w:line="400" w:lineRule="exact"/>
              <w:rPr>
                <w:rFonts w:hint="eastAsia"/>
                <w:color w:val="auto"/>
                <w:sz w:val="24"/>
                <w:szCs w:val="24"/>
                <w:lang w:val="zh-CN"/>
              </w:rPr>
            </w:pPr>
            <w:r>
              <w:rPr>
                <w:rFonts w:hint="eastAsia"/>
                <w:color w:val="auto"/>
                <w:sz w:val="24"/>
                <w:szCs w:val="24"/>
                <w:lang w:val="zh-CN"/>
              </w:rPr>
              <w:t>1、项目负责人（10分）</w:t>
            </w:r>
          </w:p>
          <w:p>
            <w:pPr>
              <w:spacing w:line="400" w:lineRule="exact"/>
              <w:rPr>
                <w:rFonts w:hint="eastAsia"/>
                <w:color w:val="auto"/>
                <w:sz w:val="24"/>
                <w:szCs w:val="24"/>
                <w:lang w:val="zh-CN"/>
              </w:rPr>
            </w:pPr>
            <w:r>
              <w:rPr>
                <w:rFonts w:hint="eastAsia"/>
                <w:color w:val="auto"/>
                <w:sz w:val="24"/>
                <w:szCs w:val="24"/>
                <w:lang w:val="zh-CN"/>
              </w:rPr>
              <w:t>（1）具备一级注册结构工程师或注册岩土工程师执业证书得</w:t>
            </w:r>
            <w:r>
              <w:rPr>
                <w:rFonts w:hint="eastAsia"/>
                <w:color w:val="auto"/>
                <w:sz w:val="24"/>
                <w:szCs w:val="24"/>
                <w:lang w:val="en-US" w:eastAsia="zh-CN"/>
              </w:rPr>
              <w:t>4</w:t>
            </w:r>
            <w:r>
              <w:rPr>
                <w:rFonts w:hint="eastAsia"/>
                <w:color w:val="auto"/>
                <w:sz w:val="24"/>
                <w:szCs w:val="24"/>
                <w:lang w:val="zh-CN"/>
              </w:rPr>
              <w:t>分。本项最高得</w:t>
            </w:r>
            <w:r>
              <w:rPr>
                <w:rFonts w:hint="eastAsia"/>
                <w:color w:val="auto"/>
                <w:sz w:val="24"/>
                <w:szCs w:val="24"/>
                <w:lang w:val="en-US" w:eastAsia="zh-CN"/>
              </w:rPr>
              <w:t>4</w:t>
            </w:r>
            <w:r>
              <w:rPr>
                <w:rFonts w:hint="eastAsia"/>
                <w:color w:val="auto"/>
                <w:sz w:val="24"/>
                <w:szCs w:val="24"/>
                <w:lang w:val="zh-CN"/>
              </w:rPr>
              <w:t>分。</w:t>
            </w:r>
          </w:p>
          <w:p>
            <w:pPr>
              <w:spacing w:line="400" w:lineRule="exact"/>
              <w:rPr>
                <w:rFonts w:hint="eastAsia"/>
                <w:color w:val="auto"/>
                <w:sz w:val="24"/>
                <w:szCs w:val="24"/>
                <w:lang w:val="zh-CN"/>
              </w:rPr>
            </w:pPr>
            <w:r>
              <w:rPr>
                <w:rFonts w:hint="eastAsia"/>
                <w:color w:val="auto"/>
                <w:sz w:val="24"/>
                <w:szCs w:val="24"/>
                <w:lang w:val="zh-CN"/>
              </w:rPr>
              <w:t>（2）具有试验检测类岗位证书，证书类型包含见证取样检测、地基基础工程检测、主体结构工程现场检测、建筑门窗检测或其他相关分项其中一项的，得</w:t>
            </w:r>
            <w:r>
              <w:rPr>
                <w:rFonts w:hint="eastAsia"/>
                <w:color w:val="auto"/>
                <w:sz w:val="24"/>
                <w:szCs w:val="24"/>
                <w:lang w:val="en-US" w:eastAsia="zh-CN"/>
              </w:rPr>
              <w:t>3</w:t>
            </w:r>
            <w:r>
              <w:rPr>
                <w:rFonts w:hint="eastAsia"/>
                <w:color w:val="auto"/>
                <w:sz w:val="24"/>
                <w:szCs w:val="24"/>
                <w:lang w:val="zh-CN"/>
              </w:rPr>
              <w:t>分。本项最高得</w:t>
            </w:r>
            <w:r>
              <w:rPr>
                <w:rFonts w:hint="eastAsia"/>
                <w:color w:val="auto"/>
                <w:sz w:val="24"/>
                <w:szCs w:val="24"/>
                <w:lang w:val="en-US" w:eastAsia="zh-CN"/>
              </w:rPr>
              <w:t>6</w:t>
            </w:r>
            <w:r>
              <w:rPr>
                <w:rFonts w:hint="eastAsia"/>
                <w:color w:val="auto"/>
                <w:sz w:val="24"/>
                <w:szCs w:val="24"/>
                <w:lang w:val="zh-CN"/>
              </w:rPr>
              <w:t>分。</w:t>
            </w:r>
          </w:p>
          <w:p>
            <w:pPr>
              <w:spacing w:line="400" w:lineRule="exact"/>
              <w:rPr>
                <w:rFonts w:hint="eastAsia"/>
                <w:color w:val="auto"/>
                <w:sz w:val="24"/>
                <w:szCs w:val="24"/>
                <w:lang w:val="zh-CN"/>
              </w:rPr>
            </w:pPr>
            <w:r>
              <w:rPr>
                <w:rFonts w:hint="eastAsia"/>
                <w:color w:val="auto"/>
                <w:sz w:val="24"/>
                <w:szCs w:val="24"/>
                <w:lang w:val="zh-CN"/>
              </w:rPr>
              <w:t>2、技术负责人（10分）</w:t>
            </w:r>
          </w:p>
          <w:p>
            <w:pPr>
              <w:spacing w:line="400" w:lineRule="exact"/>
              <w:rPr>
                <w:rFonts w:hint="eastAsia"/>
                <w:color w:val="auto"/>
                <w:sz w:val="24"/>
                <w:szCs w:val="24"/>
                <w:lang w:val="zh-CN"/>
              </w:rPr>
            </w:pPr>
            <w:r>
              <w:rPr>
                <w:rFonts w:hint="eastAsia"/>
                <w:color w:val="auto"/>
                <w:sz w:val="24"/>
                <w:szCs w:val="24"/>
                <w:lang w:val="zh-CN"/>
              </w:rPr>
              <w:t>（1）具备一级注册结构工程师或注册岩土工程师执业证书得</w:t>
            </w:r>
            <w:r>
              <w:rPr>
                <w:rFonts w:hint="eastAsia"/>
                <w:color w:val="auto"/>
                <w:sz w:val="24"/>
                <w:szCs w:val="24"/>
                <w:lang w:val="en-US" w:eastAsia="zh-CN"/>
              </w:rPr>
              <w:t>4</w:t>
            </w:r>
            <w:r>
              <w:rPr>
                <w:rFonts w:hint="eastAsia"/>
                <w:color w:val="auto"/>
                <w:sz w:val="24"/>
                <w:szCs w:val="24"/>
                <w:lang w:val="zh-CN"/>
              </w:rPr>
              <w:t>分。本项最高得</w:t>
            </w:r>
            <w:r>
              <w:rPr>
                <w:rFonts w:hint="eastAsia"/>
                <w:color w:val="auto"/>
                <w:sz w:val="24"/>
                <w:szCs w:val="24"/>
                <w:lang w:val="en-US" w:eastAsia="zh-CN"/>
              </w:rPr>
              <w:t>4</w:t>
            </w:r>
            <w:r>
              <w:rPr>
                <w:rFonts w:hint="eastAsia"/>
                <w:color w:val="auto"/>
                <w:sz w:val="24"/>
                <w:szCs w:val="24"/>
                <w:lang w:val="zh-CN"/>
              </w:rPr>
              <w:t>分。</w:t>
            </w:r>
          </w:p>
          <w:p>
            <w:pPr>
              <w:spacing w:line="400" w:lineRule="exact"/>
              <w:rPr>
                <w:rFonts w:hint="eastAsia"/>
                <w:color w:val="auto"/>
                <w:sz w:val="24"/>
                <w:szCs w:val="24"/>
                <w:lang w:val="zh-CN"/>
              </w:rPr>
            </w:pPr>
            <w:r>
              <w:rPr>
                <w:rFonts w:hint="eastAsia"/>
                <w:color w:val="auto"/>
                <w:sz w:val="24"/>
                <w:szCs w:val="24"/>
                <w:lang w:val="zh-CN"/>
              </w:rPr>
              <w:t>（2）具有试验检测类岗位证书，证书类型包含见证取样检测、地基基础工程检测、主体结构工程现场检测、建筑门窗检测或其他相关分项其中一项的，得</w:t>
            </w:r>
            <w:r>
              <w:rPr>
                <w:rFonts w:hint="eastAsia"/>
                <w:color w:val="auto"/>
                <w:sz w:val="24"/>
                <w:szCs w:val="24"/>
                <w:lang w:val="en-US" w:eastAsia="zh-CN"/>
              </w:rPr>
              <w:t>3</w:t>
            </w:r>
            <w:r>
              <w:rPr>
                <w:rFonts w:hint="eastAsia"/>
                <w:color w:val="auto"/>
                <w:sz w:val="24"/>
                <w:szCs w:val="24"/>
                <w:lang w:val="zh-CN"/>
              </w:rPr>
              <w:t>分。本项最高得</w:t>
            </w:r>
            <w:r>
              <w:rPr>
                <w:rFonts w:hint="eastAsia"/>
                <w:color w:val="auto"/>
                <w:sz w:val="24"/>
                <w:szCs w:val="24"/>
                <w:lang w:val="en-US" w:eastAsia="zh-CN"/>
              </w:rPr>
              <w:t>6</w:t>
            </w:r>
            <w:r>
              <w:rPr>
                <w:rFonts w:hint="eastAsia"/>
                <w:color w:val="auto"/>
                <w:sz w:val="24"/>
                <w:szCs w:val="24"/>
                <w:lang w:val="zh-CN"/>
              </w:rPr>
              <w:t>分。</w:t>
            </w:r>
          </w:p>
          <w:p>
            <w:pPr>
              <w:spacing w:line="400" w:lineRule="exact"/>
              <w:rPr>
                <w:rFonts w:hint="eastAsia"/>
                <w:color w:val="auto"/>
                <w:sz w:val="24"/>
                <w:szCs w:val="24"/>
                <w:lang w:val="zh-CN"/>
              </w:rPr>
            </w:pPr>
            <w:r>
              <w:rPr>
                <w:rFonts w:hint="eastAsia"/>
                <w:color w:val="auto"/>
                <w:sz w:val="24"/>
                <w:szCs w:val="24"/>
                <w:lang w:val="zh-CN"/>
              </w:rPr>
              <w:t>3、其他检测人员（5分）</w:t>
            </w:r>
          </w:p>
          <w:p>
            <w:pPr>
              <w:spacing w:line="400" w:lineRule="exact"/>
              <w:rPr>
                <w:color w:val="auto"/>
              </w:rPr>
            </w:pPr>
            <w:r>
              <w:rPr>
                <w:rFonts w:hint="eastAsia"/>
                <w:color w:val="auto"/>
                <w:sz w:val="24"/>
                <w:szCs w:val="24"/>
                <w:lang w:val="zh-CN"/>
              </w:rPr>
              <w:t>其他检测人员（不含项目负责人、技术负责人）每提供一个工程类高级及以上职称得1分，本项最高得5分</w:t>
            </w:r>
            <w:r>
              <w:rPr>
                <w:color w:val="auto"/>
                <w:sz w:val="24"/>
                <w:szCs w:val="24"/>
                <w:lang w:val="zh-CN"/>
              </w:rPr>
              <w:t>。</w:t>
            </w:r>
          </w:p>
        </w:tc>
        <w:tc>
          <w:tcPr>
            <w:tcW w:w="2446" w:type="dxa"/>
            <w:noWrap/>
            <w:vAlign w:val="center"/>
          </w:tcPr>
          <w:p>
            <w:pPr>
              <w:rPr>
                <w:color w:val="auto"/>
                <w:sz w:val="24"/>
                <w:szCs w:val="24"/>
              </w:rPr>
            </w:pPr>
            <w:r>
              <w:rPr>
                <w:color w:val="auto"/>
                <w:sz w:val="24"/>
                <w:szCs w:val="24"/>
              </w:rPr>
              <w:t>提供人员</w:t>
            </w:r>
            <w:r>
              <w:rPr>
                <w:rFonts w:hint="eastAsia"/>
                <w:color w:val="auto"/>
                <w:sz w:val="24"/>
                <w:szCs w:val="24"/>
              </w:rPr>
              <w:t>证书</w:t>
            </w:r>
            <w:r>
              <w:rPr>
                <w:rFonts w:hint="eastAsia"/>
                <w:color w:val="auto"/>
                <w:sz w:val="24"/>
                <w:szCs w:val="24"/>
                <w:lang w:eastAsia="zh-CN"/>
              </w:rPr>
              <w:t>复印件</w:t>
            </w:r>
            <w:r>
              <w:rPr>
                <w:color w:val="auto"/>
                <w:sz w:val="24"/>
                <w:szCs w:val="24"/>
              </w:rPr>
              <w:t>及供应商为其缴纳的</w:t>
            </w:r>
            <w:r>
              <w:rPr>
                <w:rFonts w:hint="eastAsia"/>
                <w:color w:val="auto"/>
                <w:sz w:val="24"/>
                <w:szCs w:val="24"/>
                <w:lang w:val="en-US" w:eastAsia="zh-CN"/>
              </w:rPr>
              <w:t>2023年1月-2023年3月的</w:t>
            </w:r>
            <w:r>
              <w:rPr>
                <w:color w:val="auto"/>
                <w:sz w:val="24"/>
                <w:szCs w:val="24"/>
              </w:rPr>
              <w:t>养老保险证明材料</w:t>
            </w:r>
            <w:r>
              <w:rPr>
                <w:rFonts w:hint="eastAsia"/>
                <w:color w:val="auto"/>
                <w:sz w:val="24"/>
                <w:szCs w:val="24"/>
                <w:lang w:eastAsia="zh-CN"/>
              </w:rPr>
              <w:t>，并加盖投标人公章</w:t>
            </w:r>
            <w:r>
              <w:rPr>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企业业绩</w:t>
            </w:r>
          </w:p>
          <w:p>
            <w:pPr>
              <w:spacing w:line="400" w:lineRule="exact"/>
              <w:jc w:val="center"/>
              <w:rPr>
                <w:color w:val="auto"/>
              </w:rPr>
            </w:pPr>
            <w:r>
              <w:rPr>
                <w:rFonts w:hint="eastAsia"/>
                <w:color w:val="auto"/>
                <w:sz w:val="24"/>
                <w:szCs w:val="22"/>
              </w:rPr>
              <w:t>（15分）</w:t>
            </w:r>
          </w:p>
        </w:tc>
        <w:tc>
          <w:tcPr>
            <w:tcW w:w="3640" w:type="dxa"/>
            <w:noWrap/>
            <w:vAlign w:val="center"/>
          </w:tcPr>
          <w:p>
            <w:pPr>
              <w:pStyle w:val="5"/>
              <w:ind w:firstLine="0"/>
              <w:rPr>
                <w:color w:val="auto"/>
              </w:rPr>
            </w:pPr>
            <w:r>
              <w:rPr>
                <w:rFonts w:hint="eastAsia"/>
                <w:color w:val="auto"/>
                <w:sz w:val="24"/>
                <w:szCs w:val="24"/>
              </w:rPr>
              <w:t>在2020年1月1日至投标截止日止（以合同签定时间为准）承担过的建筑面积3万平方米及以上的公共建筑检测业绩的，每提供1个得5分；本项最多得15分。</w:t>
            </w:r>
          </w:p>
        </w:tc>
        <w:tc>
          <w:tcPr>
            <w:tcW w:w="2446" w:type="dxa"/>
            <w:noWrap/>
            <w:vAlign w:val="center"/>
          </w:tcPr>
          <w:p>
            <w:pPr>
              <w:spacing w:line="400" w:lineRule="exact"/>
              <w:rPr>
                <w:color w:val="auto"/>
                <w:sz w:val="24"/>
                <w:szCs w:val="24"/>
              </w:rPr>
            </w:pPr>
            <w:r>
              <w:rPr>
                <w:rFonts w:hint="eastAsia"/>
                <w:color w:val="auto"/>
                <w:sz w:val="24"/>
                <w:szCs w:val="24"/>
                <w:lang w:val="zh-CN" w:eastAsia="zh-CN"/>
              </w:rPr>
              <w:t>须提供合同证明材料，并加盖投标人公章。合同证明材料中需能体现建筑规模和建筑类别，不能体现的应提供业主证明（格式自拟），否则为无效业绩</w:t>
            </w:r>
            <w:r>
              <w:rPr>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jc w:val="center"/>
        </w:trPr>
        <w:tc>
          <w:tcPr>
            <w:tcW w:w="600"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3</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技术部分</w:t>
            </w:r>
          </w:p>
          <w:p>
            <w:pPr>
              <w:spacing w:line="40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40</w:t>
            </w:r>
            <w:r>
              <w:rPr>
                <w:rFonts w:hint="eastAsia" w:ascii="宋体" w:hAnsi="宋体" w:cs="宋体"/>
                <w:color w:val="auto"/>
                <w:sz w:val="24"/>
                <w:szCs w:val="24"/>
              </w:rPr>
              <w:t>%）</w:t>
            </w:r>
          </w:p>
        </w:tc>
        <w:tc>
          <w:tcPr>
            <w:tcW w:w="1761" w:type="dxa"/>
            <w:noWrap/>
            <w:vAlign w:val="center"/>
          </w:tcPr>
          <w:p>
            <w:pPr>
              <w:pStyle w:val="5"/>
              <w:ind w:firstLine="0"/>
              <w:jc w:val="center"/>
              <w:rPr>
                <w:color w:val="auto"/>
              </w:rPr>
            </w:pPr>
            <w:r>
              <w:rPr>
                <w:rFonts w:hint="eastAsia" w:hAnsi="宋体"/>
                <w:color w:val="auto"/>
                <w:sz w:val="24"/>
                <w:szCs w:val="24"/>
              </w:rPr>
              <w:t>检测方案及措施（</w:t>
            </w:r>
            <w:r>
              <w:rPr>
                <w:rFonts w:hint="eastAsia" w:hAnsi="宋体"/>
                <w:color w:val="auto"/>
                <w:sz w:val="24"/>
                <w:szCs w:val="24"/>
                <w:lang w:val="en-US" w:eastAsia="zh-CN"/>
              </w:rPr>
              <w:t>10</w:t>
            </w:r>
            <w:r>
              <w:rPr>
                <w:rFonts w:hint="eastAsia" w:hAnsi="宋体"/>
                <w:color w:val="auto"/>
                <w:sz w:val="24"/>
                <w:szCs w:val="24"/>
              </w:rPr>
              <w:t>分）</w:t>
            </w:r>
          </w:p>
        </w:tc>
        <w:tc>
          <w:tcPr>
            <w:tcW w:w="608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优7-10（不含7分)：对需检测项目认识深刻、表述全面准确，检测方案科学、系统、安全、经济，可操作性强，保障措施得力，对关键技术、工艺把握准确，应用到位，阐释清晰。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良3-7(不含3分)：对需检测项目认识比较深刻、表述比较全面准确，检测方案比较科学、系统、安全、经济，可操作性比较强，保障措施比较得力，对关键技术、工艺把握比较准确，应用到位，阐释比较清晰。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24"/>
                <w:szCs w:val="24"/>
              </w:rPr>
            </w:pPr>
            <w:r>
              <w:rPr>
                <w:rFonts w:hint="eastAsia" w:ascii="宋体" w:hAnsi="宋体" w:eastAsia="宋体" w:cs="宋体"/>
                <w:color w:val="auto"/>
                <w:sz w:val="24"/>
                <w:szCs w:val="24"/>
                <w:lang w:val="en-US" w:eastAsia="zh-CN"/>
              </w:rPr>
              <w:t>差0-3分：对需检测项目认识不深刻、表述不全面不准确，或检测方案不科学、不系统、不安全、不经济，或可操作性不强，或保障措施不具体，或对关键技术、工艺把握不准确、阐释不清。无此项内容得0分。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5"/>
              <w:ind w:firstLine="0"/>
              <w:jc w:val="center"/>
              <w:rPr>
                <w:color w:val="auto"/>
              </w:rPr>
            </w:pPr>
            <w:r>
              <w:rPr>
                <w:rFonts w:hint="eastAsia" w:hAnsi="宋体"/>
                <w:color w:val="auto"/>
                <w:sz w:val="24"/>
                <w:szCs w:val="24"/>
              </w:rPr>
              <w:t>项目重点、难点分析与解决措施（10分）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7-10（不含7分)：对需检测项目重点、难点认识全面，论述完整清晰，解决措施符合实际、规范，计划合理，综合措施科学。</w:t>
            </w:r>
          </w:p>
          <w:p>
            <w:pPr>
              <w:spacing w:line="240" w:lineRule="atLeast"/>
              <w:rPr>
                <w:rFonts w:hint="eastAsia" w:hAnsi="宋体"/>
                <w:color w:val="auto"/>
                <w:sz w:val="24"/>
                <w:szCs w:val="22"/>
              </w:rPr>
            </w:pPr>
            <w:r>
              <w:rPr>
                <w:rFonts w:hint="eastAsia" w:hAnsi="宋体"/>
                <w:color w:val="auto"/>
                <w:sz w:val="24"/>
                <w:szCs w:val="22"/>
              </w:rPr>
              <w:t>良3-7(不含3分)：对需检测项目重点、难点认识比较全面，论述比较完整清晰，解决措施比较符合实际、规范，计划比较合理，综合措施比较科学。</w:t>
            </w:r>
          </w:p>
          <w:p>
            <w:pPr>
              <w:spacing w:line="240" w:lineRule="atLeast"/>
              <w:rPr>
                <w:color w:val="auto"/>
                <w:sz w:val="24"/>
                <w:szCs w:val="24"/>
              </w:rPr>
            </w:pPr>
            <w:r>
              <w:rPr>
                <w:rFonts w:hint="eastAsia" w:hAnsi="宋体"/>
                <w:color w:val="auto"/>
                <w:sz w:val="24"/>
                <w:szCs w:val="22"/>
              </w:rPr>
              <w:t>差0-3分：对需检测项目重点、难点认识不全面，论述不完整不清晰，或解决措施不够符合实际、规范，或计划不够合理，或综合措施不够科学。无此项内容得0分。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5"/>
              <w:ind w:firstLine="0"/>
              <w:jc w:val="center"/>
              <w:rPr>
                <w:color w:val="auto"/>
              </w:rPr>
            </w:pPr>
            <w:r>
              <w:rPr>
                <w:rFonts w:hint="eastAsia" w:hAnsi="宋体"/>
                <w:color w:val="auto"/>
                <w:sz w:val="24"/>
                <w:szCs w:val="24"/>
                <w:lang w:eastAsia="zh-CN"/>
              </w:rPr>
              <w:t>检测工作质量、进度和安全保障措施</w:t>
            </w:r>
            <w:r>
              <w:rPr>
                <w:rFonts w:hint="eastAsia" w:hAnsi="宋体"/>
                <w:color w:val="auto"/>
                <w:sz w:val="24"/>
                <w:szCs w:val="24"/>
              </w:rPr>
              <w:t>（</w:t>
            </w:r>
            <w:r>
              <w:rPr>
                <w:rFonts w:hint="eastAsia" w:hAnsi="宋体"/>
                <w:color w:val="auto"/>
                <w:sz w:val="24"/>
                <w:szCs w:val="24"/>
                <w:lang w:val="en-US" w:eastAsia="zh-CN"/>
              </w:rPr>
              <w:t>10</w:t>
            </w:r>
            <w:r>
              <w:rPr>
                <w:rFonts w:hint="eastAsia" w:hAnsi="宋体"/>
                <w:color w:val="auto"/>
                <w:sz w:val="24"/>
                <w:szCs w:val="24"/>
              </w:rPr>
              <w:t>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7-10（不含7分)：检测工作质量、进度和安全保障措施完整、详细，与本项目相适应。</w:t>
            </w:r>
          </w:p>
          <w:p>
            <w:pPr>
              <w:spacing w:line="240" w:lineRule="atLeast"/>
              <w:rPr>
                <w:rFonts w:hint="eastAsia" w:hAnsi="宋体"/>
                <w:color w:val="auto"/>
                <w:sz w:val="24"/>
                <w:szCs w:val="22"/>
              </w:rPr>
            </w:pPr>
            <w:r>
              <w:rPr>
                <w:rFonts w:hint="eastAsia" w:hAnsi="宋体"/>
                <w:color w:val="auto"/>
                <w:sz w:val="24"/>
                <w:szCs w:val="22"/>
              </w:rPr>
              <w:t>良3-7(不含3分)：检测工作质量、进度和安全保障措施比较完整、详细，与本项目较适应。</w:t>
            </w:r>
          </w:p>
          <w:p>
            <w:pPr>
              <w:spacing w:line="240" w:lineRule="atLeast"/>
              <w:rPr>
                <w:rFonts w:hAnsi="宋体"/>
                <w:color w:val="auto"/>
                <w:sz w:val="24"/>
                <w:szCs w:val="22"/>
              </w:rPr>
            </w:pPr>
            <w:r>
              <w:rPr>
                <w:rFonts w:hint="eastAsia" w:hAnsi="宋体"/>
                <w:color w:val="auto"/>
                <w:sz w:val="24"/>
                <w:szCs w:val="22"/>
              </w:rPr>
              <w:t>差0-3分：检测工作质量、进度和安全保障措施不完整、不详细，与本项目不适应。无此项内容得0分。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5"/>
              <w:ind w:firstLine="0"/>
              <w:jc w:val="center"/>
              <w:rPr>
                <w:color w:val="auto"/>
              </w:rPr>
            </w:pPr>
            <w:r>
              <w:rPr>
                <w:rFonts w:hint="eastAsia" w:hAnsi="宋体"/>
                <w:color w:val="auto"/>
                <w:sz w:val="24"/>
                <w:szCs w:val="24"/>
                <w:lang w:eastAsia="zh-CN"/>
              </w:rPr>
              <w:t>安全文明控制及保证措施、环保措施、组织协调措施（</w:t>
            </w:r>
            <w:r>
              <w:rPr>
                <w:rFonts w:hint="eastAsia" w:hAnsi="宋体"/>
                <w:color w:val="auto"/>
                <w:sz w:val="24"/>
                <w:szCs w:val="24"/>
                <w:lang w:val="en-US" w:eastAsia="zh-CN"/>
              </w:rPr>
              <w:t>10</w:t>
            </w:r>
            <w:r>
              <w:rPr>
                <w:rFonts w:hint="eastAsia" w:hAnsi="宋体"/>
                <w:color w:val="auto"/>
                <w:sz w:val="24"/>
                <w:szCs w:val="24"/>
                <w:lang w:eastAsia="zh-CN"/>
              </w:rPr>
              <w:t>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优7-10（不含7分)：三个方面的措施编制合理、可行，可操作性强，保证措施可靠。</w:t>
            </w:r>
          </w:p>
          <w:p>
            <w:pPr>
              <w:spacing w:line="240" w:lineRule="atLeast"/>
              <w:rPr>
                <w:rFonts w:hint="eastAsia" w:hAnsi="宋体"/>
                <w:color w:val="auto"/>
                <w:sz w:val="24"/>
                <w:szCs w:val="22"/>
              </w:rPr>
            </w:pPr>
            <w:r>
              <w:rPr>
                <w:rFonts w:hint="eastAsia" w:hAnsi="宋体"/>
                <w:color w:val="auto"/>
                <w:sz w:val="24"/>
                <w:szCs w:val="22"/>
              </w:rPr>
              <w:t>良3-7(不含3分)：三个方面的措施编制合理、可行，可操作性较强，保证措施较可靠。</w:t>
            </w:r>
          </w:p>
          <w:p>
            <w:pPr>
              <w:spacing w:line="240" w:lineRule="atLeast"/>
              <w:rPr>
                <w:rFonts w:hAnsi="宋体"/>
                <w:color w:val="auto"/>
                <w:sz w:val="24"/>
                <w:szCs w:val="22"/>
              </w:rPr>
            </w:pPr>
            <w:r>
              <w:rPr>
                <w:rFonts w:hint="eastAsia" w:hAnsi="宋体"/>
                <w:color w:val="auto"/>
                <w:sz w:val="24"/>
                <w:szCs w:val="22"/>
              </w:rPr>
              <w:t>差0-3分：三个方面的措施编制合理、可行，可操作性不强，保证措施不够可靠。无此项内容得0分。</w:t>
            </w:r>
          </w:p>
        </w:tc>
      </w:tr>
    </w:tbl>
    <w:p>
      <w:pPr>
        <w:snapToGrid w:val="0"/>
        <w:spacing w:line="360" w:lineRule="auto"/>
        <w:ind w:firstLine="465"/>
        <w:rPr>
          <w:rFonts w:hint="eastAsia" w:ascii="宋体" w:hAnsi="宋体" w:cs="宋体"/>
          <w:color w:val="auto"/>
          <w:sz w:val="24"/>
          <w:szCs w:val="24"/>
        </w:rPr>
      </w:pPr>
      <w:bookmarkStart w:id="32" w:name="_Toc54278997"/>
      <w:r>
        <w:rPr>
          <w:rFonts w:hint="eastAsia" w:ascii="宋体" w:hAnsi="宋体" w:cs="宋体"/>
          <w:color w:val="auto"/>
          <w:sz w:val="24"/>
          <w:szCs w:val="24"/>
        </w:rPr>
        <w:t>所有计算及得分保留至小数点后两位，小数点后第三位四舍五入。</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关于小微企业报价扣除比例说明</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1.对小微型企业给予6%的扣除，以扣除后的报价参与评审。</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三、无效响应</w:t>
      </w:r>
      <w:bookmarkEnd w:id="32"/>
    </w:p>
    <w:p>
      <w:pPr>
        <w:snapToGrid w:val="0"/>
        <w:spacing w:line="360" w:lineRule="auto"/>
        <w:ind w:firstLine="465"/>
        <w:rPr>
          <w:rFonts w:ascii="宋体" w:hAnsi="宋体" w:cs="宋体"/>
          <w:color w:val="auto"/>
          <w:sz w:val="24"/>
          <w:szCs w:val="24"/>
        </w:rPr>
      </w:pPr>
      <w:bookmarkStart w:id="33" w:name="_Toc54278998"/>
      <w:r>
        <w:rPr>
          <w:rFonts w:hint="eastAsia" w:ascii="宋体" w:hAnsi="宋体" w:cs="宋体"/>
          <w:color w:val="auto"/>
          <w:sz w:val="24"/>
          <w:szCs w:val="24"/>
        </w:rPr>
        <w:t>竞标人发生以下条款情况之一者，视为无效响应，其响应文件将被拒绝：</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（一）竞标人不符合规定的基本资格条件或特定资格条件的；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（二）竞标人的法定代表人或其授权代表未参加磋商；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（三）竞标人未按照竞争性磋商文件的要求缴纳磋商保证金；</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（五）竞标人的最后报价超过采购预算的；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（九）“第二篇 采购服务需求”、“第三篇 采购商务需求”有一条及以上不能满足竞争性磋商文件要求的；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（十一）本磋商文件规定的其它情形。</w:t>
      </w:r>
    </w:p>
    <w:p>
      <w:pPr>
        <w:pStyle w:val="4"/>
        <w:spacing w:line="360" w:lineRule="auto"/>
        <w:rPr>
          <w:rFonts w:ascii="宋体" w:hAnsi="宋体" w:cs="宋体"/>
          <w:color w:val="auto"/>
          <w:sz w:val="24"/>
          <w:szCs w:val="24"/>
        </w:rPr>
      </w:pPr>
      <w:r>
        <w:rPr>
          <w:rFonts w:hint="eastAsia" w:ascii="宋体" w:hAnsi="宋体" w:cs="宋体"/>
          <w:color w:val="auto"/>
          <w:sz w:val="24"/>
          <w:szCs w:val="24"/>
        </w:rPr>
        <w:t>四、</w:t>
      </w:r>
      <w:bookmarkEnd w:id="30"/>
      <w:bookmarkEnd w:id="31"/>
      <w:r>
        <w:rPr>
          <w:rFonts w:hint="eastAsia" w:ascii="宋体" w:hAnsi="宋体" w:cs="宋体"/>
          <w:color w:val="auto"/>
          <w:sz w:val="24"/>
          <w:szCs w:val="24"/>
        </w:rPr>
        <w:t>采购终止</w:t>
      </w:r>
      <w:bookmarkEnd w:id="33"/>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（一）因情况变化，不再符合规定的竞争性磋商采购方式适用情形的；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（二）出现影响采购公正的违法、违规行为的；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rPr>
        <w:sectPr>
          <w:footerReference r:id="rId7" w:type="default"/>
          <w:pgSz w:w="11907" w:h="16840"/>
          <w:pgMar w:top="1134" w:right="1191" w:bottom="1134" w:left="1304" w:header="964" w:footer="992" w:gutter="0"/>
          <w:pgNumType w:fmt="numberInDash"/>
          <w:cols w:space="720" w:num="1"/>
          <w:docGrid w:linePitch="312" w:charSpace="0"/>
        </w:sectPr>
      </w:pPr>
    </w:p>
    <w:p>
      <w:pPr>
        <w:pStyle w:val="3"/>
        <w:spacing w:line="312" w:lineRule="auto"/>
        <w:jc w:val="center"/>
        <w:rPr>
          <w:rFonts w:ascii="宋体" w:hAnsi="宋体" w:eastAsia="宋体" w:cs="宋体"/>
          <w:bCs/>
          <w:color w:val="auto"/>
          <w:szCs w:val="30"/>
        </w:rPr>
      </w:pPr>
      <w:bookmarkStart w:id="34" w:name="_Toc102227313"/>
      <w:bookmarkStart w:id="35" w:name="_Toc21400"/>
      <w:bookmarkStart w:id="36" w:name="_Toc25636"/>
      <w:bookmarkStart w:id="37" w:name="_Toc25652"/>
      <w:bookmarkStart w:id="38" w:name="_Toc12789059"/>
      <w:bookmarkStart w:id="39" w:name="_Toc11641055"/>
      <w:r>
        <w:rPr>
          <w:rFonts w:hint="eastAsia" w:ascii="宋体" w:hAnsi="宋体" w:eastAsia="宋体" w:cs="宋体"/>
          <w:bCs/>
          <w:color w:val="auto"/>
          <w:sz w:val="36"/>
          <w:szCs w:val="30"/>
        </w:rPr>
        <w:t>第五篇  供应商须知</w:t>
      </w:r>
      <w:bookmarkEnd w:id="34"/>
      <w:bookmarkEnd w:id="35"/>
      <w:bookmarkEnd w:id="36"/>
      <w:bookmarkEnd w:id="37"/>
    </w:p>
    <w:p>
      <w:pPr>
        <w:pStyle w:val="4"/>
        <w:spacing w:before="0" w:after="0" w:line="360" w:lineRule="auto"/>
        <w:rPr>
          <w:rFonts w:ascii="宋体" w:hAnsi="宋体" w:cs="宋体"/>
          <w:color w:val="auto"/>
          <w:sz w:val="24"/>
          <w:szCs w:val="24"/>
        </w:rPr>
      </w:pPr>
      <w:bookmarkStart w:id="40" w:name="_Toc18058"/>
      <w:bookmarkStart w:id="41" w:name="_Toc342913389"/>
      <w:bookmarkStart w:id="42" w:name="_Toc24338"/>
      <w:bookmarkStart w:id="43" w:name="_Toc465"/>
      <w:r>
        <w:rPr>
          <w:rFonts w:hint="eastAsia" w:ascii="宋体" w:hAnsi="宋体" w:cs="宋体"/>
          <w:color w:val="auto"/>
          <w:sz w:val="24"/>
          <w:szCs w:val="24"/>
        </w:rPr>
        <w:t>一、磋商费用</w:t>
      </w:r>
      <w:bookmarkEnd w:id="40"/>
      <w:bookmarkEnd w:id="41"/>
      <w:bookmarkEnd w:id="42"/>
      <w:bookmarkEnd w:id="43"/>
    </w:p>
    <w:p>
      <w:pPr>
        <w:pStyle w:val="16"/>
        <w:spacing w:line="360" w:lineRule="auto"/>
        <w:ind w:firstLine="480" w:firstLineChars="200"/>
        <w:rPr>
          <w:rFonts w:hAnsi="宋体" w:cs="宋体"/>
          <w:color w:val="auto"/>
          <w:sz w:val="24"/>
          <w:szCs w:val="24"/>
        </w:rPr>
      </w:pPr>
      <w:r>
        <w:rPr>
          <w:rFonts w:hint="eastAsia" w:hAnsi="宋体" w:cs="宋体"/>
          <w:color w:val="auto"/>
          <w:sz w:val="24"/>
          <w:szCs w:val="24"/>
        </w:rPr>
        <w:t>参与磋商的供应商应承担其编制响应文件与递交响应文件所涉及的一切费用，不论磋商结果如何，采购人在任何情况下无义务也无责任承担这些费用。</w:t>
      </w:r>
    </w:p>
    <w:p>
      <w:pPr>
        <w:pStyle w:val="4"/>
        <w:tabs>
          <w:tab w:val="left" w:pos="2640"/>
        </w:tabs>
        <w:spacing w:before="0" w:after="0" w:line="360" w:lineRule="auto"/>
        <w:rPr>
          <w:rFonts w:ascii="宋体" w:hAnsi="宋体" w:cs="宋体"/>
          <w:color w:val="auto"/>
          <w:sz w:val="24"/>
          <w:szCs w:val="24"/>
        </w:rPr>
      </w:pPr>
      <w:bookmarkStart w:id="44" w:name="_Toc889"/>
      <w:bookmarkStart w:id="45" w:name="_Toc9574"/>
      <w:bookmarkStart w:id="46" w:name="_Toc29852"/>
      <w:bookmarkStart w:id="47" w:name="_Toc342913391"/>
      <w:r>
        <w:rPr>
          <w:rFonts w:hint="eastAsia" w:ascii="宋体" w:hAnsi="宋体" w:cs="宋体"/>
          <w:color w:val="auto"/>
          <w:sz w:val="24"/>
          <w:szCs w:val="24"/>
        </w:rPr>
        <w:t>二、磋商</w:t>
      </w:r>
      <w:r>
        <w:rPr>
          <w:rFonts w:ascii="宋体" w:hAnsi="宋体" w:cs="宋体"/>
          <w:color w:val="auto"/>
          <w:sz w:val="24"/>
          <w:szCs w:val="24"/>
        </w:rPr>
        <w:t>采购</w:t>
      </w:r>
      <w:r>
        <w:rPr>
          <w:rFonts w:hint="eastAsia" w:ascii="宋体" w:hAnsi="宋体" w:cs="宋体"/>
          <w:color w:val="auto"/>
          <w:sz w:val="24"/>
          <w:szCs w:val="24"/>
        </w:rPr>
        <w:t>文件</w:t>
      </w:r>
      <w:bookmarkEnd w:id="44"/>
      <w:bookmarkEnd w:id="45"/>
      <w:bookmarkEnd w:id="46"/>
      <w:bookmarkEnd w:id="47"/>
    </w:p>
    <w:p>
      <w:pPr>
        <w:pStyle w:val="4"/>
        <w:spacing w:before="0" w:after="0" w:line="360" w:lineRule="auto"/>
        <w:ind w:firstLine="480" w:firstLineChars="200"/>
        <w:rPr>
          <w:rFonts w:ascii="宋体" w:hAnsi="宋体" w:cs="宋体"/>
          <w:b w:val="0"/>
          <w:color w:val="auto"/>
          <w:sz w:val="24"/>
          <w:szCs w:val="24"/>
        </w:rPr>
      </w:pPr>
      <w:bookmarkStart w:id="48" w:name="_Toc179714297"/>
      <w:bookmarkStart w:id="49" w:name="_Toc102227318"/>
      <w:bookmarkStart w:id="50" w:name="_Toc19161"/>
      <w:bookmarkStart w:id="51" w:name="_Toc16134"/>
      <w:bookmarkStart w:id="52" w:name="_Toc1269"/>
      <w:bookmarkStart w:id="53" w:name="_Toc342913392"/>
      <w:r>
        <w:rPr>
          <w:rFonts w:hint="eastAsia" w:ascii="宋体" w:hAnsi="宋体" w:cs="宋体"/>
          <w:b w:val="0"/>
          <w:color w:val="auto"/>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（二）采购人所作的一切有效的书面通知、修改及补充，都是竞争性磋商文件不可分割的部分。</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（三）竞争性磋商文件的解释</w:t>
      </w:r>
    </w:p>
    <w:p>
      <w:pPr>
        <w:pStyle w:val="4"/>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（四）本竞争性磋商文件中，磋商小组根据与供应商进行磋商可能实质性变动的内容为竞争性磋商文件第二、三、六篇全部内容。</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（五）评审的依据为竞争性磋商文件和响应文件（含有效的书面承诺）。磋商小组判断响应文件对竞争性磋商文件的响应，仅基于响应文件本身而不靠外部证据。</w:t>
      </w:r>
    </w:p>
    <w:p>
      <w:pPr>
        <w:pStyle w:val="4"/>
        <w:spacing w:before="0" w:after="0" w:line="360" w:lineRule="auto"/>
        <w:rPr>
          <w:rFonts w:ascii="宋体" w:hAnsi="宋体" w:cs="宋体"/>
          <w:color w:val="auto"/>
          <w:sz w:val="24"/>
          <w:szCs w:val="24"/>
        </w:rPr>
      </w:pPr>
      <w:r>
        <w:rPr>
          <w:rFonts w:hint="eastAsia" w:ascii="宋体" w:hAnsi="宋体" w:cs="宋体"/>
          <w:color w:val="auto"/>
          <w:sz w:val="24"/>
          <w:szCs w:val="24"/>
        </w:rPr>
        <w:t>三、磋商要求</w:t>
      </w:r>
      <w:bookmarkEnd w:id="48"/>
      <w:bookmarkEnd w:id="49"/>
      <w:bookmarkEnd w:id="50"/>
      <w:bookmarkEnd w:id="51"/>
      <w:bookmarkEnd w:id="52"/>
      <w:bookmarkEnd w:id="53"/>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（一）响应文件</w:t>
      </w:r>
      <w:bookmarkStart w:id="54" w:name="_Toc10966"/>
      <w:bookmarkStart w:id="55" w:name="_Toc18360"/>
      <w:bookmarkStart w:id="56" w:name="_Toc1395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2.响应文件组成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（二）磋商有效期：响应文件及有关承诺文件有效期为提交响应文件截止时间起90天。</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（三）修正错误</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1.若供应商所递交的响应文件或最后报价中的价格出现大写金额和小写金额不一致的错误，以大写金额修正为准。</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（四）提交响应文件的份数和签署</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1.响应文件一式两份，其中正本一份，副本一份；副本可为正本的复印件，应与正本一致，如出现不一致情况以正本为准。</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2.响应文件按竞争性磋商文件“第七篇响应文件编制要求”要求签署或盖章。</w:t>
      </w:r>
    </w:p>
    <w:p>
      <w:pPr>
        <w:pStyle w:val="4"/>
        <w:spacing w:before="0" w:after="0" w:line="360" w:lineRule="auto"/>
        <w:ind w:firstLine="240" w:firstLineChars="100"/>
        <w:rPr>
          <w:rFonts w:ascii="宋体" w:hAnsi="宋体" w:cs="宋体"/>
          <w:b w:val="0"/>
          <w:color w:val="auto"/>
          <w:sz w:val="24"/>
          <w:szCs w:val="24"/>
        </w:rPr>
      </w:pPr>
      <w:r>
        <w:rPr>
          <w:rFonts w:hint="eastAsia" w:ascii="宋体" w:hAnsi="宋体" w:cs="宋体"/>
          <w:b w:val="0"/>
          <w:color w:val="auto"/>
          <w:sz w:val="24"/>
          <w:szCs w:val="24"/>
        </w:rPr>
        <w:t>（五）响应文件的递交</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响应文件的正本、副本均应密封送达磋商地点，应在封套上注明磋商项目名称、供应商名称。若正本、副本分别进行密封的，还应在封套上注明“正本”、“副本”字样。</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（六）供应商参与人员</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各个供应商应当派1-2名代表参与磋商，至少1人应为法定代表人（或其授权代表）或自然人（供应商为自然人）。</w:t>
      </w:r>
    </w:p>
    <w:p>
      <w:pPr>
        <w:pStyle w:val="4"/>
        <w:spacing w:before="0" w:after="0" w:line="360" w:lineRule="auto"/>
        <w:rPr>
          <w:rFonts w:ascii="宋体" w:hAnsi="宋体" w:cs="宋体"/>
          <w:color w:val="auto"/>
          <w:sz w:val="24"/>
          <w:szCs w:val="24"/>
        </w:rPr>
      </w:pPr>
      <w:r>
        <w:rPr>
          <w:rFonts w:hint="eastAsia" w:ascii="宋体" w:hAnsi="宋体" w:cs="宋体"/>
          <w:color w:val="auto"/>
          <w:sz w:val="24"/>
          <w:szCs w:val="24"/>
        </w:rPr>
        <w:t>四、成交供应商的确认和变更</w:t>
      </w:r>
      <w:bookmarkEnd w:id="54"/>
      <w:bookmarkEnd w:id="55"/>
      <w:bookmarkEnd w:id="56"/>
    </w:p>
    <w:p>
      <w:pPr>
        <w:pStyle w:val="4"/>
        <w:spacing w:before="0" w:after="0" w:line="360" w:lineRule="auto"/>
        <w:ind w:firstLine="480" w:firstLineChars="200"/>
        <w:rPr>
          <w:rFonts w:ascii="宋体" w:hAnsi="宋体" w:cs="宋体"/>
          <w:b w:val="0"/>
          <w:color w:val="auto"/>
          <w:sz w:val="24"/>
          <w:szCs w:val="24"/>
        </w:rPr>
      </w:pPr>
      <w:bookmarkStart w:id="57" w:name="_Toc16678"/>
      <w:bookmarkStart w:id="58" w:name="_Toc342913395"/>
      <w:bookmarkStart w:id="59" w:name="_Toc12171"/>
      <w:bookmarkStart w:id="60" w:name="_Toc9338"/>
      <w:bookmarkStart w:id="61" w:name="_Toc102227321"/>
      <w:r>
        <w:rPr>
          <w:rFonts w:hint="eastAsia" w:ascii="宋体" w:hAnsi="宋体" w:cs="宋体"/>
          <w:b w:val="0"/>
          <w:color w:val="auto"/>
          <w:sz w:val="24"/>
          <w:szCs w:val="24"/>
        </w:rPr>
        <w:t>（一）成交供应商的确认</w:t>
      </w:r>
    </w:p>
    <w:p>
      <w:pPr>
        <w:pStyle w:val="4"/>
        <w:spacing w:before="0" w:after="0" w:line="360" w:lineRule="auto"/>
        <w:ind w:firstLine="480" w:firstLineChars="200"/>
        <w:rPr>
          <w:rFonts w:hint="eastAsia" w:ascii="宋体" w:hAnsi="宋体" w:cs="宋体"/>
          <w:b w:val="0"/>
          <w:color w:val="auto"/>
          <w:sz w:val="24"/>
          <w:szCs w:val="24"/>
        </w:rPr>
      </w:pPr>
      <w:r>
        <w:rPr>
          <w:rFonts w:hint="eastAsia" w:ascii="宋体" w:hAnsi="宋体" w:cs="宋体"/>
          <w:b w:val="0"/>
          <w:color w:val="auto"/>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（二）成交供应商的变更</w:t>
      </w:r>
    </w:p>
    <w:p>
      <w:pPr>
        <w:pStyle w:val="4"/>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成交供应商拒绝与采购人签订合同的，采购人可以按照评标报告推荐的成交候选供应商顺序，确定排名下一位的候选人为成交供应商，也可以重新开展政府采购活动。</w:t>
      </w:r>
    </w:p>
    <w:p>
      <w:pPr>
        <w:pStyle w:val="4"/>
        <w:spacing w:before="0" w:after="0" w:line="360" w:lineRule="auto"/>
        <w:rPr>
          <w:rFonts w:ascii="宋体" w:hAnsi="宋体" w:cs="宋体"/>
          <w:color w:val="auto"/>
          <w:sz w:val="24"/>
          <w:szCs w:val="24"/>
        </w:rPr>
      </w:pPr>
      <w:r>
        <w:rPr>
          <w:rFonts w:hint="eastAsia" w:ascii="宋体" w:hAnsi="宋体" w:cs="宋体"/>
          <w:color w:val="auto"/>
          <w:sz w:val="24"/>
          <w:szCs w:val="24"/>
        </w:rPr>
        <w:t>五、成交通知</w:t>
      </w:r>
      <w:bookmarkEnd w:id="57"/>
      <w:bookmarkEnd w:id="58"/>
      <w:bookmarkEnd w:id="59"/>
      <w:bookmarkEnd w:id="60"/>
      <w:bookmarkEnd w:id="6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（三）《成交通知书》将作为签订合同的依据。</w:t>
      </w:r>
    </w:p>
    <w:p>
      <w:pPr>
        <w:pStyle w:val="4"/>
        <w:spacing w:before="0" w:after="0" w:line="360" w:lineRule="auto"/>
        <w:rPr>
          <w:rFonts w:ascii="宋体" w:hAnsi="宋体" w:cs="宋体"/>
          <w:color w:val="auto"/>
          <w:sz w:val="24"/>
          <w:szCs w:val="24"/>
        </w:rPr>
      </w:pPr>
      <w:bookmarkStart w:id="62" w:name="_Toc14603"/>
      <w:bookmarkStart w:id="63" w:name="_Toc4498"/>
      <w:bookmarkStart w:id="64" w:name="_Toc1331"/>
      <w:r>
        <w:rPr>
          <w:rFonts w:hint="eastAsia" w:ascii="宋体" w:hAnsi="宋体" w:cs="宋体"/>
          <w:color w:val="auto"/>
          <w:sz w:val="24"/>
          <w:szCs w:val="24"/>
        </w:rPr>
        <w:t>六、关于咨询</w:t>
      </w:r>
      <w:bookmarkEnd w:id="62"/>
      <w:bookmarkEnd w:id="63"/>
      <w:bookmarkEnd w:id="64"/>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提出质疑的应当是参与所质疑项目采购活动的供应商。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1.质疑时限、内容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1.2.1供应商的姓名或者名称、地址、邮编、联系人及联系电话；</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1.2.2质疑项目的名称、项目号以及磋商项目编号；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1.2.3具体、明确的质疑事项和与质疑事项相关的请求；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1.2.4事实依据；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1.2.5必要的法律依据；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1.2.6提出质疑的日期；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2.质疑答复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3.不予受理或暂缓受理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3.1质疑有下列情形之一的，不予受理：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3.1.1质疑供应商参与了磋商活动后，再对竞争性磋商文件内容提出质疑的；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3.1.2质疑超过有效期的；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3.1.3对同一事项重复质疑的。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3.2.1质疑书格式和内容不符合国家或重庆市相关规定的；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3.2.2质疑书提供的依据或证明材料不全的；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3.2.3质疑书副本数量不足的。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3.其他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3.2质疑函范本可在财政部门户网站和中国政府采购网下载。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360" w:lineRule="auto"/>
        <w:rPr>
          <w:rFonts w:ascii="宋体" w:hAnsi="宋体" w:cs="宋体"/>
          <w:color w:val="auto"/>
          <w:sz w:val="24"/>
          <w:szCs w:val="24"/>
        </w:rPr>
      </w:pPr>
      <w:bookmarkStart w:id="65" w:name="_Toc102227322"/>
      <w:bookmarkStart w:id="66" w:name="_Toc3254"/>
      <w:bookmarkStart w:id="67" w:name="_Toc342913396"/>
      <w:bookmarkStart w:id="68" w:name="_Toc9092"/>
      <w:bookmarkStart w:id="69" w:name="_Toc9382"/>
      <w:r>
        <w:rPr>
          <w:rFonts w:hint="eastAsia" w:ascii="宋体" w:hAnsi="宋体" w:cs="宋体"/>
          <w:color w:val="auto"/>
          <w:sz w:val="24"/>
          <w:szCs w:val="24"/>
        </w:rPr>
        <w:t>七、签订</w:t>
      </w:r>
      <w:bookmarkEnd w:id="65"/>
      <w:r>
        <w:rPr>
          <w:rFonts w:hint="eastAsia" w:ascii="宋体" w:hAnsi="宋体" w:cs="宋体"/>
          <w:color w:val="auto"/>
          <w:sz w:val="24"/>
          <w:szCs w:val="24"/>
        </w:rPr>
        <w:t>合同</w:t>
      </w:r>
      <w:bookmarkEnd w:id="66"/>
      <w:bookmarkEnd w:id="67"/>
      <w:bookmarkEnd w:id="68"/>
      <w:bookmarkEnd w:id="69"/>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（五）采购人要求成交供应商提供履约保证金的，应当在竞争性磋商文件中予以约定。成交供应商履约完毕后，采购人根据采购文件规定退还其履约保证金。</w:t>
      </w:r>
    </w:p>
    <w:p>
      <w:pPr>
        <w:pStyle w:val="2"/>
        <w:tabs>
          <w:tab w:val="left" w:pos="1260"/>
          <w:tab w:val="left" w:pos="1685"/>
          <w:tab w:val="right" w:leader="dot" w:pos="8400"/>
        </w:tabs>
        <w:spacing w:line="360" w:lineRule="auto"/>
        <w:ind w:firstLine="0" w:firstLineChars="0"/>
        <w:rPr>
          <w:rFonts w:ascii="宋体" w:hAnsi="宋体" w:cs="宋体"/>
          <w:b/>
          <w:color w:val="auto"/>
          <w:sz w:val="24"/>
          <w:szCs w:val="24"/>
        </w:rPr>
      </w:pPr>
      <w:r>
        <w:rPr>
          <w:rFonts w:hint="eastAsia" w:ascii="宋体" w:hAnsi="宋体" w:cs="宋体"/>
          <w:b/>
          <w:color w:val="auto"/>
          <w:sz w:val="24"/>
          <w:szCs w:val="24"/>
        </w:rPr>
        <w:t>八、政府采购信用融资</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3"/>
        <w:spacing w:line="360" w:lineRule="auto"/>
        <w:jc w:val="both"/>
        <w:rPr>
          <w:rFonts w:ascii="宋体" w:hAnsi="宋体" w:eastAsia="宋体" w:cs="宋体"/>
          <w:b w:val="0"/>
          <w:color w:val="auto"/>
          <w:sz w:val="36"/>
          <w:szCs w:val="30"/>
        </w:rPr>
      </w:pPr>
      <w:r>
        <w:rPr>
          <w:rFonts w:hint="eastAsia" w:ascii="宋体" w:hAnsi="宋体" w:eastAsia="宋体" w:cs="宋体"/>
          <w:b w:val="0"/>
          <w:color w:val="auto"/>
          <w:kern w:val="2"/>
          <w:sz w:val="24"/>
          <w:szCs w:val="24"/>
          <w:lang w:val="en-US" w:eastAsia="zh-CN" w:bidi="ar-SA"/>
        </w:rPr>
        <w:t>18580766891。</w:t>
      </w:r>
      <w:r>
        <w:rPr>
          <w:rFonts w:hint="eastAsia" w:ascii="宋体" w:hAnsi="宋体" w:eastAsia="宋体" w:cs="宋体"/>
          <w:color w:val="auto"/>
          <w:sz w:val="36"/>
          <w:szCs w:val="30"/>
        </w:rPr>
        <w:br w:type="page"/>
      </w:r>
      <w:bookmarkStart w:id="70" w:name="_Toc54279010"/>
      <w:r>
        <w:rPr>
          <w:rFonts w:hint="eastAsia" w:ascii="宋体" w:hAnsi="宋体" w:eastAsia="宋体" w:cs="宋体"/>
          <w:b w:val="0"/>
          <w:color w:val="auto"/>
          <w:sz w:val="36"/>
          <w:szCs w:val="30"/>
        </w:rPr>
        <w:t xml:space="preserve">第六篇  </w:t>
      </w:r>
      <w:bookmarkEnd w:id="38"/>
      <w:bookmarkEnd w:id="39"/>
      <w:r>
        <w:rPr>
          <w:rFonts w:hint="eastAsia" w:ascii="宋体" w:hAnsi="宋体" w:eastAsia="宋体" w:cs="宋体"/>
          <w:b w:val="0"/>
          <w:color w:val="auto"/>
          <w:sz w:val="36"/>
          <w:szCs w:val="30"/>
        </w:rPr>
        <w:t>合同</w:t>
      </w:r>
      <w:bookmarkEnd w:id="70"/>
    </w:p>
    <w:p>
      <w:pPr>
        <w:tabs>
          <w:tab w:val="left" w:pos="9000"/>
        </w:tabs>
        <w:spacing w:line="360" w:lineRule="auto"/>
        <w:jc w:val="center"/>
        <w:rPr>
          <w:rFonts w:ascii="宋体" w:hAnsi="宋体" w:cs="宋体"/>
          <w:color w:val="auto"/>
          <w:sz w:val="21"/>
          <w:szCs w:val="21"/>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rPr>
        <w:t>格式自拟</w:t>
      </w:r>
    </w:p>
    <w:p>
      <w:pPr>
        <w:pStyle w:val="3"/>
        <w:spacing w:before="0" w:after="0" w:line="312" w:lineRule="auto"/>
        <w:jc w:val="center"/>
        <w:rPr>
          <w:rFonts w:ascii="宋体" w:hAnsi="宋体" w:eastAsia="宋体" w:cs="宋体"/>
          <w:bCs/>
          <w:color w:val="auto"/>
          <w:sz w:val="36"/>
          <w:szCs w:val="30"/>
          <w:highlight w:val="none"/>
        </w:rPr>
      </w:pPr>
      <w:bookmarkStart w:id="71" w:name="_Hlt41879464"/>
      <w:bookmarkEnd w:id="71"/>
      <w:bookmarkStart w:id="72" w:name="_Toc12789072"/>
      <w:bookmarkStart w:id="73" w:name="_Toc3907"/>
      <w:bookmarkStart w:id="74" w:name="_Toc29402"/>
      <w:bookmarkStart w:id="75" w:name="_Toc32160"/>
      <w:bookmarkStart w:id="76" w:name="_Toc313888360"/>
      <w:bookmarkStart w:id="77" w:name="_Toc54279012"/>
      <w:bookmarkStart w:id="78" w:name="_Toc342913419"/>
      <w:bookmarkStart w:id="79" w:name="_Toc313008356"/>
      <w:bookmarkStart w:id="80" w:name="_Toc283382454"/>
      <w:bookmarkStart w:id="81" w:name="_Toc12789073"/>
      <w:r>
        <w:rPr>
          <w:rFonts w:hint="eastAsia" w:ascii="宋体" w:hAnsi="宋体" w:eastAsia="宋体" w:cs="宋体"/>
          <w:bCs/>
          <w:color w:val="auto"/>
          <w:sz w:val="36"/>
          <w:szCs w:val="30"/>
          <w:highlight w:val="none"/>
        </w:rPr>
        <w:t xml:space="preserve">第七篇  </w:t>
      </w:r>
      <w:bookmarkEnd w:id="72"/>
      <w:r>
        <w:rPr>
          <w:rFonts w:hint="eastAsia" w:ascii="宋体" w:hAnsi="宋体" w:eastAsia="宋体" w:cs="宋体"/>
          <w:bCs/>
          <w:color w:val="auto"/>
          <w:sz w:val="36"/>
          <w:szCs w:val="30"/>
          <w:highlight w:val="none"/>
        </w:rPr>
        <w:t>响应文件编制要求</w:t>
      </w:r>
      <w:bookmarkEnd w:id="73"/>
      <w:bookmarkEnd w:id="74"/>
      <w:bookmarkEnd w:id="75"/>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二、服务部分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三、商务部分</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pStyle w:val="4"/>
        <w:spacing w:before="0" w:after="0" w:line="312" w:lineRule="auto"/>
        <w:rPr>
          <w:rFonts w:hint="eastAsia" w:ascii="宋体" w:hAnsi="宋体" w:eastAsia="宋体" w:cs="宋体"/>
          <w:b w:val="0"/>
          <w:color w:val="auto"/>
          <w:sz w:val="24"/>
          <w:szCs w:val="24"/>
          <w:highlight w:val="none"/>
          <w:lang w:eastAsia="zh-CN"/>
        </w:rPr>
      </w:pPr>
      <w:r>
        <w:rPr>
          <w:rFonts w:hint="eastAsia" w:ascii="宋体" w:hAnsi="宋体" w:cs="宋体"/>
          <w:b w:val="0"/>
          <w:color w:val="auto"/>
          <w:sz w:val="24"/>
          <w:szCs w:val="24"/>
          <w:highlight w:val="none"/>
        </w:rPr>
        <w:t>（二）其它优惠服务承诺（格式自定）</w:t>
      </w:r>
      <w:bookmarkStart w:id="104" w:name="_GoBack"/>
      <w:bookmarkEnd w:id="104"/>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四、资格条件及其他</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pStyle w:val="4"/>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五、其他资料</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（三）其他与项目有关的资料</w:t>
      </w: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hint="eastAsia" w:ascii="宋体" w:hAnsi="宋体" w:cs="宋体"/>
          <w:color w:val="auto"/>
          <w:sz w:val="24"/>
          <w:szCs w:val="24"/>
        </w:rPr>
      </w:pPr>
    </w:p>
    <w:p>
      <w:pPr>
        <w:pStyle w:val="4"/>
        <w:spacing w:line="360" w:lineRule="auto"/>
        <w:rPr>
          <w:rFonts w:ascii="宋体" w:hAnsi="宋体" w:cs="宋体"/>
          <w:color w:val="auto"/>
          <w:sz w:val="24"/>
          <w:szCs w:val="24"/>
        </w:rPr>
      </w:pPr>
      <w:r>
        <w:rPr>
          <w:rFonts w:hint="eastAsia" w:ascii="宋体" w:hAnsi="宋体" w:cs="宋体"/>
          <w:color w:val="auto"/>
          <w:sz w:val="24"/>
          <w:szCs w:val="24"/>
        </w:rPr>
        <w:t>一、经济部分</w:t>
      </w:r>
      <w:bookmarkEnd w:id="76"/>
      <w:bookmarkEnd w:id="77"/>
      <w:bookmarkEnd w:id="78"/>
      <w:bookmarkEnd w:id="79"/>
    </w:p>
    <w:bookmarkEnd w:id="80"/>
    <w:bookmarkEnd w:id="81"/>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jc w:val="center"/>
        <w:rPr>
          <w:rFonts w:ascii="宋体" w:hAnsi="宋体" w:cs="宋体"/>
          <w:b/>
          <w:color w:val="auto"/>
          <w:szCs w:val="28"/>
        </w:rPr>
      </w:pPr>
      <w:r>
        <w:rPr>
          <w:rFonts w:hint="eastAsia" w:ascii="宋体" w:hAnsi="宋体" w:cs="宋体"/>
          <w:b/>
          <w:color w:val="auto"/>
          <w:szCs w:val="28"/>
        </w:rPr>
        <w:t>竞争性磋商报价函</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1、愿意按照竞争性磋商文件中的一切要求，提供本项目的服务费初始报价为人民币：</w:t>
      </w:r>
      <w:r>
        <w:rPr>
          <w:rFonts w:hint="eastAsia" w:ascii="宋体" w:hAnsi="宋体" w:cs="宋体"/>
          <w:color w:val="auto"/>
          <w:sz w:val="24"/>
          <w:szCs w:val="24"/>
          <w:u w:val="single"/>
        </w:rPr>
        <w:t>       </w:t>
      </w:r>
      <w:r>
        <w:rPr>
          <w:rFonts w:hint="eastAsia" w:ascii="宋体" w:hAnsi="宋体" w:cs="宋体"/>
          <w:color w:val="auto"/>
          <w:sz w:val="24"/>
          <w:szCs w:val="24"/>
          <w:u w:val="none"/>
        </w:rPr>
        <w:t>元</w:t>
      </w:r>
      <w:r>
        <w:rPr>
          <w:rFonts w:hint="eastAsia" w:ascii="宋体" w:hAnsi="宋体" w:cs="宋体"/>
          <w:color w:val="auto"/>
          <w:sz w:val="24"/>
          <w:szCs w:val="24"/>
          <w:u w:val="none"/>
          <w:lang w:eastAsia="zh-CN"/>
        </w:rPr>
        <w:t>，大写：</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。以我公司最后报价为准。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3、我方承诺：本次磋商的有效期为</w:t>
      </w:r>
      <w:r>
        <w:rPr>
          <w:rFonts w:hint="eastAsia" w:ascii="宋体" w:hAnsi="宋体" w:cs="宋体"/>
          <w:color w:val="auto"/>
          <w:sz w:val="24"/>
          <w:szCs w:val="24"/>
          <w:u w:val="single"/>
        </w:rPr>
        <w:t>90</w:t>
      </w:r>
      <w:r>
        <w:rPr>
          <w:rFonts w:hint="eastAsia" w:ascii="宋体" w:hAnsi="宋体" w:cs="宋体"/>
          <w:color w:val="auto"/>
          <w:sz w:val="24"/>
          <w:szCs w:val="24"/>
        </w:rPr>
        <w:t>天。</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9、我方未为采购项目提供整体设计、规范编制或者项目管理、监理、检测等服务。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                                                竞标人（公章）：</w:t>
      </w:r>
    </w:p>
    <w:p>
      <w:pPr>
        <w:snapToGrid w:val="0"/>
        <w:spacing w:line="312" w:lineRule="auto"/>
        <w:ind w:firstLine="480" w:firstLineChars="200"/>
        <w:rPr>
          <w:rFonts w:ascii="宋体" w:hAnsi="宋体" w:cs="宋体"/>
          <w:color w:val="auto"/>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rPr>
        <w:t xml:space="preserve">                                                  年   月  日</w:t>
      </w:r>
    </w:p>
    <w:p>
      <w:pPr>
        <w:pStyle w:val="4"/>
        <w:spacing w:before="0" w:after="0" w:line="312" w:lineRule="auto"/>
        <w:rPr>
          <w:rFonts w:ascii="宋体" w:hAnsi="宋体" w:cs="宋体"/>
          <w:color w:val="auto"/>
          <w:sz w:val="24"/>
          <w:szCs w:val="24"/>
          <w:highlight w:val="none"/>
        </w:rPr>
      </w:pPr>
      <w:bookmarkStart w:id="82" w:name="_Toc342913420"/>
      <w:bookmarkStart w:id="83" w:name="_Toc24044"/>
      <w:bookmarkStart w:id="84" w:name="_Toc313888361"/>
      <w:bookmarkStart w:id="85" w:name="_Toc9573"/>
      <w:bookmarkStart w:id="86" w:name="_Toc5448"/>
      <w:bookmarkStart w:id="87" w:name="_Toc313008357"/>
      <w:r>
        <w:rPr>
          <w:rFonts w:hint="eastAsia" w:ascii="宋体" w:hAnsi="宋体" w:cs="宋体"/>
          <w:color w:val="auto"/>
          <w:sz w:val="24"/>
          <w:szCs w:val="24"/>
          <w:highlight w:val="none"/>
        </w:rPr>
        <w:t>二、服务部分</w:t>
      </w:r>
      <w:bookmarkEnd w:id="82"/>
      <w:bookmarkEnd w:id="83"/>
      <w:bookmarkEnd w:id="84"/>
      <w:bookmarkEnd w:id="85"/>
      <w:bookmarkEnd w:id="86"/>
      <w:bookmarkEnd w:id="87"/>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8"/>
        <w:tabs>
          <w:tab w:val="left" w:pos="6300"/>
        </w:tabs>
        <w:snapToGrid w:val="0"/>
        <w:spacing w:line="312" w:lineRule="auto"/>
        <w:ind w:firstLine="480" w:firstLineChars="200"/>
        <w:outlineLvl w:val="0"/>
        <w:rPr>
          <w:rFonts w:ascii="宋体" w:hAnsi="宋体" w:cs="宋体"/>
          <w:color w:val="auto"/>
          <w:sz w:val="24"/>
          <w:highlight w:val="none"/>
        </w:rPr>
      </w:pPr>
    </w:p>
    <w:p>
      <w:pPr>
        <w:pStyle w:val="8"/>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4"/>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b w:val="0"/>
          <w:color w:val="auto"/>
          <w:highlight w:val="none"/>
        </w:rPr>
      </w:pPr>
    </w:p>
    <w:p>
      <w:pPr>
        <w:pStyle w:val="4"/>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88" w:name="_Toc5445"/>
      <w:bookmarkStart w:id="89" w:name="_Toc9361"/>
      <w:bookmarkStart w:id="90" w:name="_Toc313008358"/>
      <w:bookmarkStart w:id="91" w:name="_Toc30652"/>
      <w:bookmarkStart w:id="92" w:name="_Toc342913421"/>
      <w:bookmarkStart w:id="93" w:name="_Toc313888362"/>
      <w:r>
        <w:rPr>
          <w:rFonts w:hint="eastAsia" w:ascii="宋体" w:hAnsi="宋体" w:cs="宋体"/>
          <w:color w:val="auto"/>
          <w:sz w:val="24"/>
          <w:szCs w:val="24"/>
          <w:highlight w:val="none"/>
        </w:rPr>
        <w:t>三、商务部分</w:t>
      </w:r>
      <w:bookmarkEnd w:id="88"/>
      <w:bookmarkEnd w:id="89"/>
      <w:bookmarkEnd w:id="90"/>
      <w:bookmarkEnd w:id="91"/>
      <w:bookmarkEnd w:id="92"/>
      <w:bookmarkEnd w:id="93"/>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94"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4"/>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94"/>
      <w:bookmarkStart w:id="95" w:name="_Toc342913422"/>
      <w:bookmarkStart w:id="96" w:name="_Toc313008359"/>
      <w:bookmarkStart w:id="97" w:name="_Toc5971"/>
      <w:bookmarkStart w:id="98" w:name="_Toc10102"/>
      <w:bookmarkStart w:id="99" w:name="_Toc13012"/>
      <w:bookmarkStart w:id="100" w:name="_Toc313888363"/>
      <w:r>
        <w:rPr>
          <w:rFonts w:hint="eastAsia" w:ascii="宋体" w:hAnsi="宋体" w:cs="宋体"/>
          <w:color w:val="auto"/>
          <w:sz w:val="24"/>
          <w:szCs w:val="24"/>
          <w:highlight w:val="none"/>
        </w:rPr>
        <w:t>四、资格条件及其他</w:t>
      </w:r>
      <w:bookmarkEnd w:id="95"/>
      <w:bookmarkEnd w:id="96"/>
      <w:bookmarkEnd w:id="97"/>
      <w:bookmarkEnd w:id="98"/>
      <w:bookmarkEnd w:id="99"/>
      <w:bookmarkEnd w:id="100"/>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1" w:name="_Toc76462354"/>
      <w:bookmarkStart w:id="102" w:name="_Toc106030910"/>
      <w:bookmarkStart w:id="103" w:name="_Toc14422"/>
      <w:r>
        <w:rPr>
          <w:rFonts w:hint="eastAsia" w:asciiTheme="minorEastAsia" w:hAnsiTheme="minorEastAsia" w:eastAsiaTheme="minorEastAsia" w:cstheme="minorEastAsia"/>
          <w:color w:val="auto"/>
          <w:sz w:val="24"/>
          <w:highlight w:val="none"/>
        </w:rPr>
        <w:t>五、其他资料</w:t>
      </w:r>
      <w:bookmarkEnd w:id="101"/>
      <w:bookmarkEnd w:id="102"/>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3"/>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pPr>
        <w:rPr>
          <w:color w:val="auto"/>
        </w:rPr>
      </w:pPr>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4"/>
        <w:rFonts w:ascii="宋体"/>
        <w:sz w:val="21"/>
        <w:szCs w:val="21"/>
      </w:rPr>
    </w:pPr>
    <w:r>
      <w:rPr>
        <w:rFonts w:ascii="宋体"/>
        <w:sz w:val="21"/>
        <w:szCs w:val="21"/>
      </w:rPr>
      <w:fldChar w:fldCharType="begin"/>
    </w:r>
    <w:r>
      <w:rPr>
        <w:rStyle w:val="14"/>
        <w:rFonts w:ascii="宋体"/>
        <w:sz w:val="21"/>
        <w:szCs w:val="21"/>
      </w:rPr>
      <w:instrText xml:space="preserve">PAGE  </w:instrText>
    </w:r>
    <w:r>
      <w:rPr>
        <w:rFonts w:ascii="宋体"/>
        <w:sz w:val="21"/>
        <w:szCs w:val="21"/>
      </w:rPr>
      <w:fldChar w:fldCharType="separate"/>
    </w:r>
    <w:r>
      <w:rPr>
        <w:rStyle w:val="14"/>
        <w:rFonts w:ascii="宋体"/>
        <w:sz w:val="21"/>
        <w:szCs w:val="21"/>
      </w:rPr>
      <w:t>- 3 -</w:t>
    </w:r>
    <w:r>
      <w:rPr>
        <w:rFonts w:ascii="宋体"/>
        <w:sz w:val="21"/>
        <w:szCs w:val="21"/>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p>
  <w:p>
    <w:pPr>
      <w:pStyle w:val="9"/>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1"/>
        <w:szCs w:val="21"/>
      </w:rPr>
    </w:pPr>
    <w:r>
      <w:rPr>
        <w:rFonts w:ascii="宋体" w:hAnsi="宋体"/>
        <w:sz w:val="21"/>
        <w:szCs w:val="21"/>
      </w:rPr>
      <w:fldChar w:fldCharType="begin"/>
    </w:r>
    <w:r>
      <w:rPr>
        <w:rStyle w:val="14"/>
        <w:rFonts w:ascii="宋体" w:hAnsi="宋体"/>
        <w:sz w:val="21"/>
        <w:szCs w:val="21"/>
      </w:rPr>
      <w:instrText xml:space="preserve"> PAGE </w:instrText>
    </w:r>
    <w:r>
      <w:rPr>
        <w:rFonts w:ascii="宋体" w:hAnsi="宋体"/>
        <w:sz w:val="21"/>
        <w:szCs w:val="21"/>
      </w:rPr>
      <w:fldChar w:fldCharType="separate"/>
    </w:r>
    <w:r>
      <w:rPr>
        <w:rStyle w:val="14"/>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CECC1"/>
    <w:multiLevelType w:val="singleLevel"/>
    <w:tmpl w:val="C2BCECC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042D9"/>
    <w:rsid w:val="055B38CC"/>
    <w:rsid w:val="05726C87"/>
    <w:rsid w:val="05C8791C"/>
    <w:rsid w:val="0A37201D"/>
    <w:rsid w:val="0B0905C9"/>
    <w:rsid w:val="15C81A1D"/>
    <w:rsid w:val="1CA425FD"/>
    <w:rsid w:val="1EF81BE5"/>
    <w:rsid w:val="20F373E0"/>
    <w:rsid w:val="219758B7"/>
    <w:rsid w:val="22CD4ED8"/>
    <w:rsid w:val="233E5BBC"/>
    <w:rsid w:val="25EB35AE"/>
    <w:rsid w:val="26E6750B"/>
    <w:rsid w:val="29F61601"/>
    <w:rsid w:val="2CE042D9"/>
    <w:rsid w:val="37E04B56"/>
    <w:rsid w:val="387B7D26"/>
    <w:rsid w:val="3A382ECA"/>
    <w:rsid w:val="3DE149C5"/>
    <w:rsid w:val="45F148E5"/>
    <w:rsid w:val="4A1B532A"/>
    <w:rsid w:val="5240506F"/>
    <w:rsid w:val="6A4A7404"/>
    <w:rsid w:val="6A690BD8"/>
    <w:rsid w:val="6BC46FAE"/>
    <w:rsid w:val="7512355B"/>
    <w:rsid w:val="775368CB"/>
    <w:rsid w:val="7F51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caps/>
      <w:sz w:val="20"/>
    </w:rPr>
  </w:style>
  <w:style w:type="paragraph" w:styleId="5">
    <w:name w:val="Normal Indent"/>
    <w:basedOn w:val="1"/>
    <w:qFormat/>
    <w:uiPriority w:val="0"/>
    <w:pPr>
      <w:adjustRightInd w:val="0"/>
      <w:snapToGrid w:val="0"/>
      <w:spacing w:line="360" w:lineRule="auto"/>
      <w:ind w:firstLine="420"/>
    </w:pPr>
    <w:rPr>
      <w:sz w:val="24"/>
    </w:rPr>
  </w:style>
  <w:style w:type="paragraph" w:styleId="6">
    <w:name w:val="toc 3"/>
    <w:basedOn w:val="1"/>
    <w:next w:val="1"/>
    <w:qFormat/>
    <w:uiPriority w:val="39"/>
    <w:pPr>
      <w:ind w:left="840" w:leftChars="400"/>
    </w:pPr>
  </w:style>
  <w:style w:type="paragraph" w:styleId="7">
    <w:name w:val="Plain Text"/>
    <w:basedOn w:val="1"/>
    <w:qFormat/>
    <w:uiPriority w:val="0"/>
    <w:rPr>
      <w:rFonts w:ascii="宋体" w:hAnsi="Courier New"/>
      <w:sz w:val="21"/>
    </w:rPr>
  </w:style>
  <w:style w:type="paragraph" w:styleId="8">
    <w:name w:val="Date"/>
    <w:basedOn w:val="1"/>
    <w:next w:val="1"/>
    <w:qFormat/>
    <w:uiPriority w:val="0"/>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toc 2"/>
    <w:basedOn w:val="1"/>
    <w:next w:val="1"/>
    <w:qFormat/>
    <w:uiPriority w:val="39"/>
    <w:pPr>
      <w:ind w:left="420" w:leftChars="200"/>
    </w:pPr>
  </w:style>
  <w:style w:type="character" w:styleId="14">
    <w:name w:val="page number"/>
    <w:basedOn w:val="13"/>
    <w:qFormat/>
    <w:uiPriority w:val="0"/>
  </w:style>
  <w:style w:type="character" w:styleId="15">
    <w:name w:val="Hyperlink"/>
    <w:qFormat/>
    <w:uiPriority w:val="99"/>
    <w:rPr>
      <w:color w:val="0000FF"/>
      <w:u w:val="single"/>
    </w:rPr>
  </w:style>
  <w:style w:type="paragraph" w:customStyle="1" w:styleId="16">
    <w:name w:val="1"/>
    <w:basedOn w:val="1"/>
    <w:next w:val="7"/>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2023-03-20T01:49:00Z</dcterms:created>
  <dc:creator>LH</dc:creator>
  <cp:lastModifiedBy>王小勇</cp:lastModifiedBy>
  <cp:lastPrinted>2023-04-13T01:38:00Z</cp:lastPrinted>
  <dcterms:modified xsi:type="dcterms:W3CDTF">2023-04-23T07:53:42Z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