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highlight w:val="none"/>
        </w:rPr>
      </w:pPr>
    </w:p>
    <w:p>
      <w:pPr>
        <w:jc w:val="center"/>
        <w:rPr>
          <w:rFonts w:ascii="宋体" w:hAnsi="宋体" w:cs="宋体"/>
          <w:color w:val="auto"/>
          <w:sz w:val="84"/>
          <w:szCs w:val="84"/>
          <w:highlight w:val="none"/>
        </w:rPr>
      </w:pPr>
    </w:p>
    <w:p>
      <w:pPr>
        <w:jc w:val="center"/>
        <w:rPr>
          <w:rFonts w:ascii="宋体" w:hAnsi="宋体" w:cs="宋体"/>
          <w:color w:val="auto"/>
          <w:sz w:val="84"/>
          <w:szCs w:val="84"/>
          <w:highlight w:val="none"/>
        </w:rPr>
      </w:pPr>
      <w:r>
        <w:rPr>
          <w:rFonts w:hint="eastAsia" w:ascii="宋体" w:hAnsi="宋体" w:cs="宋体"/>
          <w:color w:val="auto"/>
          <w:sz w:val="84"/>
          <w:szCs w:val="84"/>
          <w:highlight w:val="none"/>
        </w:rPr>
        <w:t>竞争性磋商文件</w:t>
      </w: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jc w:val="center"/>
        <w:rPr>
          <w:rFonts w:ascii="宋体" w:hAnsi="宋体" w:cs="宋体"/>
          <w:color w:val="auto"/>
          <w:sz w:val="32"/>
          <w:highlight w:val="none"/>
        </w:rPr>
      </w:pPr>
    </w:p>
    <w:p>
      <w:pPr>
        <w:spacing w:line="700" w:lineRule="exact"/>
        <w:ind w:left="2520" w:hanging="2520" w:hangingChars="700"/>
        <w:rPr>
          <w:rFonts w:ascii="宋体" w:hAnsi="宋体" w:cs="宋体"/>
          <w:color w:val="auto"/>
          <w:sz w:val="36"/>
          <w:szCs w:val="30"/>
          <w:highlight w:val="none"/>
        </w:rPr>
      </w:pPr>
      <w:r>
        <w:rPr>
          <w:rFonts w:hint="eastAsia" w:ascii="宋体" w:hAnsi="宋体" w:cs="宋体"/>
          <w:color w:val="auto"/>
          <w:sz w:val="36"/>
          <w:szCs w:val="30"/>
          <w:highlight w:val="none"/>
        </w:rPr>
        <w:t>磋商项目名称：大渡口区实验小学扩建工程预算编制</w:t>
      </w:r>
    </w:p>
    <w:p>
      <w:pPr>
        <w:spacing w:line="700" w:lineRule="exact"/>
        <w:ind w:firstLine="1749" w:firstLineChars="486"/>
        <w:rPr>
          <w:rFonts w:ascii="宋体" w:hAnsi="宋体" w:cs="宋体"/>
          <w:color w:val="auto"/>
          <w:sz w:val="36"/>
          <w:szCs w:val="30"/>
          <w:highlight w:val="none"/>
        </w:rPr>
      </w:pPr>
    </w:p>
    <w:p>
      <w:pPr>
        <w:spacing w:line="700" w:lineRule="exact"/>
        <w:ind w:firstLine="1749" w:firstLineChars="486"/>
        <w:rPr>
          <w:rFonts w:ascii="宋体" w:hAnsi="宋体" w:cs="宋体"/>
          <w:color w:val="auto"/>
          <w:sz w:val="36"/>
          <w:szCs w:val="30"/>
          <w:highlight w:val="none"/>
        </w:rPr>
      </w:pPr>
    </w:p>
    <w:p>
      <w:pPr>
        <w:spacing w:line="700" w:lineRule="exact"/>
        <w:jc w:val="center"/>
        <w:rPr>
          <w:rFonts w:ascii="宋体" w:hAnsi="宋体" w:cs="宋体"/>
          <w:b/>
          <w:color w:val="auto"/>
          <w:sz w:val="30"/>
          <w:szCs w:val="30"/>
          <w:highlight w:val="none"/>
        </w:rPr>
      </w:pPr>
    </w:p>
    <w:p>
      <w:pPr>
        <w:spacing w:line="700" w:lineRule="exact"/>
        <w:jc w:val="center"/>
        <w:rPr>
          <w:rFonts w:ascii="宋体" w:hAnsi="宋体" w:cs="宋体"/>
          <w:color w:val="auto"/>
          <w:sz w:val="36"/>
          <w:szCs w:val="30"/>
          <w:highlight w:val="none"/>
        </w:rPr>
      </w:pPr>
      <w:r>
        <w:rPr>
          <w:rFonts w:hint="eastAsia" w:ascii="宋体" w:hAnsi="宋体" w:cs="宋体"/>
          <w:color w:val="auto"/>
          <w:sz w:val="36"/>
          <w:szCs w:val="30"/>
          <w:highlight w:val="none"/>
        </w:rPr>
        <w:t>采购人：重庆建桥实业发展有限公司</w:t>
      </w:r>
    </w:p>
    <w:p>
      <w:pPr>
        <w:spacing w:line="720" w:lineRule="exact"/>
        <w:jc w:val="center"/>
        <w:outlineLvl w:val="0"/>
        <w:rPr>
          <w:rFonts w:ascii="宋体" w:hAnsi="宋体" w:cs="宋体"/>
          <w:color w:val="auto"/>
          <w:sz w:val="36"/>
          <w:szCs w:val="30"/>
          <w:highlight w:val="none"/>
        </w:rPr>
      </w:pPr>
    </w:p>
    <w:p>
      <w:pPr>
        <w:spacing w:line="720" w:lineRule="exact"/>
        <w:jc w:val="center"/>
        <w:outlineLvl w:val="0"/>
        <w:rPr>
          <w:rFonts w:ascii="宋体" w:hAnsi="宋体" w:cs="宋体"/>
          <w:color w:val="auto"/>
          <w:sz w:val="36"/>
          <w:szCs w:val="30"/>
          <w:highlight w:val="none"/>
        </w:rPr>
      </w:pPr>
      <w:r>
        <w:rPr>
          <w:rFonts w:hint="eastAsia" w:ascii="宋体" w:hAnsi="宋体" w:cs="宋体"/>
          <w:color w:val="auto"/>
          <w:sz w:val="36"/>
          <w:szCs w:val="30"/>
          <w:highlight w:val="none"/>
        </w:rPr>
        <w:t>二〇二三年</w:t>
      </w:r>
      <w:r>
        <w:rPr>
          <w:rFonts w:hint="eastAsia" w:ascii="宋体" w:hAnsi="宋体" w:cs="宋体"/>
          <w:color w:val="auto"/>
          <w:sz w:val="36"/>
          <w:szCs w:val="30"/>
          <w:highlight w:val="none"/>
          <w:lang w:eastAsia="zh-CN"/>
        </w:rPr>
        <w:t>四</w:t>
      </w:r>
      <w:r>
        <w:rPr>
          <w:rFonts w:hint="eastAsia" w:ascii="宋体" w:hAnsi="宋体" w:cs="宋体"/>
          <w:color w:val="auto"/>
          <w:sz w:val="36"/>
          <w:szCs w:val="30"/>
          <w:highlight w:val="none"/>
        </w:rPr>
        <w:t>月</w:t>
      </w:r>
    </w:p>
    <w:p>
      <w:pPr>
        <w:spacing w:line="480" w:lineRule="exact"/>
        <w:jc w:val="center"/>
        <w:outlineLvl w:val="0"/>
        <w:rPr>
          <w:rFonts w:ascii="宋体" w:hAnsi="宋体" w:cs="宋体"/>
          <w:color w:val="auto"/>
          <w:sz w:val="44"/>
          <w:szCs w:val="28"/>
          <w:highlight w:val="none"/>
        </w:rPr>
      </w:pPr>
      <w:r>
        <w:rPr>
          <w:rFonts w:hint="eastAsia" w:ascii="宋体" w:hAnsi="宋体" w:cs="宋体"/>
          <w:color w:val="auto"/>
          <w:sz w:val="44"/>
          <w:szCs w:val="28"/>
          <w:highlight w:val="none"/>
        </w:rPr>
        <w:br w:type="page"/>
      </w:r>
      <w:r>
        <w:rPr>
          <w:rFonts w:hint="eastAsia" w:ascii="宋体" w:hAnsi="宋体" w:cs="宋体"/>
          <w:color w:val="auto"/>
          <w:sz w:val="44"/>
          <w:szCs w:val="28"/>
          <w:highlight w:val="none"/>
        </w:rPr>
        <w:t>目   录</w:t>
      </w:r>
    </w:p>
    <w:p>
      <w:pPr>
        <w:pStyle w:val="11"/>
        <w:tabs>
          <w:tab w:val="right" w:leader="dot" w:pos="9402"/>
        </w:tabs>
        <w:ind w:left="560"/>
        <w:rPr>
          <w:rFonts w:ascii="宋体" w:hAnsi="宋体" w:cs="宋体"/>
          <w:color w:val="auto"/>
          <w:sz w:val="21"/>
          <w:szCs w:val="22"/>
          <w:highlight w:val="none"/>
        </w:rPr>
      </w:pPr>
      <w:r>
        <w:rPr>
          <w:rFonts w:hint="eastAsia" w:ascii="宋体" w:hAnsi="宋体" w:cs="宋体"/>
          <w:color w:val="auto"/>
          <w:sz w:val="21"/>
          <w:szCs w:val="21"/>
          <w:highlight w:val="none"/>
        </w:rPr>
        <w:fldChar w:fldCharType="begin"/>
      </w:r>
      <w:r>
        <w:rPr>
          <w:rFonts w:hint="eastAsia" w:ascii="宋体" w:hAnsi="宋体" w:cs="宋体"/>
          <w:color w:val="auto"/>
          <w:sz w:val="21"/>
          <w:szCs w:val="21"/>
          <w:highlight w:val="none"/>
        </w:rPr>
        <w:instrText xml:space="preserve"> TOC \o "1-3" \h \z </w:instrText>
      </w:r>
      <w:r>
        <w:rPr>
          <w:rFonts w:hint="eastAsia" w:ascii="宋体" w:hAnsi="宋体" w:cs="宋体"/>
          <w:color w:val="auto"/>
          <w:sz w:val="21"/>
          <w:szCs w:val="21"/>
          <w:highlight w:val="none"/>
        </w:rPr>
        <w:fldChar w:fldCharType="separate"/>
      </w:r>
      <w:r>
        <w:rPr>
          <w:color w:val="auto"/>
          <w:highlight w:val="none"/>
        </w:rPr>
        <w:fldChar w:fldCharType="begin"/>
      </w:r>
      <w:r>
        <w:rPr>
          <w:color w:val="auto"/>
          <w:highlight w:val="none"/>
        </w:rPr>
        <w:instrText xml:space="preserve"> HYPERLINK \l "_Toc54278968" </w:instrText>
      </w:r>
      <w:r>
        <w:rPr>
          <w:color w:val="auto"/>
          <w:highlight w:val="none"/>
        </w:rPr>
        <w:fldChar w:fldCharType="separate"/>
      </w:r>
      <w:r>
        <w:rPr>
          <w:rStyle w:val="16"/>
          <w:rFonts w:hint="eastAsia" w:ascii="宋体" w:hAnsi="宋体" w:cs="宋体"/>
          <w:color w:val="auto"/>
          <w:highlight w:val="none"/>
        </w:rPr>
        <w:t>第一篇  采购邀请书</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_Toc54278968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"_Toc54278969" </w:instrText>
      </w:r>
      <w:r>
        <w:rPr>
          <w:color w:val="auto"/>
          <w:highlight w:val="none"/>
        </w:rPr>
        <w:fldChar w:fldCharType="separate"/>
      </w:r>
      <w:r>
        <w:rPr>
          <w:rStyle w:val="16"/>
          <w:rFonts w:hint="eastAsia" w:ascii="宋体" w:hAnsi="宋体" w:cs="宋体"/>
          <w:color w:val="auto"/>
          <w:highlight w:val="none"/>
        </w:rPr>
        <w:t>一、竞争性磋商内容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_Toc54278969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"_Toc54278970" </w:instrText>
      </w:r>
      <w:r>
        <w:rPr>
          <w:color w:val="auto"/>
          <w:highlight w:val="none"/>
        </w:rPr>
        <w:fldChar w:fldCharType="separate"/>
      </w:r>
      <w:r>
        <w:rPr>
          <w:rStyle w:val="16"/>
          <w:rFonts w:hint="eastAsia" w:ascii="宋体" w:hAnsi="宋体" w:cs="宋体"/>
          <w:color w:val="auto"/>
          <w:highlight w:val="none"/>
        </w:rPr>
        <w:t>二、资金来源</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_Toc54278970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"_Toc54278971" </w:instrText>
      </w:r>
      <w:r>
        <w:rPr>
          <w:color w:val="auto"/>
          <w:highlight w:val="none"/>
        </w:rPr>
        <w:fldChar w:fldCharType="separate"/>
      </w:r>
      <w:r>
        <w:rPr>
          <w:rStyle w:val="16"/>
          <w:rFonts w:hint="eastAsia" w:ascii="宋体" w:hAnsi="宋体" w:cs="宋体"/>
          <w:color w:val="auto"/>
          <w:highlight w:val="none"/>
        </w:rPr>
        <w:t>三、供应商资格条件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_Toc54278971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Style w:val="16"/>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6"/>
          <w:rFonts w:hint="eastAsia" w:ascii="宋体" w:hAnsi="宋体" w:cs="宋体"/>
          <w:color w:val="auto"/>
          <w:highlight w:val="none"/>
        </w:rPr>
        <w:t>四、磋商有关说明</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Style w:val="16"/>
          <w:rFonts w:ascii="宋体" w:hAnsi="宋体" w:cs="宋体"/>
          <w:color w:val="auto"/>
          <w:highlight w:val="non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6"/>
          <w:rFonts w:hint="eastAsia" w:ascii="宋体" w:hAnsi="宋体" w:cs="宋体"/>
          <w:color w:val="auto"/>
          <w:highlight w:val="none"/>
        </w:rPr>
        <w:t>五、磋商保证金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highlight w:val="none"/>
          <w:u w:val="single"/>
        </w:rPr>
      </w:pPr>
      <w:r>
        <w:rPr>
          <w:color w:val="auto"/>
          <w:highlight w:val="none"/>
        </w:rPr>
        <w:fldChar w:fldCharType="begin"/>
      </w:r>
      <w:r>
        <w:rPr>
          <w:color w:val="auto"/>
          <w:highlight w:val="none"/>
        </w:rPr>
        <w:instrText xml:space="preserve"> HYPERLINK \l "_Toc54278972" </w:instrText>
      </w:r>
      <w:r>
        <w:rPr>
          <w:color w:val="auto"/>
          <w:highlight w:val="none"/>
        </w:rPr>
        <w:fldChar w:fldCharType="separate"/>
      </w:r>
      <w:r>
        <w:rPr>
          <w:rStyle w:val="16"/>
          <w:rFonts w:hint="eastAsia" w:ascii="宋体" w:hAnsi="宋体" w:cs="宋体"/>
          <w:color w:val="auto"/>
          <w:highlight w:val="none"/>
        </w:rPr>
        <w:t>六、履约保证金</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_Toc54278972 \h </w:instrText>
      </w:r>
      <w:r>
        <w:rPr>
          <w:rFonts w:hint="eastAsia" w:ascii="宋体" w:hAnsi="宋体" w:cs="宋体"/>
          <w:color w:val="auto"/>
          <w:highlight w:val="none"/>
        </w:rPr>
        <w:fldChar w:fldCharType="separate"/>
      </w:r>
      <w:r>
        <w:rPr>
          <w:rFonts w:hint="eastAsia" w:ascii="宋体" w:hAnsi="宋体" w:cs="宋体"/>
          <w:color w:val="auto"/>
          <w:highlight w:val="none"/>
        </w:rPr>
        <w:t>- 4 -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"_Toc54278973" </w:instrText>
      </w:r>
      <w:r>
        <w:rPr>
          <w:color w:val="auto"/>
          <w:highlight w:val="none"/>
        </w:rPr>
        <w:fldChar w:fldCharType="separate"/>
      </w:r>
      <w:r>
        <w:rPr>
          <w:rStyle w:val="16"/>
          <w:rFonts w:hint="eastAsia" w:ascii="宋体" w:hAnsi="宋体" w:cs="宋体"/>
          <w:color w:val="auto"/>
          <w:highlight w:val="none"/>
        </w:rPr>
        <w:t>七、采购项目需落实的政府采购政策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_Toc54278973 \h </w:instrText>
      </w:r>
      <w:r>
        <w:rPr>
          <w:rFonts w:hint="eastAsia" w:ascii="宋体" w:hAnsi="宋体" w:cs="宋体"/>
          <w:color w:val="auto"/>
          <w:highlight w:val="none"/>
        </w:rPr>
        <w:fldChar w:fldCharType="separate"/>
      </w:r>
      <w:r>
        <w:rPr>
          <w:rFonts w:hint="eastAsia" w:ascii="宋体" w:hAnsi="宋体" w:cs="宋体"/>
          <w:color w:val="auto"/>
          <w:highlight w:val="none"/>
        </w:rPr>
        <w:t>- 5 -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"_Toc54278974" </w:instrText>
      </w:r>
      <w:r>
        <w:rPr>
          <w:color w:val="auto"/>
          <w:highlight w:val="none"/>
        </w:rPr>
        <w:fldChar w:fldCharType="separate"/>
      </w:r>
      <w:r>
        <w:rPr>
          <w:rStyle w:val="16"/>
          <w:rFonts w:hint="eastAsia" w:ascii="宋体" w:hAnsi="宋体" w:cs="宋体"/>
          <w:color w:val="auto"/>
          <w:highlight w:val="none"/>
        </w:rPr>
        <w:t>八、其它有关规定</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_Toc54278974 \h </w:instrText>
      </w:r>
      <w:r>
        <w:rPr>
          <w:rFonts w:hint="eastAsia" w:ascii="宋体" w:hAnsi="宋体" w:cs="宋体"/>
          <w:color w:val="auto"/>
          <w:highlight w:val="none"/>
        </w:rPr>
        <w:fldChar w:fldCharType="separate"/>
      </w:r>
      <w:r>
        <w:rPr>
          <w:rFonts w:hint="eastAsia" w:ascii="宋体" w:hAnsi="宋体" w:cs="宋体"/>
          <w:color w:val="auto"/>
          <w:highlight w:val="none"/>
        </w:rPr>
        <w:t>- 6 -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"_Toc54278975" </w:instrText>
      </w:r>
      <w:r>
        <w:rPr>
          <w:color w:val="auto"/>
          <w:highlight w:val="none"/>
        </w:rPr>
        <w:fldChar w:fldCharType="separate"/>
      </w:r>
      <w:r>
        <w:rPr>
          <w:rStyle w:val="16"/>
          <w:rFonts w:hint="eastAsia" w:ascii="宋体" w:hAnsi="宋体" w:cs="宋体"/>
          <w:color w:val="auto"/>
          <w:highlight w:val="none"/>
        </w:rPr>
        <w:t>九、联系方式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_Toc54278975 \h </w:instrText>
      </w:r>
      <w:r>
        <w:rPr>
          <w:rFonts w:hint="eastAsia" w:ascii="宋体" w:hAnsi="宋体" w:cs="宋体"/>
          <w:color w:val="auto"/>
          <w:highlight w:val="none"/>
        </w:rPr>
        <w:fldChar w:fldCharType="separate"/>
      </w:r>
      <w:r>
        <w:rPr>
          <w:rFonts w:hint="eastAsia" w:ascii="宋体" w:hAnsi="宋体" w:cs="宋体"/>
          <w:color w:val="auto"/>
          <w:highlight w:val="none"/>
        </w:rPr>
        <w:t>- 7 -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1"/>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"_Toc54278977" </w:instrText>
      </w:r>
      <w:r>
        <w:rPr>
          <w:color w:val="auto"/>
          <w:highlight w:val="none"/>
        </w:rPr>
        <w:fldChar w:fldCharType="separate"/>
      </w:r>
      <w:r>
        <w:rPr>
          <w:rStyle w:val="16"/>
          <w:rFonts w:hint="eastAsia" w:ascii="宋体" w:hAnsi="宋体" w:cs="宋体"/>
          <w:color w:val="auto"/>
          <w:highlight w:val="none"/>
        </w:rPr>
        <w:t>第二篇  项目服务需求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"_Toc54278978" </w:instrText>
      </w:r>
      <w:r>
        <w:rPr>
          <w:color w:val="auto"/>
          <w:highlight w:val="none"/>
        </w:rPr>
        <w:fldChar w:fldCharType="separate"/>
      </w:r>
      <w:r>
        <w:rPr>
          <w:rStyle w:val="16"/>
          <w:rFonts w:hint="eastAsia" w:ascii="宋体" w:hAnsi="宋体" w:cs="宋体"/>
          <w:color w:val="auto"/>
          <w:highlight w:val="none"/>
        </w:rPr>
        <w:t>一、建设地点</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lang w:val="en-US" w:eastAsia="zh-CN"/>
        </w:rPr>
        <w:t xml:space="preserve"> </w:t>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"_Toc54278979" </w:instrText>
      </w:r>
      <w:r>
        <w:rPr>
          <w:color w:val="auto"/>
          <w:highlight w:val="none"/>
        </w:rPr>
        <w:fldChar w:fldCharType="separate"/>
      </w:r>
      <w:r>
        <w:rPr>
          <w:rStyle w:val="16"/>
          <w:rFonts w:hint="eastAsia" w:ascii="宋体" w:hAnsi="宋体" w:cs="宋体"/>
          <w:color w:val="auto"/>
          <w:highlight w:val="none"/>
        </w:rPr>
        <w:t>二、建设规模</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_Toc54278977 \h </w:instrText>
      </w:r>
      <w:r>
        <w:rPr>
          <w:rFonts w:hint="eastAsia" w:ascii="宋体" w:hAnsi="宋体" w:cs="宋体"/>
          <w:color w:val="auto"/>
          <w:highlight w:val="none"/>
        </w:rPr>
        <w:fldChar w:fldCharType="separate"/>
      </w:r>
      <w:r>
        <w:rPr>
          <w:rFonts w:hint="eastAsia" w:ascii="宋体" w:hAnsi="宋体" w:cs="宋体"/>
          <w:color w:val="auto"/>
          <w:highlight w:val="none"/>
        </w:rPr>
        <w:t>- 8 -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1"/>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"_Toc54278984" </w:instrText>
      </w:r>
      <w:r>
        <w:rPr>
          <w:color w:val="auto"/>
          <w:highlight w:val="none"/>
        </w:rPr>
        <w:fldChar w:fldCharType="separate"/>
      </w:r>
      <w:r>
        <w:rPr>
          <w:rStyle w:val="16"/>
          <w:rFonts w:hint="eastAsia" w:ascii="宋体" w:hAnsi="宋体" w:cs="宋体"/>
          <w:color w:val="auto"/>
          <w:highlight w:val="none"/>
        </w:rPr>
        <w:t>第三篇  项目商务需求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_Toc54278984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"_Toc54278985" </w:instrText>
      </w:r>
      <w:r>
        <w:rPr>
          <w:color w:val="auto"/>
          <w:highlight w:val="none"/>
        </w:rPr>
        <w:fldChar w:fldCharType="separate"/>
      </w:r>
      <w:r>
        <w:rPr>
          <w:rStyle w:val="16"/>
          <w:rFonts w:hint="eastAsia" w:ascii="宋体" w:hAnsi="宋体" w:cs="宋体"/>
          <w:color w:val="auto"/>
          <w:highlight w:val="none"/>
        </w:rPr>
        <w:t>一、服务期、地点及验收方式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_Toc54278985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"_Toc54278986" </w:instrText>
      </w:r>
      <w:r>
        <w:rPr>
          <w:color w:val="auto"/>
          <w:highlight w:val="none"/>
        </w:rPr>
        <w:fldChar w:fldCharType="separate"/>
      </w:r>
      <w:r>
        <w:rPr>
          <w:rStyle w:val="16"/>
          <w:rFonts w:hint="eastAsia" w:ascii="宋体" w:hAnsi="宋体" w:cs="宋体"/>
          <w:color w:val="auto"/>
          <w:highlight w:val="none"/>
        </w:rPr>
        <w:t>二、报价要求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"_Toc54278987" </w:instrText>
      </w:r>
      <w:r>
        <w:rPr>
          <w:color w:val="auto"/>
          <w:highlight w:val="none"/>
        </w:rPr>
        <w:fldChar w:fldCharType="separate"/>
      </w:r>
      <w:r>
        <w:rPr>
          <w:rStyle w:val="16"/>
          <w:rFonts w:hint="eastAsia" w:ascii="宋体" w:hAnsi="宋体" w:cs="宋体"/>
          <w:color w:val="auto"/>
          <w:highlight w:val="none"/>
        </w:rPr>
        <w:t>三、结算原则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"_Toc54278988" </w:instrText>
      </w:r>
      <w:r>
        <w:rPr>
          <w:color w:val="auto"/>
          <w:highlight w:val="none"/>
        </w:rPr>
        <w:fldChar w:fldCharType="separate"/>
      </w:r>
      <w:r>
        <w:rPr>
          <w:rStyle w:val="16"/>
          <w:rFonts w:hint="eastAsia" w:ascii="宋体" w:hAnsi="宋体" w:cs="宋体"/>
          <w:color w:val="auto"/>
          <w:highlight w:val="none"/>
        </w:rPr>
        <w:t>四、付款方式</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"_Toc54278989" </w:instrText>
      </w:r>
      <w:r>
        <w:rPr>
          <w:color w:val="auto"/>
          <w:highlight w:val="none"/>
        </w:rPr>
        <w:fldChar w:fldCharType="separate"/>
      </w:r>
      <w:r>
        <w:rPr>
          <w:rStyle w:val="16"/>
          <w:rFonts w:hint="eastAsia" w:ascii="宋体" w:hAnsi="宋体" w:cs="宋体"/>
          <w:color w:val="auto"/>
          <w:highlight w:val="none"/>
        </w:rPr>
        <w:t>五、知识产权</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"_Toc54278991" </w:instrText>
      </w:r>
      <w:r>
        <w:rPr>
          <w:color w:val="auto"/>
          <w:highlight w:val="none"/>
        </w:rPr>
        <w:fldChar w:fldCharType="separate"/>
      </w:r>
      <w:r>
        <w:rPr>
          <w:rStyle w:val="16"/>
          <w:rFonts w:hint="eastAsia" w:ascii="宋体" w:hAnsi="宋体" w:cs="宋体"/>
          <w:color w:val="auto"/>
          <w:highlight w:val="none"/>
        </w:rPr>
        <w:t>六、其他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_Toc54278986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bookmarkStart w:id="89" w:name="_GoBack"/>
      <w:bookmarkEnd w:id="89"/>
    </w:p>
    <w:p>
      <w:pPr>
        <w:pStyle w:val="11"/>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"_Toc54278994" </w:instrText>
      </w:r>
      <w:r>
        <w:rPr>
          <w:color w:val="auto"/>
          <w:highlight w:val="none"/>
        </w:rPr>
        <w:fldChar w:fldCharType="separate"/>
      </w:r>
      <w:r>
        <w:rPr>
          <w:rStyle w:val="16"/>
          <w:rFonts w:hint="eastAsia" w:ascii="宋体" w:hAnsi="宋体" w:cs="宋体"/>
          <w:color w:val="auto"/>
          <w:highlight w:val="none"/>
        </w:rPr>
        <w:t>第四篇  磋商程序及方法、评审标准、无效响应和采购终止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_Toc54278994 \h </w:instrText>
      </w:r>
      <w:r>
        <w:rPr>
          <w:rFonts w:hint="eastAsia" w:ascii="宋体" w:hAnsi="宋体" w:cs="宋体"/>
          <w:color w:val="auto"/>
          <w:highlight w:val="none"/>
        </w:rPr>
        <w:fldChar w:fldCharType="separate"/>
      </w:r>
      <w:r>
        <w:rPr>
          <w:rFonts w:hint="eastAsia" w:ascii="宋体" w:hAnsi="宋体" w:cs="宋体"/>
          <w:color w:val="auto"/>
          <w:highlight w:val="none"/>
        </w:rPr>
        <w:t>- 9 -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"_Toc54278995" </w:instrText>
      </w:r>
      <w:r>
        <w:rPr>
          <w:color w:val="auto"/>
          <w:highlight w:val="none"/>
        </w:rPr>
        <w:fldChar w:fldCharType="separate"/>
      </w:r>
      <w:r>
        <w:rPr>
          <w:rStyle w:val="16"/>
          <w:rFonts w:hint="eastAsia" w:ascii="宋体" w:hAnsi="宋体" w:cs="宋体"/>
          <w:color w:val="auto"/>
          <w:highlight w:val="none"/>
        </w:rPr>
        <w:t>一、磋商程序及方法</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_Toc54278995 \h </w:instrText>
      </w:r>
      <w:r>
        <w:rPr>
          <w:rFonts w:hint="eastAsia" w:ascii="宋体" w:hAnsi="宋体" w:cs="宋体"/>
          <w:color w:val="auto"/>
          <w:highlight w:val="none"/>
        </w:rPr>
        <w:fldChar w:fldCharType="separate"/>
      </w:r>
      <w:r>
        <w:rPr>
          <w:rFonts w:hint="eastAsia" w:ascii="宋体" w:hAnsi="宋体" w:cs="宋体"/>
          <w:color w:val="auto"/>
          <w:highlight w:val="none"/>
        </w:rPr>
        <w:t>- 12 -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"_Toc54278996" </w:instrText>
      </w:r>
      <w:r>
        <w:rPr>
          <w:color w:val="auto"/>
          <w:highlight w:val="none"/>
        </w:rPr>
        <w:fldChar w:fldCharType="separate"/>
      </w:r>
      <w:r>
        <w:rPr>
          <w:rStyle w:val="16"/>
          <w:rFonts w:hint="eastAsia" w:ascii="宋体" w:hAnsi="宋体" w:cs="宋体"/>
          <w:color w:val="auto"/>
          <w:highlight w:val="none"/>
        </w:rPr>
        <w:t>二、评审标准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_Toc54278996 \h </w:instrText>
      </w:r>
      <w:r>
        <w:rPr>
          <w:rFonts w:hint="eastAsia" w:ascii="宋体" w:hAnsi="宋体" w:cs="宋体"/>
          <w:color w:val="auto"/>
          <w:highlight w:val="none"/>
        </w:rPr>
        <w:fldChar w:fldCharType="separate"/>
      </w:r>
      <w:r>
        <w:rPr>
          <w:rFonts w:hint="eastAsia" w:ascii="宋体" w:hAnsi="宋体" w:cs="宋体"/>
          <w:color w:val="auto"/>
          <w:highlight w:val="none"/>
        </w:rPr>
        <w:t>- 14 -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"_Toc54278997" </w:instrText>
      </w:r>
      <w:r>
        <w:rPr>
          <w:color w:val="auto"/>
          <w:highlight w:val="none"/>
        </w:rPr>
        <w:fldChar w:fldCharType="separate"/>
      </w:r>
      <w:r>
        <w:rPr>
          <w:rStyle w:val="16"/>
          <w:rFonts w:hint="eastAsia" w:ascii="宋体" w:hAnsi="宋体" w:cs="宋体"/>
          <w:color w:val="auto"/>
          <w:highlight w:val="none"/>
        </w:rPr>
        <w:t>三、无效响应</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_Toc54278997 \h </w:instrText>
      </w:r>
      <w:r>
        <w:rPr>
          <w:rFonts w:hint="eastAsia" w:ascii="宋体" w:hAnsi="宋体" w:cs="宋体"/>
          <w:color w:val="auto"/>
          <w:highlight w:val="none"/>
        </w:rPr>
        <w:fldChar w:fldCharType="separate"/>
      </w:r>
      <w:r>
        <w:rPr>
          <w:rFonts w:hint="eastAsia" w:ascii="宋体" w:hAnsi="宋体" w:cs="宋体"/>
          <w:color w:val="auto"/>
          <w:highlight w:val="none"/>
        </w:rPr>
        <w:t>- 15 -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"_Toc54278998" </w:instrText>
      </w:r>
      <w:r>
        <w:rPr>
          <w:color w:val="auto"/>
          <w:highlight w:val="none"/>
        </w:rPr>
        <w:fldChar w:fldCharType="separate"/>
      </w:r>
      <w:r>
        <w:rPr>
          <w:rStyle w:val="16"/>
          <w:rFonts w:hint="eastAsia" w:ascii="宋体" w:hAnsi="宋体" w:cs="宋体"/>
          <w:color w:val="auto"/>
          <w:highlight w:val="none"/>
        </w:rPr>
        <w:t>四、采购终止</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_Toc54278998 \h </w:instrText>
      </w:r>
      <w:r>
        <w:rPr>
          <w:rFonts w:hint="eastAsia" w:ascii="宋体" w:hAnsi="宋体" w:cs="宋体"/>
          <w:color w:val="auto"/>
          <w:highlight w:val="none"/>
        </w:rPr>
        <w:fldChar w:fldCharType="separate"/>
      </w:r>
      <w:r>
        <w:rPr>
          <w:rFonts w:hint="eastAsia" w:ascii="宋体" w:hAnsi="宋体" w:cs="宋体"/>
          <w:color w:val="auto"/>
          <w:highlight w:val="none"/>
        </w:rPr>
        <w:t>- 15 -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1"/>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"_Toc54278999" </w:instrText>
      </w:r>
      <w:r>
        <w:rPr>
          <w:color w:val="auto"/>
          <w:highlight w:val="none"/>
        </w:rPr>
        <w:fldChar w:fldCharType="separate"/>
      </w:r>
      <w:r>
        <w:rPr>
          <w:rStyle w:val="16"/>
          <w:rFonts w:hint="eastAsia" w:ascii="宋体" w:hAnsi="宋体" w:cs="宋体"/>
          <w:color w:val="auto"/>
          <w:highlight w:val="none"/>
        </w:rPr>
        <w:t>第五篇  供应商须知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_Toc54278999 \h </w:instrText>
      </w:r>
      <w:r>
        <w:rPr>
          <w:rFonts w:hint="eastAsia" w:ascii="宋体" w:hAnsi="宋体" w:cs="宋体"/>
          <w:color w:val="auto"/>
          <w:highlight w:val="none"/>
        </w:rPr>
        <w:fldChar w:fldCharType="separate"/>
      </w:r>
      <w:r>
        <w:rPr>
          <w:rFonts w:hint="eastAsia" w:ascii="宋体" w:hAnsi="宋体" w:cs="宋体"/>
          <w:color w:val="auto"/>
          <w:highlight w:val="none"/>
        </w:rPr>
        <w:t>- 17 -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"_Toc54279000" </w:instrText>
      </w:r>
      <w:r>
        <w:rPr>
          <w:color w:val="auto"/>
          <w:highlight w:val="none"/>
        </w:rPr>
        <w:fldChar w:fldCharType="separate"/>
      </w:r>
      <w:r>
        <w:rPr>
          <w:rStyle w:val="16"/>
          <w:rFonts w:hint="eastAsia" w:ascii="宋体" w:hAnsi="宋体" w:cs="宋体"/>
          <w:color w:val="auto"/>
          <w:highlight w:val="none"/>
        </w:rPr>
        <w:t>一、磋商费用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_Toc54279000 \h </w:instrText>
      </w:r>
      <w:r>
        <w:rPr>
          <w:rFonts w:hint="eastAsia" w:ascii="宋体" w:hAnsi="宋体" w:cs="宋体"/>
          <w:color w:val="auto"/>
          <w:highlight w:val="none"/>
        </w:rPr>
        <w:fldChar w:fldCharType="separate"/>
      </w:r>
      <w:r>
        <w:rPr>
          <w:rFonts w:hint="eastAsia" w:ascii="宋体" w:hAnsi="宋体" w:cs="宋体"/>
          <w:color w:val="auto"/>
          <w:highlight w:val="none"/>
        </w:rPr>
        <w:t>- 17 -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"_Toc54279001" </w:instrText>
      </w:r>
      <w:r>
        <w:rPr>
          <w:color w:val="auto"/>
          <w:highlight w:val="none"/>
        </w:rPr>
        <w:fldChar w:fldCharType="separate"/>
      </w:r>
      <w:r>
        <w:rPr>
          <w:rStyle w:val="16"/>
          <w:rFonts w:hint="eastAsia" w:ascii="宋体" w:hAnsi="宋体" w:cs="宋体"/>
          <w:color w:val="auto"/>
          <w:highlight w:val="none"/>
        </w:rPr>
        <w:t>二、竞争性磋商文件</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_Toc54279001 \h </w:instrText>
      </w:r>
      <w:r>
        <w:rPr>
          <w:rFonts w:hint="eastAsia" w:ascii="宋体" w:hAnsi="宋体" w:cs="宋体"/>
          <w:color w:val="auto"/>
          <w:highlight w:val="none"/>
        </w:rPr>
        <w:fldChar w:fldCharType="separate"/>
      </w:r>
      <w:r>
        <w:rPr>
          <w:rFonts w:hint="eastAsia" w:ascii="宋体" w:hAnsi="宋体" w:cs="宋体"/>
          <w:color w:val="auto"/>
          <w:highlight w:val="none"/>
        </w:rPr>
        <w:t>- 17 -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"_Toc54279002" </w:instrText>
      </w:r>
      <w:r>
        <w:rPr>
          <w:color w:val="auto"/>
          <w:highlight w:val="none"/>
        </w:rPr>
        <w:fldChar w:fldCharType="separate"/>
      </w:r>
      <w:r>
        <w:rPr>
          <w:rStyle w:val="16"/>
          <w:rFonts w:hint="eastAsia" w:ascii="宋体" w:hAnsi="宋体" w:cs="宋体"/>
          <w:color w:val="auto"/>
          <w:highlight w:val="none"/>
        </w:rPr>
        <w:t>三、磋商要求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_Toc54279002 \h </w:instrText>
      </w:r>
      <w:r>
        <w:rPr>
          <w:rFonts w:hint="eastAsia" w:ascii="宋体" w:hAnsi="宋体" w:cs="宋体"/>
          <w:color w:val="auto"/>
          <w:highlight w:val="none"/>
        </w:rPr>
        <w:fldChar w:fldCharType="separate"/>
      </w:r>
      <w:r>
        <w:rPr>
          <w:rFonts w:hint="eastAsia" w:ascii="宋体" w:hAnsi="宋体" w:cs="宋体"/>
          <w:color w:val="auto"/>
          <w:highlight w:val="none"/>
        </w:rPr>
        <w:t>- 17 -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"_Toc54279003" </w:instrText>
      </w:r>
      <w:r>
        <w:rPr>
          <w:color w:val="auto"/>
          <w:highlight w:val="none"/>
        </w:rPr>
        <w:fldChar w:fldCharType="separate"/>
      </w:r>
      <w:r>
        <w:rPr>
          <w:rStyle w:val="16"/>
          <w:rFonts w:hint="eastAsia" w:ascii="宋体" w:hAnsi="宋体" w:cs="宋体"/>
          <w:color w:val="auto"/>
          <w:highlight w:val="none"/>
        </w:rPr>
        <w:t>四、成交供应商的确认和变更</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_Toc54279003 \h </w:instrText>
      </w:r>
      <w:r>
        <w:rPr>
          <w:rFonts w:hint="eastAsia" w:ascii="宋体" w:hAnsi="宋体" w:cs="宋体"/>
          <w:color w:val="auto"/>
          <w:highlight w:val="none"/>
        </w:rPr>
        <w:fldChar w:fldCharType="separate"/>
      </w:r>
      <w:r>
        <w:rPr>
          <w:rFonts w:hint="eastAsia" w:ascii="宋体" w:hAnsi="宋体" w:cs="宋体"/>
          <w:color w:val="auto"/>
          <w:highlight w:val="none"/>
        </w:rPr>
        <w:t>- 18 -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"_Toc54279004" </w:instrText>
      </w:r>
      <w:r>
        <w:rPr>
          <w:color w:val="auto"/>
          <w:highlight w:val="none"/>
        </w:rPr>
        <w:fldChar w:fldCharType="separate"/>
      </w:r>
      <w:r>
        <w:rPr>
          <w:rStyle w:val="16"/>
          <w:rFonts w:hint="eastAsia" w:ascii="宋体" w:hAnsi="宋体" w:cs="宋体"/>
          <w:color w:val="auto"/>
          <w:highlight w:val="none"/>
        </w:rPr>
        <w:t>五、成交通知</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_Toc54279004 \h </w:instrText>
      </w:r>
      <w:r>
        <w:rPr>
          <w:rFonts w:hint="eastAsia" w:ascii="宋体" w:hAnsi="宋体" w:cs="宋体"/>
          <w:color w:val="auto"/>
          <w:highlight w:val="none"/>
        </w:rPr>
        <w:fldChar w:fldCharType="separate"/>
      </w:r>
      <w:r>
        <w:rPr>
          <w:rFonts w:hint="eastAsia" w:ascii="宋体" w:hAnsi="宋体" w:cs="宋体"/>
          <w:color w:val="auto"/>
          <w:highlight w:val="none"/>
        </w:rPr>
        <w:t>- 18 -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"_Toc54279005" </w:instrText>
      </w:r>
      <w:r>
        <w:rPr>
          <w:color w:val="auto"/>
          <w:highlight w:val="none"/>
        </w:rPr>
        <w:fldChar w:fldCharType="separate"/>
      </w:r>
      <w:r>
        <w:rPr>
          <w:rStyle w:val="16"/>
          <w:rFonts w:hint="eastAsia" w:ascii="宋体" w:hAnsi="宋体" w:cs="宋体"/>
          <w:color w:val="auto"/>
          <w:highlight w:val="none"/>
        </w:rPr>
        <w:t>六、关于质疑和投诉</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_Toc54279005 \h </w:instrText>
      </w:r>
      <w:r>
        <w:rPr>
          <w:rFonts w:hint="eastAsia" w:ascii="宋体" w:hAnsi="宋体" w:cs="宋体"/>
          <w:color w:val="auto"/>
          <w:highlight w:val="none"/>
        </w:rPr>
        <w:fldChar w:fldCharType="separate"/>
      </w:r>
      <w:r>
        <w:rPr>
          <w:rFonts w:hint="eastAsia" w:ascii="宋体" w:hAnsi="宋体" w:cs="宋体"/>
          <w:color w:val="auto"/>
          <w:highlight w:val="none"/>
        </w:rPr>
        <w:t>- 19 -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"_Toc54279008" </w:instrText>
      </w:r>
      <w:r>
        <w:rPr>
          <w:color w:val="auto"/>
          <w:highlight w:val="none"/>
        </w:rPr>
        <w:fldChar w:fldCharType="separate"/>
      </w:r>
      <w:r>
        <w:rPr>
          <w:rStyle w:val="16"/>
          <w:rFonts w:hint="eastAsia" w:ascii="宋体" w:hAnsi="宋体" w:cs="宋体"/>
          <w:color w:val="auto"/>
          <w:highlight w:val="none"/>
        </w:rPr>
        <w:t>七、签订合同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_Toc54279008 \h </w:instrText>
      </w:r>
      <w:r>
        <w:rPr>
          <w:rFonts w:hint="eastAsia" w:ascii="宋体" w:hAnsi="宋体" w:cs="宋体"/>
          <w:color w:val="auto"/>
          <w:highlight w:val="none"/>
        </w:rPr>
        <w:fldChar w:fldCharType="separate"/>
      </w:r>
      <w:r>
        <w:rPr>
          <w:rFonts w:hint="eastAsia" w:ascii="宋体" w:hAnsi="宋体" w:cs="宋体"/>
          <w:color w:val="auto"/>
          <w:highlight w:val="none"/>
        </w:rPr>
        <w:t>- 20 -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"_Toc54279009" </w:instrText>
      </w:r>
      <w:r>
        <w:rPr>
          <w:color w:val="auto"/>
          <w:highlight w:val="none"/>
        </w:rPr>
        <w:fldChar w:fldCharType="separate"/>
      </w:r>
      <w:r>
        <w:rPr>
          <w:rStyle w:val="16"/>
          <w:rFonts w:hint="eastAsia" w:ascii="宋体" w:hAnsi="宋体" w:cs="宋体"/>
          <w:color w:val="auto"/>
          <w:highlight w:val="none"/>
        </w:rPr>
        <w:t>八、政府采购信用融资</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_Toc54279009 \h </w:instrText>
      </w:r>
      <w:r>
        <w:rPr>
          <w:rFonts w:hint="eastAsia" w:ascii="宋体" w:hAnsi="宋体" w:cs="宋体"/>
          <w:color w:val="auto"/>
          <w:highlight w:val="none"/>
        </w:rPr>
        <w:fldChar w:fldCharType="separate"/>
      </w:r>
      <w:r>
        <w:rPr>
          <w:rFonts w:hint="eastAsia" w:ascii="宋体" w:hAnsi="宋体" w:cs="宋体"/>
          <w:color w:val="auto"/>
          <w:highlight w:val="none"/>
        </w:rPr>
        <w:t>- 21 -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1"/>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"_Toc54279010" </w:instrText>
      </w:r>
      <w:r>
        <w:rPr>
          <w:color w:val="auto"/>
          <w:highlight w:val="none"/>
        </w:rPr>
        <w:fldChar w:fldCharType="separate"/>
      </w:r>
      <w:r>
        <w:rPr>
          <w:rStyle w:val="16"/>
          <w:rFonts w:hint="eastAsia" w:ascii="宋体" w:hAnsi="宋体" w:cs="宋体"/>
          <w:color w:val="auto"/>
          <w:highlight w:val="none"/>
        </w:rPr>
        <w:t>第六篇  政府采购合同</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_Toc54279010 \h </w:instrText>
      </w:r>
      <w:r>
        <w:rPr>
          <w:rFonts w:hint="eastAsia" w:ascii="宋体" w:hAnsi="宋体" w:cs="宋体"/>
          <w:color w:val="auto"/>
          <w:highlight w:val="none"/>
        </w:rPr>
        <w:fldChar w:fldCharType="separate"/>
      </w:r>
      <w:r>
        <w:rPr>
          <w:rFonts w:hint="eastAsia" w:ascii="宋体" w:hAnsi="宋体" w:cs="宋体"/>
          <w:color w:val="auto"/>
          <w:highlight w:val="none"/>
        </w:rPr>
        <w:t>- 22 -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1"/>
        <w:tabs>
          <w:tab w:val="right" w:leader="dot" w:pos="9402"/>
        </w:tabs>
        <w:ind w:left="56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"_Toc54279011" </w:instrText>
      </w:r>
      <w:r>
        <w:rPr>
          <w:color w:val="auto"/>
          <w:highlight w:val="none"/>
        </w:rPr>
        <w:fldChar w:fldCharType="separate"/>
      </w:r>
      <w:r>
        <w:rPr>
          <w:rStyle w:val="16"/>
          <w:rFonts w:hint="eastAsia" w:ascii="宋体" w:hAnsi="宋体" w:cs="宋体"/>
          <w:color w:val="auto"/>
          <w:highlight w:val="none"/>
        </w:rPr>
        <w:t>第七篇  响应文件编制要求</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_Toc54279011 \h </w:instrText>
      </w:r>
      <w:r>
        <w:rPr>
          <w:rFonts w:hint="eastAsia" w:ascii="宋体" w:hAnsi="宋体" w:cs="宋体"/>
          <w:color w:val="auto"/>
          <w:highlight w:val="none"/>
        </w:rPr>
        <w:fldChar w:fldCharType="separate"/>
      </w:r>
      <w:r>
        <w:rPr>
          <w:rFonts w:hint="eastAsia" w:ascii="宋体" w:hAnsi="宋体" w:cs="宋体"/>
          <w:color w:val="auto"/>
          <w:highlight w:val="none"/>
        </w:rPr>
        <w:t>- 23 -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"_Toc54279012" </w:instrText>
      </w:r>
      <w:r>
        <w:rPr>
          <w:color w:val="auto"/>
          <w:highlight w:val="none"/>
        </w:rPr>
        <w:fldChar w:fldCharType="separate"/>
      </w:r>
      <w:r>
        <w:rPr>
          <w:rStyle w:val="16"/>
          <w:rFonts w:hint="eastAsia" w:ascii="宋体" w:hAnsi="宋体" w:cs="宋体"/>
          <w:color w:val="auto"/>
          <w:highlight w:val="none"/>
        </w:rPr>
        <w:t>一、经济部分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_Toc54279012 \h </w:instrText>
      </w:r>
      <w:r>
        <w:rPr>
          <w:rFonts w:hint="eastAsia" w:ascii="宋体" w:hAnsi="宋体" w:cs="宋体"/>
          <w:color w:val="auto"/>
          <w:highlight w:val="none"/>
        </w:rPr>
        <w:fldChar w:fldCharType="separate"/>
      </w:r>
      <w:r>
        <w:rPr>
          <w:rFonts w:hint="eastAsia" w:ascii="宋体" w:hAnsi="宋体" w:cs="宋体"/>
          <w:color w:val="auto"/>
          <w:highlight w:val="none"/>
        </w:rPr>
        <w:t>- 24 -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"_Toc54279013" </w:instrText>
      </w:r>
      <w:r>
        <w:rPr>
          <w:color w:val="auto"/>
          <w:highlight w:val="none"/>
        </w:rPr>
        <w:fldChar w:fldCharType="separate"/>
      </w:r>
      <w:r>
        <w:rPr>
          <w:rStyle w:val="16"/>
          <w:rFonts w:hint="eastAsia" w:ascii="宋体" w:hAnsi="宋体" w:cs="宋体"/>
          <w:color w:val="auto"/>
          <w:highlight w:val="none"/>
        </w:rPr>
        <w:t>二、服务部分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_Toc54279013 \h </w:instrText>
      </w:r>
      <w:r>
        <w:rPr>
          <w:rFonts w:hint="eastAsia" w:ascii="宋体" w:hAnsi="宋体" w:cs="宋体"/>
          <w:color w:val="auto"/>
          <w:highlight w:val="none"/>
        </w:rPr>
        <w:fldChar w:fldCharType="separate"/>
      </w:r>
      <w:r>
        <w:rPr>
          <w:rFonts w:hint="eastAsia" w:ascii="宋体" w:hAnsi="宋体" w:cs="宋体"/>
          <w:color w:val="auto"/>
          <w:highlight w:val="none"/>
        </w:rPr>
        <w:t>- 24 -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"_Toc54279014" </w:instrText>
      </w:r>
      <w:r>
        <w:rPr>
          <w:color w:val="auto"/>
          <w:highlight w:val="none"/>
        </w:rPr>
        <w:fldChar w:fldCharType="separate"/>
      </w:r>
      <w:r>
        <w:rPr>
          <w:rStyle w:val="16"/>
          <w:rFonts w:hint="eastAsia" w:ascii="宋体" w:hAnsi="宋体" w:cs="宋体"/>
          <w:color w:val="auto"/>
          <w:highlight w:val="none"/>
        </w:rPr>
        <w:t>三、商务部分</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_Toc54279014 \h </w:instrText>
      </w:r>
      <w:r>
        <w:rPr>
          <w:rFonts w:hint="eastAsia" w:ascii="宋体" w:hAnsi="宋体" w:cs="宋体"/>
          <w:color w:val="auto"/>
          <w:highlight w:val="none"/>
        </w:rPr>
        <w:fldChar w:fldCharType="separate"/>
      </w:r>
      <w:r>
        <w:rPr>
          <w:rFonts w:hint="eastAsia" w:ascii="宋体" w:hAnsi="宋体" w:cs="宋体"/>
          <w:color w:val="auto"/>
          <w:highlight w:val="none"/>
        </w:rPr>
        <w:t>- 27 -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"_Toc54279015" </w:instrText>
      </w:r>
      <w:r>
        <w:rPr>
          <w:color w:val="auto"/>
          <w:highlight w:val="none"/>
        </w:rPr>
        <w:fldChar w:fldCharType="separate"/>
      </w:r>
      <w:r>
        <w:rPr>
          <w:rStyle w:val="16"/>
          <w:rFonts w:hint="eastAsia" w:ascii="宋体" w:hAnsi="宋体" w:cs="宋体"/>
          <w:color w:val="auto"/>
          <w:highlight w:val="none"/>
        </w:rPr>
        <w:t>四、资格条件及其他</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_Toc54279015 \h </w:instrText>
      </w:r>
      <w:r>
        <w:rPr>
          <w:rFonts w:hint="eastAsia" w:ascii="宋体" w:hAnsi="宋体" w:cs="宋体"/>
          <w:color w:val="auto"/>
          <w:highlight w:val="none"/>
        </w:rPr>
        <w:fldChar w:fldCharType="separate"/>
      </w:r>
      <w:r>
        <w:rPr>
          <w:rFonts w:hint="eastAsia" w:ascii="宋体" w:hAnsi="宋体" w:cs="宋体"/>
          <w:color w:val="auto"/>
          <w:highlight w:val="none"/>
        </w:rPr>
        <w:t>- 29 -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5"/>
        <w:tabs>
          <w:tab w:val="right" w:leader="dot" w:pos="9402"/>
        </w:tabs>
        <w:ind w:left="1120"/>
        <w:rPr>
          <w:rFonts w:ascii="宋体" w:hAnsi="宋体" w:cs="宋体"/>
          <w:color w:val="auto"/>
          <w:sz w:val="21"/>
          <w:szCs w:val="22"/>
          <w:highlight w:val="none"/>
        </w:rPr>
      </w:pPr>
      <w:r>
        <w:rPr>
          <w:color w:val="auto"/>
          <w:highlight w:val="none"/>
        </w:rPr>
        <w:fldChar w:fldCharType="begin"/>
      </w:r>
      <w:r>
        <w:rPr>
          <w:color w:val="auto"/>
          <w:highlight w:val="none"/>
        </w:rPr>
        <w:instrText xml:space="preserve"> HYPERLINK \l "_Toc54279016" </w:instrText>
      </w:r>
      <w:r>
        <w:rPr>
          <w:color w:val="auto"/>
          <w:highlight w:val="none"/>
        </w:rPr>
        <w:fldChar w:fldCharType="separate"/>
      </w:r>
      <w:r>
        <w:rPr>
          <w:rStyle w:val="16"/>
          <w:rFonts w:hint="eastAsia" w:ascii="宋体" w:hAnsi="宋体" w:cs="宋体"/>
          <w:color w:val="auto"/>
          <w:highlight w:val="none"/>
        </w:rPr>
        <w:t>五、其他资料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_Toc54279016 \h </w:instrText>
      </w:r>
      <w:r>
        <w:rPr>
          <w:rFonts w:hint="eastAsia" w:ascii="宋体" w:hAnsi="宋体" w:cs="宋体"/>
          <w:color w:val="auto"/>
          <w:highlight w:val="none"/>
        </w:rPr>
        <w:fldChar w:fldCharType="separate"/>
      </w:r>
      <w:r>
        <w:rPr>
          <w:rFonts w:hint="eastAsia" w:ascii="宋体" w:hAnsi="宋体" w:cs="宋体"/>
          <w:color w:val="auto"/>
          <w:highlight w:val="none"/>
        </w:rPr>
        <w:t>- 35 -</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11"/>
        <w:tabs>
          <w:tab w:val="right" w:leader="dot" w:pos="9402"/>
        </w:tabs>
        <w:spacing w:line="480" w:lineRule="exact"/>
        <w:ind w:left="560"/>
        <w:jc w:val="center"/>
        <w:rPr>
          <w:rFonts w:ascii="宋体" w:hAnsi="宋体" w:cs="宋体"/>
          <w:color w:val="auto"/>
          <w:sz w:val="18"/>
          <w:szCs w:val="22"/>
          <w:highlight w:val="none"/>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highlight w:val="none"/>
        </w:rPr>
        <w:fldChar w:fldCharType="end"/>
      </w:r>
    </w:p>
    <w:p>
      <w:pPr>
        <w:pStyle w:val="3"/>
        <w:spacing w:line="360" w:lineRule="auto"/>
        <w:jc w:val="center"/>
        <w:rPr>
          <w:rFonts w:ascii="宋体" w:hAnsi="宋体" w:eastAsia="宋体" w:cs="宋体"/>
          <w:b w:val="0"/>
          <w:color w:val="auto"/>
          <w:szCs w:val="30"/>
          <w:highlight w:val="none"/>
        </w:rPr>
      </w:pPr>
      <w:bookmarkStart w:id="0" w:name="_Toc11641050"/>
      <w:bookmarkStart w:id="1" w:name="_Toc12789052"/>
      <w:bookmarkStart w:id="2" w:name="_Toc54278968"/>
      <w:r>
        <w:rPr>
          <w:rFonts w:hint="eastAsia" w:ascii="宋体" w:hAnsi="宋体" w:eastAsia="宋体" w:cs="宋体"/>
          <w:b w:val="0"/>
          <w:color w:val="auto"/>
          <w:sz w:val="36"/>
          <w:szCs w:val="30"/>
          <w:highlight w:val="none"/>
        </w:rPr>
        <w:t>第一篇  采购邀请书</w:t>
      </w:r>
      <w:bookmarkEnd w:id="0"/>
      <w:bookmarkEnd w:id="1"/>
      <w:bookmarkEnd w:id="2"/>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我司对建桥C区双石河一期绿化景观工程设计进行竞争性磋商采购。欢迎有资格的供应商前来参与磋商。</w:t>
      </w:r>
    </w:p>
    <w:p>
      <w:pPr>
        <w:pStyle w:val="4"/>
        <w:spacing w:line="360" w:lineRule="auto"/>
        <w:rPr>
          <w:rFonts w:ascii="宋体" w:hAnsi="宋体" w:cs="宋体"/>
          <w:color w:val="auto"/>
          <w:sz w:val="24"/>
          <w:szCs w:val="24"/>
          <w:highlight w:val="none"/>
        </w:rPr>
      </w:pPr>
      <w:bookmarkStart w:id="3" w:name="_Toc317775175"/>
      <w:bookmarkStart w:id="4" w:name="_Toc313893526"/>
      <w:bookmarkStart w:id="5" w:name="_Toc54278969"/>
      <w:r>
        <w:rPr>
          <w:rFonts w:hint="eastAsia" w:ascii="宋体" w:hAnsi="宋体" w:cs="宋体"/>
          <w:color w:val="auto"/>
          <w:sz w:val="24"/>
          <w:szCs w:val="24"/>
          <w:highlight w:val="none"/>
        </w:rPr>
        <w:t>一、竞争性磋商内容</w:t>
      </w:r>
      <w:bookmarkEnd w:id="3"/>
      <w:bookmarkEnd w:id="4"/>
      <w:bookmarkEnd w:id="5"/>
    </w:p>
    <w:tbl>
      <w:tblPr>
        <w:tblStyle w:val="13"/>
        <w:tblW w:w="95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7"/>
        <w:gridCol w:w="1719"/>
        <w:gridCol w:w="1720"/>
        <w:gridCol w:w="154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037"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项目名称</w:t>
            </w:r>
          </w:p>
        </w:tc>
        <w:tc>
          <w:tcPr>
            <w:tcW w:w="171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最高限价比例</w:t>
            </w:r>
          </w:p>
        </w:tc>
        <w:tc>
          <w:tcPr>
            <w:tcW w:w="1720"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最高限价（元）</w:t>
            </w:r>
          </w:p>
        </w:tc>
        <w:tc>
          <w:tcPr>
            <w:tcW w:w="1548"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成交供应商数量（名）</w:t>
            </w:r>
          </w:p>
        </w:tc>
        <w:tc>
          <w:tcPr>
            <w:tcW w:w="1538"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037"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kern w:val="0"/>
                <w:sz w:val="21"/>
                <w:szCs w:val="24"/>
                <w:highlight w:val="none"/>
              </w:rPr>
            </w:pPr>
            <w:bookmarkStart w:id="6" w:name="_Hlk344477914"/>
            <w:r>
              <w:rPr>
                <w:rFonts w:hint="eastAsia" w:ascii="宋体" w:hAnsi="宋体" w:cs="宋体"/>
                <w:color w:val="auto"/>
                <w:sz w:val="24"/>
                <w:szCs w:val="24"/>
                <w:highlight w:val="none"/>
              </w:rPr>
              <w:t>大渡口区实验小学扩建工程预算编制</w:t>
            </w:r>
          </w:p>
        </w:tc>
        <w:tc>
          <w:tcPr>
            <w:tcW w:w="1719"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60</w:t>
            </w:r>
            <w:r>
              <w:rPr>
                <w:rFonts w:hint="eastAsia" w:ascii="宋体" w:hAnsi="宋体" w:cs="宋体"/>
                <w:color w:val="auto"/>
                <w:sz w:val="24"/>
                <w:szCs w:val="24"/>
                <w:highlight w:val="none"/>
              </w:rPr>
              <w:t>%</w:t>
            </w:r>
          </w:p>
        </w:tc>
        <w:tc>
          <w:tcPr>
            <w:tcW w:w="1720"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289500</w:t>
            </w:r>
            <w:r>
              <w:rPr>
                <w:rFonts w:hint="eastAsia" w:ascii="宋体" w:hAnsi="宋体" w:cs="宋体"/>
                <w:color w:val="auto"/>
                <w:sz w:val="24"/>
                <w:szCs w:val="24"/>
                <w:highlight w:val="none"/>
              </w:rPr>
              <w:t>.00</w:t>
            </w:r>
          </w:p>
        </w:tc>
        <w:tc>
          <w:tcPr>
            <w:tcW w:w="1548"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color w:val="auto"/>
                <w:kern w:val="0"/>
                <w:sz w:val="21"/>
                <w:szCs w:val="24"/>
                <w:highlight w:val="none"/>
              </w:rPr>
            </w:pPr>
            <w:r>
              <w:rPr>
                <w:rFonts w:hint="eastAsia" w:ascii="宋体" w:hAnsi="宋体" w:cs="宋体"/>
                <w:color w:val="auto"/>
                <w:sz w:val="24"/>
                <w:szCs w:val="24"/>
                <w:highlight w:val="none"/>
              </w:rPr>
              <w:t>1</w:t>
            </w:r>
          </w:p>
        </w:tc>
        <w:tc>
          <w:tcPr>
            <w:tcW w:w="1538"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color w:val="auto"/>
                <w:kern w:val="0"/>
                <w:sz w:val="21"/>
                <w:szCs w:val="24"/>
                <w:highlight w:val="none"/>
              </w:rPr>
            </w:pPr>
            <w:r>
              <w:rPr>
                <w:rFonts w:hint="eastAsia" w:ascii="宋体" w:hAnsi="宋体" w:cs="宋体"/>
                <w:b/>
                <w:bCs/>
                <w:color w:val="auto"/>
                <w:kern w:val="0"/>
                <w:sz w:val="21"/>
                <w:szCs w:val="24"/>
                <w:highlight w:val="none"/>
              </w:rPr>
              <w:t>建筑业</w:t>
            </w:r>
          </w:p>
        </w:tc>
      </w:tr>
      <w:bookmarkEnd w:id="6"/>
    </w:tbl>
    <w:p>
      <w:pPr>
        <w:pStyle w:val="4"/>
        <w:spacing w:line="360" w:lineRule="auto"/>
        <w:rPr>
          <w:rFonts w:ascii="宋体" w:hAnsi="宋体" w:cs="宋体"/>
          <w:color w:val="auto"/>
          <w:sz w:val="24"/>
          <w:szCs w:val="24"/>
          <w:highlight w:val="none"/>
        </w:rPr>
      </w:pPr>
      <w:bookmarkStart w:id="7" w:name="_Toc54278970"/>
      <w:bookmarkStart w:id="8" w:name="_Toc373860293"/>
      <w:bookmarkStart w:id="9" w:name="_Toc317775178"/>
      <w:r>
        <w:rPr>
          <w:rFonts w:hint="eastAsia" w:ascii="宋体" w:hAnsi="宋体" w:cs="宋体"/>
          <w:color w:val="auto"/>
          <w:sz w:val="24"/>
          <w:szCs w:val="24"/>
          <w:highlight w:val="none"/>
        </w:rPr>
        <w:t>二、资金来源</w:t>
      </w:r>
      <w:bookmarkEnd w:id="7"/>
    </w:p>
    <w:p>
      <w:pPr>
        <w:pStyle w:val="4"/>
        <w:spacing w:line="360" w:lineRule="auto"/>
        <w:ind w:firstLine="480" w:firstLineChars="200"/>
        <w:rPr>
          <w:rFonts w:hint="eastAsia" w:ascii="宋体" w:hAnsi="宋体" w:cs="宋体"/>
          <w:b w:val="0"/>
          <w:bCs/>
          <w:color w:val="auto"/>
          <w:sz w:val="24"/>
          <w:szCs w:val="24"/>
          <w:highlight w:val="none"/>
        </w:rPr>
      </w:pPr>
      <w:bookmarkStart w:id="10" w:name="_Toc54278971"/>
      <w:r>
        <w:rPr>
          <w:rFonts w:hint="eastAsia" w:ascii="宋体" w:hAnsi="宋体" w:cs="宋体"/>
          <w:b w:val="0"/>
          <w:bCs/>
          <w:color w:val="auto"/>
          <w:sz w:val="24"/>
          <w:szCs w:val="24"/>
          <w:highlight w:val="none"/>
          <w:lang w:eastAsia="zh-CN"/>
        </w:rPr>
        <w:t>财政资金</w:t>
      </w:r>
      <w:r>
        <w:rPr>
          <w:rFonts w:hint="eastAsia" w:ascii="宋体" w:hAnsi="宋体" w:cs="宋体"/>
          <w:b w:val="0"/>
          <w:bCs/>
          <w:color w:val="auto"/>
          <w:sz w:val="24"/>
          <w:szCs w:val="24"/>
          <w:highlight w:val="none"/>
        </w:rPr>
        <w:t>。</w:t>
      </w:r>
    </w:p>
    <w:p>
      <w:pPr>
        <w:pStyle w:val="4"/>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三、供应商资格条件</w:t>
      </w:r>
      <w:bookmarkEnd w:id="1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（一）基本资格条件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1.具有独立承担民事责任的能力；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2.具有良好的商业信誉和健全的财务会计制度；</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3.具有履行合同所必需的设备和专业技术能力；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4.有依法缴纳税收和社会保障资金的良好记录；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5.参加政府采购活动前三年内，在经营活动中没有重大违法记录；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6.法律、行政法规规定的其他条件。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（二）特定资格条件</w:t>
      </w:r>
    </w:p>
    <w:p>
      <w:pPr>
        <w:pStyle w:val="4"/>
        <w:spacing w:line="360" w:lineRule="auto"/>
        <w:ind w:firstLine="360" w:firstLineChars="150"/>
        <w:rPr>
          <w:color w:val="auto"/>
          <w:highlight w:val="none"/>
        </w:rPr>
      </w:pPr>
      <w:bookmarkStart w:id="11" w:name="_Toc54278972"/>
      <w:r>
        <w:rPr>
          <w:rFonts w:hint="eastAsia" w:ascii="宋体" w:hAnsi="宋体" w:cs="宋体"/>
          <w:b w:val="0"/>
          <w:color w:val="auto"/>
          <w:sz w:val="24"/>
          <w:szCs w:val="24"/>
          <w:highlight w:val="none"/>
        </w:rPr>
        <w:t>1、供应商经营范围包括造价咨询或相应造价经营许可内容。</w:t>
      </w:r>
      <w:r>
        <w:rPr>
          <w:rFonts w:hint="eastAsia" w:ascii="宋体" w:hAnsi="宋体" w:cs="宋体"/>
          <w:b w:val="0"/>
          <w:color w:val="auto"/>
          <w:sz w:val="24"/>
          <w:szCs w:val="24"/>
          <w:highlight w:val="none"/>
          <w:lang w:val="en-US" w:eastAsia="zh-CN"/>
        </w:rPr>
        <w:t>(提供营业执照复印件并加盖公章）</w:t>
      </w:r>
    </w:p>
    <w:p>
      <w:pPr>
        <w:pStyle w:val="4"/>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四、磋商有关说明</w:t>
      </w:r>
      <w:bookmarkEnd w:id="8"/>
      <w:bookmarkEnd w:id="1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r>
        <w:rPr>
          <w:rFonts w:hint="eastAsia" w:ascii="宋体" w:hAnsi="宋体" w:cs="宋体"/>
          <w:b/>
          <w:color w:val="auto"/>
          <w:sz w:val="24"/>
          <w:szCs w:val="24"/>
          <w:highlight w:val="none"/>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凡有意参加磋商的供应商，请于公告发布之日（2022年4月18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（三）竞争性磋商公告期限：自采购公告发布之日（2023年4月18日）起三个工作日。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（四）竞标人须满足以下三种要件，其响应文件才被接受：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1、按磋商文件要求缴纳了竞标保证金；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2、按时递交了响应文件；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3、按时报名签到。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（五）递交响应文件地点：重庆建桥实业发展有限公司接标处（重庆市大渡口区田西路中冶熙城商街1号楼1楼）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（六）响应文件递交时间：2023年4月</w:t>
      </w:r>
      <w:r>
        <w:rPr>
          <w:rFonts w:hint="eastAsia" w:ascii="宋体" w:hAnsi="宋体" w:cs="宋体"/>
          <w:color w:val="auto"/>
          <w:sz w:val="24"/>
          <w:szCs w:val="24"/>
          <w:highlight w:val="none"/>
          <w:lang w:val="en-US" w:eastAsia="zh-CN"/>
        </w:rPr>
        <w:t>23</w:t>
      </w:r>
      <w:r>
        <w:rPr>
          <w:rFonts w:hint="eastAsia" w:ascii="宋体" w:hAnsi="宋体" w:cs="宋体"/>
          <w:color w:val="auto"/>
          <w:sz w:val="24"/>
          <w:szCs w:val="24"/>
          <w:highlight w:val="none"/>
        </w:rPr>
        <w:t>日北京时间14：00-14:30</w:t>
      </w:r>
    </w:p>
    <w:p>
      <w:pPr>
        <w:spacing w:line="360" w:lineRule="auto"/>
        <w:ind w:firstLine="1200" w:firstLineChars="500"/>
        <w:rPr>
          <w:rFonts w:ascii="宋体" w:hAnsi="宋体" w:cs="宋体"/>
          <w:color w:val="auto"/>
          <w:sz w:val="24"/>
          <w:szCs w:val="24"/>
          <w:highlight w:val="none"/>
        </w:rPr>
      </w:pPr>
      <w:r>
        <w:rPr>
          <w:rFonts w:hint="eastAsia" w:ascii="宋体" w:hAnsi="宋体" w:cs="宋体"/>
          <w:color w:val="auto"/>
          <w:sz w:val="24"/>
          <w:szCs w:val="24"/>
          <w:highlight w:val="none"/>
        </w:rPr>
        <w:t>截止时间：2023年4月</w:t>
      </w:r>
      <w:r>
        <w:rPr>
          <w:rFonts w:hint="eastAsia" w:ascii="宋体" w:hAnsi="宋体" w:cs="宋体"/>
          <w:color w:val="auto"/>
          <w:sz w:val="24"/>
          <w:szCs w:val="24"/>
          <w:highlight w:val="none"/>
          <w:lang w:val="en-US" w:eastAsia="zh-CN"/>
        </w:rPr>
        <w:t>21</w:t>
      </w:r>
      <w:r>
        <w:rPr>
          <w:rFonts w:hint="eastAsia" w:ascii="宋体" w:hAnsi="宋体" w:cs="宋体"/>
          <w:color w:val="auto"/>
          <w:sz w:val="24"/>
          <w:szCs w:val="24"/>
          <w:highlight w:val="none"/>
        </w:rPr>
        <w:t>日北京时间</w:t>
      </w:r>
      <w:r>
        <w:rPr>
          <w:rFonts w:hint="eastAsia" w:ascii="宋体" w:hAnsi="宋体" w:cs="宋体"/>
          <w:color w:val="auto"/>
          <w:sz w:val="24"/>
          <w:szCs w:val="24"/>
          <w:highlight w:val="none"/>
          <w:lang w:val="en-US" w:eastAsia="zh-CN"/>
        </w:rPr>
        <w:t>17</w:t>
      </w:r>
      <w:r>
        <w:rPr>
          <w:rFonts w:hint="eastAsia" w:ascii="宋体" w:hAnsi="宋体" w:cs="宋体"/>
          <w:color w:val="auto"/>
          <w:sz w:val="24"/>
          <w:szCs w:val="24"/>
          <w:highlight w:val="none"/>
        </w:rPr>
        <w:t>:30</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（七）磋商开始时间：2023年4月</w:t>
      </w:r>
      <w:r>
        <w:rPr>
          <w:rFonts w:hint="eastAsia" w:ascii="宋体" w:hAnsi="宋体" w:cs="宋体"/>
          <w:color w:val="auto"/>
          <w:sz w:val="24"/>
          <w:szCs w:val="24"/>
          <w:highlight w:val="none"/>
          <w:lang w:val="en-US" w:eastAsia="zh-CN"/>
        </w:rPr>
        <w:t>23</w:t>
      </w:r>
      <w:r>
        <w:rPr>
          <w:rFonts w:hint="eastAsia" w:ascii="宋体" w:hAnsi="宋体" w:cs="宋体"/>
          <w:color w:val="auto"/>
          <w:sz w:val="24"/>
          <w:szCs w:val="24"/>
          <w:highlight w:val="none"/>
        </w:rPr>
        <w:t>日北京时间14:30</w:t>
      </w:r>
    </w:p>
    <w:p>
      <w:pPr>
        <w:pStyle w:val="4"/>
        <w:spacing w:line="360" w:lineRule="auto"/>
        <w:rPr>
          <w:rFonts w:ascii="宋体" w:hAnsi="宋体" w:cs="宋体"/>
          <w:color w:val="auto"/>
          <w:sz w:val="24"/>
          <w:szCs w:val="24"/>
          <w:highlight w:val="none"/>
        </w:rPr>
      </w:pPr>
      <w:bookmarkStart w:id="12" w:name="_Toc373860294"/>
      <w:bookmarkStart w:id="13" w:name="_Toc54278973"/>
      <w:r>
        <w:rPr>
          <w:rFonts w:hint="eastAsia" w:ascii="宋体" w:hAnsi="宋体" w:cs="宋体"/>
          <w:color w:val="auto"/>
          <w:sz w:val="24"/>
          <w:szCs w:val="24"/>
          <w:highlight w:val="none"/>
        </w:rPr>
        <w:t>五、磋商保证金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（一）保证金递交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1、竞标保证金交款形式及要求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竞标人从单位</w:t>
      </w:r>
      <w:r>
        <w:rPr>
          <w:rFonts w:hint="eastAsia" w:ascii="宋体" w:hAnsi="宋体" w:cs="宋体"/>
          <w:b/>
          <w:color w:val="auto"/>
          <w:sz w:val="24"/>
          <w:szCs w:val="24"/>
          <w:highlight w:val="none"/>
          <w:u w:val="single"/>
        </w:rPr>
        <w:t>基本银行账户</w:t>
      </w:r>
      <w:r>
        <w:rPr>
          <w:rFonts w:hint="eastAsia" w:ascii="宋体" w:hAnsi="宋体" w:cs="宋体"/>
          <w:color w:val="auto"/>
          <w:sz w:val="24"/>
          <w:szCs w:val="24"/>
          <w:highlight w:val="none"/>
        </w:rPr>
        <w:t>在</w:t>
      </w:r>
      <w:r>
        <w:rPr>
          <w:rFonts w:hint="eastAsia" w:ascii="宋体" w:hAnsi="宋体" w:cs="宋体"/>
          <w:b/>
          <w:color w:val="auto"/>
          <w:sz w:val="24"/>
          <w:szCs w:val="24"/>
          <w:highlight w:val="none"/>
          <w:u w:val="single"/>
        </w:rPr>
        <w:t>2023年4月21日</w:t>
      </w:r>
      <w:r>
        <w:rPr>
          <w:rFonts w:hint="eastAsia" w:ascii="宋体" w:hAnsi="宋体" w:cs="宋体"/>
          <w:b/>
          <w:color w:val="auto"/>
          <w:sz w:val="24"/>
          <w:szCs w:val="24"/>
          <w:highlight w:val="none"/>
          <w:u w:val="single"/>
          <w:lang w:val="en-US" w:eastAsia="zh-CN"/>
        </w:rPr>
        <w:t>17</w:t>
      </w:r>
      <w:r>
        <w:rPr>
          <w:rFonts w:hint="eastAsia" w:ascii="宋体" w:hAnsi="宋体" w:cs="宋体"/>
          <w:b/>
          <w:color w:val="auto"/>
          <w:sz w:val="24"/>
          <w:szCs w:val="24"/>
          <w:highlight w:val="none"/>
          <w:u w:val="single"/>
        </w:rPr>
        <w:t>时</w:t>
      </w:r>
      <w:r>
        <w:rPr>
          <w:rFonts w:hint="eastAsia" w:ascii="宋体" w:hAnsi="宋体" w:cs="宋体"/>
          <w:b/>
          <w:color w:val="auto"/>
          <w:sz w:val="24"/>
          <w:szCs w:val="24"/>
          <w:highlight w:val="none"/>
          <w:u w:val="single"/>
          <w:lang w:val="en-US" w:eastAsia="zh-CN"/>
        </w:rPr>
        <w:t>30</w:t>
      </w:r>
      <w:r>
        <w:rPr>
          <w:rFonts w:hint="eastAsia" w:ascii="宋体" w:hAnsi="宋体" w:cs="宋体"/>
          <w:b/>
          <w:color w:val="auto"/>
          <w:sz w:val="24"/>
          <w:szCs w:val="24"/>
          <w:highlight w:val="none"/>
          <w:u w:val="single"/>
        </w:rPr>
        <w:t>分（北京时间）前</w:t>
      </w:r>
      <w:r>
        <w:rPr>
          <w:rFonts w:hint="eastAsia" w:ascii="宋体" w:hAnsi="宋体" w:cs="宋体"/>
          <w:color w:val="auto"/>
          <w:sz w:val="24"/>
          <w:szCs w:val="24"/>
          <w:highlight w:val="none"/>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color w:val="auto"/>
          <w:sz w:val="24"/>
          <w:szCs w:val="24"/>
          <w:highlight w:val="none"/>
          <w:u w:val="single"/>
        </w:rPr>
      </w:pPr>
      <w:r>
        <w:rPr>
          <w:rFonts w:hint="eastAsia" w:ascii="宋体" w:hAnsi="宋体" w:cs="宋体"/>
          <w:color w:val="auto"/>
          <w:sz w:val="24"/>
          <w:szCs w:val="24"/>
          <w:highlight w:val="none"/>
        </w:rPr>
        <w:t>2、</w:t>
      </w:r>
      <w:r>
        <w:rPr>
          <w:rFonts w:hint="eastAsia" w:ascii="宋体" w:hAnsi="宋体" w:cs="宋体"/>
          <w:b/>
          <w:color w:val="auto"/>
          <w:sz w:val="24"/>
          <w:szCs w:val="24"/>
          <w:highlight w:val="none"/>
          <w:u w:val="single"/>
        </w:rPr>
        <w:t>竞标保证金的金额：人民币</w:t>
      </w:r>
      <w:r>
        <w:rPr>
          <w:rFonts w:hint="eastAsia" w:ascii="宋体" w:hAnsi="宋体" w:cs="宋体"/>
          <w:b/>
          <w:color w:val="auto"/>
          <w:sz w:val="24"/>
          <w:szCs w:val="24"/>
          <w:highlight w:val="none"/>
          <w:u w:val="single"/>
          <w:lang w:val="en-US" w:eastAsia="zh-CN"/>
        </w:rPr>
        <w:t>5</w:t>
      </w:r>
      <w:r>
        <w:rPr>
          <w:rFonts w:hint="eastAsia" w:ascii="宋体" w:hAnsi="宋体" w:cs="宋体"/>
          <w:b/>
          <w:color w:val="auto"/>
          <w:sz w:val="24"/>
          <w:szCs w:val="24"/>
          <w:highlight w:val="none"/>
          <w:u w:val="single"/>
        </w:rPr>
        <w:t>000元（大写：</w:t>
      </w:r>
      <w:r>
        <w:rPr>
          <w:rFonts w:hint="eastAsia" w:ascii="宋体" w:hAnsi="宋体" w:cs="宋体"/>
          <w:b/>
          <w:color w:val="auto"/>
          <w:sz w:val="24"/>
          <w:szCs w:val="24"/>
          <w:highlight w:val="none"/>
          <w:u w:val="single"/>
          <w:lang w:eastAsia="zh-CN"/>
        </w:rPr>
        <w:t>伍</w:t>
      </w:r>
      <w:r>
        <w:rPr>
          <w:rFonts w:hint="eastAsia" w:ascii="宋体" w:hAnsi="宋体" w:cs="宋体"/>
          <w:b/>
          <w:color w:val="auto"/>
          <w:sz w:val="24"/>
          <w:szCs w:val="24"/>
          <w:highlight w:val="none"/>
          <w:u w:val="single"/>
        </w:rPr>
        <w:t>仟元整）。</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3、竞标保证金有效期等同竞标有效期。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4、未在指定时间内到账的竞标保证金为无效竞标保证金，当场退还其响应文件。</w:t>
      </w:r>
    </w:p>
    <w:p>
      <w:pPr>
        <w:spacing w:line="360" w:lineRule="auto"/>
        <w:ind w:firstLine="480" w:firstLineChars="200"/>
        <w:rPr>
          <w:color w:val="auto"/>
          <w:highlight w:val="none"/>
        </w:rPr>
      </w:pPr>
      <w:r>
        <w:rPr>
          <w:rFonts w:hint="eastAsia" w:ascii="宋体" w:hAnsi="宋体" w:cs="宋体"/>
          <w:color w:val="auto"/>
          <w:sz w:val="24"/>
          <w:szCs w:val="24"/>
          <w:highlight w:val="none"/>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（二）保证金退还方式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如因竞标人自身原因，竞标保证金未缴入本项目专用账户导致的竞标保证金退还延迟，由竞标人自行负责。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保证金联系人：肖老师；      咨询电话：023-68955002</w:t>
      </w:r>
    </w:p>
    <w:p>
      <w:pPr>
        <w:pStyle w:val="4"/>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六、履约保证金</w:t>
      </w:r>
    </w:p>
    <w:p>
      <w:pPr>
        <w:pStyle w:val="4"/>
        <w:spacing w:line="360" w:lineRule="auto"/>
        <w:ind w:firstLine="482" w:firstLineChars="200"/>
        <w:rPr>
          <w:rFonts w:ascii="宋体" w:hAnsi="宋体" w:cs="宋体"/>
          <w:color w:val="auto"/>
          <w:sz w:val="24"/>
          <w:szCs w:val="24"/>
          <w:highlight w:val="none"/>
        </w:rPr>
      </w:pPr>
      <w:r>
        <w:rPr>
          <w:rFonts w:hint="eastAsia" w:ascii="宋体" w:hAnsi="宋体" w:cs="宋体"/>
          <w:color w:val="auto"/>
          <w:sz w:val="24"/>
          <w:szCs w:val="24"/>
          <w:highlight w:val="none"/>
        </w:rPr>
        <w:t>无</w:t>
      </w:r>
    </w:p>
    <w:p>
      <w:pPr>
        <w:pStyle w:val="4"/>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七、</w:t>
      </w:r>
      <w:bookmarkEnd w:id="9"/>
      <w:bookmarkEnd w:id="12"/>
      <w:bookmarkStart w:id="14" w:name="_Toc480466698"/>
      <w:bookmarkStart w:id="15" w:name="_Toc479668114"/>
      <w:r>
        <w:rPr>
          <w:rFonts w:hint="eastAsia" w:ascii="宋体" w:hAnsi="宋体" w:cs="宋体"/>
          <w:color w:val="auto"/>
          <w:sz w:val="24"/>
          <w:szCs w:val="24"/>
          <w:highlight w:val="none"/>
        </w:rPr>
        <w:t>采购项目需落实的政府采购政策</w:t>
      </w:r>
      <w:bookmarkEnd w:id="13"/>
      <w:bookmarkEnd w:id="14"/>
      <w:bookmarkEnd w:id="15"/>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（四）按照《三部门联合发布关于促进残疾人就业政府采购政策的通知》（财库〔2017〕 141号）的规定，落实支持残疾人福利性单位发展政策。</w:t>
      </w:r>
    </w:p>
    <w:p>
      <w:pPr>
        <w:pStyle w:val="4"/>
        <w:spacing w:line="360" w:lineRule="auto"/>
        <w:rPr>
          <w:rFonts w:ascii="宋体" w:hAnsi="宋体" w:cs="宋体"/>
          <w:color w:val="auto"/>
          <w:sz w:val="24"/>
          <w:szCs w:val="24"/>
          <w:highlight w:val="none"/>
        </w:rPr>
      </w:pPr>
      <w:bookmarkStart w:id="16" w:name="_Toc480466699"/>
      <w:bookmarkStart w:id="17" w:name="_Toc54278974"/>
      <w:r>
        <w:rPr>
          <w:rFonts w:hint="eastAsia" w:ascii="宋体" w:hAnsi="宋体" w:cs="宋体"/>
          <w:color w:val="auto"/>
          <w:sz w:val="24"/>
          <w:szCs w:val="24"/>
          <w:highlight w:val="none"/>
        </w:rPr>
        <w:t>八、其它有关规定</w:t>
      </w:r>
      <w:bookmarkEnd w:id="16"/>
      <w:bookmarkEnd w:id="17"/>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（四）超过响应文件截止时间递交的响应文件，恕不接收。</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（五）磋商费用：无论磋商结果如何，供应商参与本项目磋商的所有费用均应由供应商自行承担。</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（六）</w:t>
      </w:r>
      <w:r>
        <w:rPr>
          <w:rFonts w:hint="eastAsia" w:ascii="宋体" w:hAnsi="宋体" w:cs="宋体"/>
          <w:b/>
          <w:color w:val="auto"/>
          <w:sz w:val="24"/>
          <w:szCs w:val="24"/>
          <w:highlight w:val="none"/>
        </w:rPr>
        <w:t>本项目不接受联合体参与磋商。</w:t>
      </w:r>
    </w:p>
    <w:p>
      <w:pPr>
        <w:snapToGrid w:val="0"/>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（七）</w:t>
      </w:r>
      <w:bookmarkStart w:id="18" w:name="_Toc480466700"/>
      <w:r>
        <w:rPr>
          <w:rFonts w:hint="eastAsia" w:ascii="宋体" w:hAnsi="宋体" w:cs="宋体"/>
          <w:color w:val="auto"/>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line="360" w:lineRule="auto"/>
        <w:rPr>
          <w:rFonts w:ascii="宋体" w:hAnsi="宋体" w:cs="宋体"/>
          <w:color w:val="auto"/>
          <w:sz w:val="24"/>
          <w:szCs w:val="24"/>
          <w:highlight w:val="none"/>
        </w:rPr>
      </w:pPr>
      <w:bookmarkStart w:id="19" w:name="_Toc54278975"/>
      <w:r>
        <w:rPr>
          <w:rFonts w:hint="eastAsia" w:ascii="宋体" w:hAnsi="宋体" w:cs="宋体"/>
          <w:color w:val="auto"/>
          <w:sz w:val="24"/>
          <w:szCs w:val="24"/>
          <w:highlight w:val="none"/>
        </w:rPr>
        <w:t>九、联系方式</w:t>
      </w:r>
      <w:bookmarkEnd w:id="18"/>
      <w:bookmarkEnd w:id="19"/>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采购人：重庆建桥实业发展有限公司</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联系人：肖老师</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电  话：023-68955002</w:t>
      </w:r>
      <w:bookmarkStart w:id="20" w:name="_Toc54278977"/>
    </w:p>
    <w:p>
      <w:pPr>
        <w:pStyle w:val="3"/>
        <w:spacing w:line="360" w:lineRule="auto"/>
        <w:rPr>
          <w:rFonts w:ascii="宋体" w:hAnsi="宋体" w:eastAsia="宋体" w:cs="宋体"/>
          <w:b w:val="0"/>
          <w:color w:val="auto"/>
          <w:sz w:val="36"/>
          <w:szCs w:val="30"/>
          <w:highlight w:val="none"/>
        </w:rPr>
      </w:pPr>
    </w:p>
    <w:p>
      <w:pPr>
        <w:rPr>
          <w:rFonts w:ascii="宋体" w:hAnsi="宋体" w:cs="宋体"/>
          <w:color w:val="auto"/>
          <w:sz w:val="36"/>
          <w:szCs w:val="30"/>
          <w:highlight w:val="none"/>
        </w:rPr>
      </w:pPr>
    </w:p>
    <w:p>
      <w:pPr>
        <w:pStyle w:val="4"/>
        <w:rPr>
          <w:rFonts w:ascii="宋体" w:hAnsi="宋体" w:cs="宋体"/>
          <w:b w:val="0"/>
          <w:color w:val="auto"/>
          <w:sz w:val="36"/>
          <w:szCs w:val="30"/>
          <w:highlight w:val="none"/>
        </w:rPr>
      </w:pPr>
    </w:p>
    <w:p>
      <w:pPr>
        <w:rPr>
          <w:rFonts w:ascii="宋体" w:hAnsi="宋体" w:cs="宋体"/>
          <w:color w:val="auto"/>
          <w:sz w:val="36"/>
          <w:szCs w:val="30"/>
          <w:highlight w:val="none"/>
        </w:rPr>
      </w:pPr>
    </w:p>
    <w:p>
      <w:pPr>
        <w:pStyle w:val="4"/>
        <w:rPr>
          <w:rFonts w:ascii="宋体" w:hAnsi="宋体" w:cs="宋体"/>
          <w:b w:val="0"/>
          <w:color w:val="auto"/>
          <w:sz w:val="36"/>
          <w:szCs w:val="30"/>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rPr>
          <w:color w:val="auto"/>
          <w:highlight w:val="none"/>
        </w:rPr>
      </w:pPr>
    </w:p>
    <w:p>
      <w:pPr>
        <w:pStyle w:val="4"/>
        <w:rPr>
          <w:color w:val="auto"/>
          <w:highlight w:val="none"/>
        </w:rPr>
      </w:pPr>
    </w:p>
    <w:p>
      <w:pPr>
        <w:pStyle w:val="3"/>
        <w:spacing w:line="360" w:lineRule="auto"/>
        <w:rPr>
          <w:rFonts w:ascii="宋体" w:hAnsi="宋体" w:eastAsia="宋体" w:cs="宋体"/>
          <w:b w:val="0"/>
          <w:color w:val="auto"/>
          <w:sz w:val="36"/>
          <w:szCs w:val="30"/>
          <w:highlight w:val="none"/>
        </w:rPr>
      </w:pPr>
    </w:p>
    <w:p>
      <w:pPr>
        <w:pStyle w:val="3"/>
        <w:spacing w:line="360" w:lineRule="auto"/>
        <w:jc w:val="center"/>
        <w:rPr>
          <w:rFonts w:ascii="宋体" w:hAnsi="宋体" w:eastAsia="宋体" w:cs="宋体"/>
          <w:b w:val="0"/>
          <w:color w:val="auto"/>
          <w:sz w:val="36"/>
          <w:szCs w:val="30"/>
          <w:highlight w:val="none"/>
        </w:rPr>
      </w:pPr>
    </w:p>
    <w:p>
      <w:pPr>
        <w:pStyle w:val="3"/>
        <w:spacing w:line="360" w:lineRule="auto"/>
        <w:jc w:val="center"/>
        <w:rPr>
          <w:rFonts w:ascii="宋体" w:hAnsi="宋体" w:eastAsia="宋体" w:cs="宋体"/>
          <w:b w:val="0"/>
          <w:color w:val="auto"/>
          <w:sz w:val="36"/>
          <w:szCs w:val="30"/>
          <w:highlight w:val="none"/>
        </w:rPr>
      </w:pPr>
    </w:p>
    <w:p>
      <w:pPr>
        <w:rPr>
          <w:rFonts w:ascii="宋体" w:hAnsi="宋体" w:cs="宋体"/>
          <w:color w:val="auto"/>
          <w:sz w:val="36"/>
          <w:szCs w:val="30"/>
          <w:highlight w:val="none"/>
        </w:rPr>
      </w:pPr>
    </w:p>
    <w:p>
      <w:pPr>
        <w:pStyle w:val="8"/>
        <w:rPr>
          <w:color w:val="auto"/>
          <w:highlight w:val="none"/>
        </w:rPr>
      </w:pPr>
    </w:p>
    <w:p>
      <w:pPr>
        <w:rPr>
          <w:rFonts w:ascii="宋体" w:hAnsi="宋体" w:cs="宋体"/>
          <w:color w:val="auto"/>
          <w:sz w:val="36"/>
          <w:szCs w:val="30"/>
          <w:highlight w:val="none"/>
        </w:rPr>
      </w:pPr>
      <w:r>
        <w:rPr>
          <w:rFonts w:hint="eastAsia" w:ascii="宋体" w:hAnsi="宋体" w:cs="宋体"/>
          <w:color w:val="auto"/>
          <w:sz w:val="36"/>
          <w:szCs w:val="30"/>
          <w:highlight w:val="none"/>
        </w:rPr>
        <w:br w:type="page"/>
      </w:r>
    </w:p>
    <w:p>
      <w:pPr>
        <w:pStyle w:val="3"/>
        <w:spacing w:line="360" w:lineRule="auto"/>
        <w:jc w:val="center"/>
        <w:rPr>
          <w:rFonts w:ascii="宋体" w:hAnsi="宋体" w:eastAsia="宋体" w:cs="宋体"/>
          <w:b w:val="0"/>
          <w:color w:val="auto"/>
          <w:sz w:val="30"/>
          <w:szCs w:val="30"/>
          <w:highlight w:val="none"/>
        </w:rPr>
      </w:pPr>
      <w:r>
        <w:rPr>
          <w:rFonts w:hint="eastAsia" w:ascii="宋体" w:hAnsi="宋体" w:eastAsia="宋体" w:cs="宋体"/>
          <w:b w:val="0"/>
          <w:color w:val="auto"/>
          <w:sz w:val="36"/>
          <w:szCs w:val="30"/>
          <w:highlight w:val="none"/>
        </w:rPr>
        <w:t>第二篇  项目服务需求</w:t>
      </w:r>
      <w:bookmarkEnd w:id="20"/>
    </w:p>
    <w:p>
      <w:pPr>
        <w:spacing w:line="360" w:lineRule="auto"/>
        <w:ind w:firstLine="482" w:firstLineChars="200"/>
        <w:rPr>
          <w:rFonts w:ascii="宋体" w:hAnsi="宋体" w:cs="宋体"/>
          <w:b/>
          <w:bCs/>
          <w:color w:val="auto"/>
          <w:sz w:val="24"/>
          <w:szCs w:val="24"/>
          <w:highlight w:val="none"/>
        </w:rPr>
      </w:pPr>
      <w:bookmarkStart w:id="21" w:name="_Toc12789058"/>
      <w:r>
        <w:rPr>
          <w:rFonts w:hint="eastAsia" w:ascii="宋体" w:hAnsi="宋体" w:cs="宋体"/>
          <w:b/>
          <w:bCs/>
          <w:color w:val="auto"/>
          <w:sz w:val="24"/>
          <w:szCs w:val="24"/>
          <w:highlight w:val="none"/>
        </w:rPr>
        <w:t>1.建设地点：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重庆市大渡口区E18-3/05地块。</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2.建设规模：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总占地面积约25400.00m2，总建筑面积约为34906.40m2，其中教学楼及附属用房约30572.20m2、车库及活动用房约4334.20m2。总图附属工程包含土石方工程58110.81m³、防护挡墙工程3347.47m³、环境铺装及运动场12771.03m2、室外道路1252.88m2、绿化工程2661.06m2、新建围墙1262.6m、建筑物拆除6497m2、外立面改造2100m2。项目建成后拟形成48个教学班、2160人办学规模。建设内容包括土建工程、安装工程、装饰装修工程、设施设备工程及总图附属工程（含土石方、挡墙、环境铺装及运动场、室外道路、绿化、围墙建筑物拆除、外立面改造等。成交人需根据采购人认可的施工图文件，按照国家、地方和行业规范要求，据实编制项目施工图预算，并通过大渡口区财政局预算评审。</w:t>
      </w:r>
    </w:p>
    <w:p>
      <w:pPr>
        <w:autoSpaceDE w:val="0"/>
        <w:autoSpaceDN w:val="0"/>
        <w:spacing w:line="360" w:lineRule="auto"/>
        <w:ind w:firstLine="480"/>
        <w:rPr>
          <w:rFonts w:ascii="宋体" w:hAnsi="宋体" w:cs="宋体"/>
          <w:b/>
          <w:bCs/>
          <w:color w:val="auto"/>
          <w:sz w:val="24"/>
          <w:szCs w:val="24"/>
          <w:highlight w:val="none"/>
        </w:rPr>
      </w:pPr>
      <w:r>
        <w:rPr>
          <w:rFonts w:hint="eastAsia" w:ascii="宋体" w:hAnsi="宋体" w:cs="宋体"/>
          <w:b/>
          <w:bCs/>
          <w:color w:val="auto"/>
          <w:sz w:val="24"/>
          <w:szCs w:val="24"/>
          <w:highlight w:val="none"/>
        </w:rPr>
        <w:t>3.主要人员要求：</w:t>
      </w:r>
    </w:p>
    <w:p>
      <w:pPr>
        <w:pStyle w:val="8"/>
        <w:keepNext w:val="0"/>
        <w:keepLines w:val="0"/>
        <w:pageBreakBefore w:val="0"/>
        <w:widowControl w:val="0"/>
        <w:numPr>
          <w:ilvl w:val="0"/>
          <w:numId w:val="0"/>
        </w:numPr>
        <w:kinsoku/>
        <w:wordWrap/>
        <w:overflowPunct/>
        <w:topLinePunct w:val="0"/>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（1）项目负责人（1人）</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具有全国注册造价工程师（土建专业）或一级注册造价工程师（土木建筑专业）执业资格并已在投标人本单位注册，同时具备经济类（或工程类）高级及以上职称</w:t>
      </w:r>
      <w:bookmarkStart w:id="22" w:name="_Toc54278984"/>
      <w:r>
        <w:rPr>
          <w:rFonts w:hint="eastAsia" w:ascii="宋体" w:hAnsi="宋体" w:eastAsia="宋体" w:cs="宋体"/>
          <w:color w:val="auto"/>
          <w:kern w:val="2"/>
          <w:sz w:val="24"/>
          <w:szCs w:val="24"/>
          <w:highlight w:val="none"/>
          <w:lang w:val="en-US" w:eastAsia="zh-CN" w:bidi="ar-SA"/>
        </w:rPr>
        <w:t>。</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（提供人员执业资格证书、注册证书、职称证、身份证</w:t>
      </w:r>
      <w:r>
        <w:rPr>
          <w:rFonts w:hint="eastAsia" w:ascii="宋体" w:hAnsi="宋体" w:cs="宋体"/>
          <w:color w:val="auto"/>
          <w:kern w:val="2"/>
          <w:sz w:val="24"/>
          <w:szCs w:val="24"/>
          <w:highlight w:val="none"/>
          <w:lang w:val="en-US" w:eastAsia="zh-CN" w:bidi="ar-SA"/>
        </w:rPr>
        <w:t>复印件或</w:t>
      </w:r>
      <w:r>
        <w:rPr>
          <w:rFonts w:hint="eastAsia" w:ascii="宋体" w:hAnsi="宋体" w:eastAsia="宋体" w:cs="宋体"/>
          <w:color w:val="auto"/>
          <w:kern w:val="2"/>
          <w:sz w:val="24"/>
          <w:szCs w:val="24"/>
          <w:highlight w:val="none"/>
          <w:lang w:val="en-US" w:eastAsia="zh-CN" w:bidi="ar-SA"/>
        </w:rPr>
        <w:t>扫描件</w:t>
      </w:r>
      <w:r>
        <w:rPr>
          <w:rFonts w:hint="eastAsia" w:ascii="宋体" w:hAnsi="宋体" w:cs="宋体"/>
          <w:color w:val="auto"/>
          <w:kern w:val="2"/>
          <w:sz w:val="24"/>
          <w:szCs w:val="24"/>
          <w:highlight w:val="none"/>
          <w:lang w:val="en-US" w:eastAsia="zh-CN" w:bidi="ar-SA"/>
        </w:rPr>
        <w:t>以及投标人为其连续缴纳的2022年10月-2023年3月的养老保险证明</w:t>
      </w:r>
      <w:r>
        <w:rPr>
          <w:rFonts w:hint="eastAsia" w:ascii="宋体" w:hAnsi="宋体" w:eastAsia="宋体" w:cs="宋体"/>
          <w:color w:val="auto"/>
          <w:kern w:val="2"/>
          <w:sz w:val="24"/>
          <w:szCs w:val="24"/>
          <w:highlight w:val="none"/>
          <w:lang w:val="en-US" w:eastAsia="zh-CN" w:bidi="ar-SA"/>
        </w:rPr>
        <w:t>，并加盖投标人单位公章）</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（2）土建专业造价工程师（1名）：具有全国注册造价工程师（土建专业）或一级注册造价工程师（土木建筑专业）执业资格并已在投标人本单位注册，同时具备经济类（或工程类）高级及以上职称</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（提供人员执业资格证书、注册证书、职称证、身份证</w:t>
      </w:r>
      <w:r>
        <w:rPr>
          <w:rFonts w:hint="eastAsia" w:ascii="宋体" w:hAnsi="宋体" w:cs="宋体"/>
          <w:color w:val="auto"/>
          <w:kern w:val="2"/>
          <w:sz w:val="24"/>
          <w:szCs w:val="24"/>
          <w:highlight w:val="none"/>
          <w:lang w:val="en-US" w:eastAsia="zh-CN" w:bidi="ar-SA"/>
        </w:rPr>
        <w:t>复印件或</w:t>
      </w:r>
      <w:r>
        <w:rPr>
          <w:rFonts w:hint="eastAsia" w:ascii="宋体" w:hAnsi="宋体" w:eastAsia="宋体" w:cs="宋体"/>
          <w:color w:val="auto"/>
          <w:kern w:val="2"/>
          <w:sz w:val="24"/>
          <w:szCs w:val="24"/>
          <w:highlight w:val="none"/>
          <w:lang w:val="en-US" w:eastAsia="zh-CN" w:bidi="ar-SA"/>
        </w:rPr>
        <w:t>扫描件</w:t>
      </w:r>
      <w:r>
        <w:rPr>
          <w:rFonts w:hint="eastAsia" w:ascii="宋体" w:hAnsi="宋体" w:cs="宋体"/>
          <w:color w:val="auto"/>
          <w:kern w:val="2"/>
          <w:sz w:val="24"/>
          <w:szCs w:val="24"/>
          <w:highlight w:val="none"/>
          <w:lang w:val="en-US" w:eastAsia="zh-CN" w:bidi="ar-SA"/>
        </w:rPr>
        <w:t>以及投标人为其连续缴纳的2022年10月-2023年3月的养老保险证明</w:t>
      </w:r>
      <w:r>
        <w:rPr>
          <w:rFonts w:hint="eastAsia" w:ascii="宋体" w:hAnsi="宋体" w:eastAsia="宋体" w:cs="宋体"/>
          <w:color w:val="auto"/>
          <w:kern w:val="2"/>
          <w:sz w:val="24"/>
          <w:szCs w:val="24"/>
          <w:highlight w:val="none"/>
          <w:lang w:val="en-US" w:eastAsia="zh-CN" w:bidi="ar-SA"/>
        </w:rPr>
        <w:t>，并加盖投标人单位公章）</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（3）安装专业造价工程师（1名）：具有全国注册造价工程师或一级注册造价工程师（安装专业）执业资格并已在投标人本单位注册，，同时具备经济类（或工程类）高级及以上职称。</w:t>
      </w:r>
    </w:p>
    <w:p>
      <w:pPr>
        <w:pStyle w:val="8"/>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（提供人员执业资格证书、注册证书、职称证、身份证</w:t>
      </w:r>
      <w:r>
        <w:rPr>
          <w:rFonts w:hint="eastAsia" w:ascii="宋体" w:hAnsi="宋体" w:cs="宋体"/>
          <w:color w:val="auto"/>
          <w:kern w:val="2"/>
          <w:sz w:val="24"/>
          <w:szCs w:val="24"/>
          <w:highlight w:val="none"/>
          <w:lang w:val="en-US" w:eastAsia="zh-CN" w:bidi="ar-SA"/>
        </w:rPr>
        <w:t>复印件或</w:t>
      </w:r>
      <w:r>
        <w:rPr>
          <w:rFonts w:hint="eastAsia" w:ascii="宋体" w:hAnsi="宋体" w:eastAsia="宋体" w:cs="宋体"/>
          <w:color w:val="auto"/>
          <w:kern w:val="2"/>
          <w:sz w:val="24"/>
          <w:szCs w:val="24"/>
          <w:highlight w:val="none"/>
          <w:lang w:val="en-US" w:eastAsia="zh-CN" w:bidi="ar-SA"/>
        </w:rPr>
        <w:t>扫描件</w:t>
      </w:r>
      <w:r>
        <w:rPr>
          <w:rFonts w:hint="eastAsia" w:ascii="宋体" w:hAnsi="宋体" w:cs="宋体"/>
          <w:color w:val="auto"/>
          <w:kern w:val="2"/>
          <w:sz w:val="24"/>
          <w:szCs w:val="24"/>
          <w:highlight w:val="none"/>
          <w:lang w:val="en-US" w:eastAsia="zh-CN" w:bidi="ar-SA"/>
        </w:rPr>
        <w:t>以及投标人为其连续缴纳的2022年10月-2023年3月的养老保险证明</w:t>
      </w:r>
      <w:r>
        <w:rPr>
          <w:rFonts w:hint="eastAsia" w:ascii="宋体" w:hAnsi="宋体" w:eastAsia="宋体" w:cs="宋体"/>
          <w:color w:val="auto"/>
          <w:kern w:val="2"/>
          <w:sz w:val="24"/>
          <w:szCs w:val="24"/>
          <w:highlight w:val="none"/>
          <w:lang w:val="en-US" w:eastAsia="zh-CN" w:bidi="ar-SA"/>
        </w:rPr>
        <w:t>，并加盖投标人单位公章）</w:t>
      </w:r>
    </w:p>
    <w:p>
      <w:pPr>
        <w:autoSpaceDE w:val="0"/>
        <w:autoSpaceDN w:val="0"/>
        <w:spacing w:line="360" w:lineRule="auto"/>
        <w:ind w:firstLine="48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4.违约责任</w:t>
      </w:r>
    </w:p>
    <w:p>
      <w:pPr>
        <w:pStyle w:val="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w:t>
      </w:r>
      <w:r>
        <w:rPr>
          <w:rFonts w:ascii="宋体" w:hAnsi="宋体" w:cs="宋体"/>
          <w:color w:val="auto"/>
          <w:sz w:val="24"/>
          <w:szCs w:val="24"/>
          <w:highlight w:val="none"/>
        </w:rPr>
        <w:t>咨询方不得将工程的咨询任务进行挂靠、转包或分包，如经发现，委托方将取消本工程咨询资格，并赔偿因此对委托方造成一切经济损失。</w:t>
      </w:r>
    </w:p>
    <w:p>
      <w:pPr>
        <w:pStyle w:val="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ascii="宋体" w:hAnsi="宋体" w:cs="宋体"/>
          <w:color w:val="auto"/>
          <w:sz w:val="24"/>
          <w:szCs w:val="24"/>
          <w:highlight w:val="none"/>
        </w:rPr>
        <w:t>咨询方</w:t>
      </w:r>
      <w:r>
        <w:rPr>
          <w:rFonts w:hint="eastAsia" w:ascii="宋体" w:hAnsi="宋体" w:cs="宋体"/>
          <w:color w:val="auto"/>
          <w:sz w:val="24"/>
          <w:szCs w:val="24"/>
          <w:highlight w:val="none"/>
        </w:rPr>
        <w:t>投标承诺</w:t>
      </w:r>
      <w:r>
        <w:rPr>
          <w:rFonts w:ascii="宋体" w:hAnsi="宋体" w:cs="宋体"/>
          <w:color w:val="auto"/>
          <w:sz w:val="24"/>
          <w:szCs w:val="24"/>
          <w:highlight w:val="none"/>
        </w:rPr>
        <w:t>的</w:t>
      </w:r>
      <w:r>
        <w:rPr>
          <w:rFonts w:hint="eastAsia" w:ascii="宋体" w:hAnsi="宋体" w:cs="宋体"/>
          <w:color w:val="auto"/>
          <w:sz w:val="24"/>
          <w:szCs w:val="24"/>
          <w:highlight w:val="none"/>
        </w:rPr>
        <w:t>项目</w:t>
      </w:r>
      <w:r>
        <w:rPr>
          <w:rFonts w:ascii="宋体" w:hAnsi="宋体" w:cs="宋体"/>
          <w:color w:val="auto"/>
          <w:sz w:val="24"/>
          <w:szCs w:val="24"/>
          <w:highlight w:val="none"/>
        </w:rPr>
        <w:t>负责人及其专业人员不得随意更换，若确需变更咨询人员的，须经委托人审核同意后方能变更人员；且拟变更人员的职称、执业资格等资质均不得低于招标文件要求（在商务部分有加分得利的需同时满足），且调整人员的比例不得超过投标文件承诺的人员数量的30%。</w:t>
      </w:r>
    </w:p>
    <w:p>
      <w:pPr>
        <w:pStyle w:val="2"/>
        <w:rPr>
          <w:color w:val="auto"/>
          <w:highlight w:val="none"/>
        </w:rPr>
      </w:pPr>
      <w:r>
        <w:rPr>
          <w:color w:val="auto"/>
          <w:highlight w:val="none"/>
        </w:rPr>
        <w:br w:type="page"/>
      </w:r>
    </w:p>
    <w:p>
      <w:pPr>
        <w:pStyle w:val="3"/>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 xml:space="preserve">第三篇  </w:t>
      </w:r>
      <w:bookmarkEnd w:id="21"/>
      <w:r>
        <w:rPr>
          <w:rFonts w:hint="eastAsia" w:ascii="宋体" w:hAnsi="宋体" w:eastAsia="宋体" w:cs="宋体"/>
          <w:b w:val="0"/>
          <w:color w:val="auto"/>
          <w:sz w:val="36"/>
          <w:szCs w:val="30"/>
          <w:highlight w:val="none"/>
        </w:rPr>
        <w:t>项目商务需求</w:t>
      </w:r>
      <w:bookmarkEnd w:id="22"/>
    </w:p>
    <w:p>
      <w:pPr>
        <w:pStyle w:val="4"/>
        <w:spacing w:line="440" w:lineRule="exact"/>
        <w:rPr>
          <w:rFonts w:ascii="宋体" w:hAnsi="宋体" w:cs="宋体"/>
          <w:color w:val="auto"/>
          <w:sz w:val="24"/>
          <w:szCs w:val="24"/>
          <w:highlight w:val="none"/>
        </w:rPr>
      </w:pPr>
      <w:bookmarkStart w:id="23" w:name="_Toc54278985"/>
      <w:bookmarkStart w:id="24" w:name="_Toc344475120"/>
      <w:r>
        <w:rPr>
          <w:rFonts w:hint="eastAsia" w:ascii="宋体" w:hAnsi="宋体" w:cs="宋体"/>
          <w:color w:val="auto"/>
          <w:sz w:val="24"/>
          <w:szCs w:val="24"/>
          <w:highlight w:val="none"/>
        </w:rPr>
        <w:t>一、服务期、地点及验收方式</w:t>
      </w:r>
      <w:bookmarkEnd w:id="23"/>
      <w:bookmarkEnd w:id="24"/>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（一）服务期：</w:t>
      </w:r>
      <w:r>
        <w:rPr>
          <w:rFonts w:ascii="宋体" w:hAnsi="宋体" w:cs="宋体"/>
          <w:color w:val="auto"/>
          <w:sz w:val="24"/>
          <w:szCs w:val="24"/>
          <w:highlight w:val="none"/>
        </w:rPr>
        <w:t>委托人提供完整资料后20工作日内完成。</w:t>
      </w:r>
      <w:r>
        <w:rPr>
          <w:rFonts w:hint="eastAsia" w:ascii="宋体" w:hAnsi="宋体" w:cs="宋体"/>
          <w:color w:val="auto"/>
          <w:sz w:val="24"/>
          <w:szCs w:val="24"/>
          <w:highlight w:val="none"/>
        </w:rPr>
        <w:t>。</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（二）服务地点：采购人指定地点。</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（三）验收方式及标准</w:t>
      </w:r>
      <w:bookmarkStart w:id="25" w:name="_Toc344475121"/>
      <w:bookmarkStart w:id="26" w:name="_Toc54278986"/>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1、由采购人自行验收；</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2、竞标人提供的服务未达到竞争性磋商文件规定要求，且对采购人造成损失的，由竞标人承担一切责任，并赔偿所造成的损失。</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3、达到国家现行有关施工质量验收规范要求，并达到合格标准，</w:t>
      </w:r>
    </w:p>
    <w:p>
      <w:pPr>
        <w:pStyle w:val="4"/>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二、</w:t>
      </w:r>
      <w:bookmarkEnd w:id="25"/>
      <w:r>
        <w:rPr>
          <w:rFonts w:hint="eastAsia" w:ascii="宋体" w:hAnsi="宋体" w:cs="宋体"/>
          <w:color w:val="auto"/>
          <w:sz w:val="24"/>
          <w:szCs w:val="24"/>
          <w:highlight w:val="none"/>
        </w:rPr>
        <w:t>报价要求</w:t>
      </w:r>
      <w:bookmarkEnd w:id="26"/>
    </w:p>
    <w:p>
      <w:pPr>
        <w:spacing w:line="540" w:lineRule="exact"/>
        <w:ind w:firstLine="480" w:firstLineChars="200"/>
        <w:jc w:val="left"/>
        <w:rPr>
          <w:rFonts w:ascii="宋体" w:hAnsi="宋体" w:cs="宋体"/>
          <w:color w:val="auto"/>
          <w:sz w:val="24"/>
          <w:szCs w:val="24"/>
          <w:highlight w:val="none"/>
        </w:rPr>
      </w:pPr>
      <w:bookmarkStart w:id="27" w:name="_Toc54278994"/>
      <w:r>
        <w:rPr>
          <w:rFonts w:hint="eastAsia" w:ascii="宋体" w:hAnsi="宋体" w:cs="宋体"/>
          <w:color w:val="auto"/>
          <w:sz w:val="24"/>
          <w:szCs w:val="24"/>
          <w:highlight w:val="none"/>
        </w:rPr>
        <w:t>（一）最高限价</w:t>
      </w:r>
    </w:p>
    <w:p>
      <w:pPr>
        <w:autoSpaceDE w:val="0"/>
        <w:autoSpaceDN w:val="0"/>
        <w:adjustRightInd w:val="0"/>
        <w:snapToGrid w:val="0"/>
        <w:spacing w:line="600" w:lineRule="exact"/>
        <w:ind w:firstLine="480"/>
        <w:jc w:val="left"/>
        <w:rPr>
          <w:rFonts w:ascii="宋体" w:hAnsi="宋体" w:cs="宋体"/>
          <w:color w:val="auto"/>
          <w:sz w:val="24"/>
          <w:szCs w:val="24"/>
          <w:highlight w:val="none"/>
        </w:rPr>
      </w:pPr>
      <w:r>
        <w:rPr>
          <w:rFonts w:hint="eastAsia" w:ascii="宋体" w:hAnsi="宋体" w:cs="宋体"/>
          <w:color w:val="auto"/>
          <w:sz w:val="24"/>
          <w:szCs w:val="24"/>
          <w:highlight w:val="none"/>
        </w:rPr>
        <w:t>本项目</w:t>
      </w:r>
      <w:r>
        <w:rPr>
          <w:rFonts w:hint="eastAsia" w:ascii="宋体" w:hAnsi="宋体"/>
          <w:color w:val="auto"/>
          <w:sz w:val="24"/>
          <w:highlight w:val="none"/>
        </w:rPr>
        <w:t>编制服务费</w:t>
      </w:r>
      <w:r>
        <w:rPr>
          <w:rFonts w:hint="eastAsia" w:ascii="宋体" w:hAnsi="宋体" w:cs="宋体"/>
          <w:b/>
          <w:bCs/>
          <w:color w:val="auto"/>
          <w:sz w:val="24"/>
          <w:szCs w:val="24"/>
          <w:highlight w:val="none"/>
        </w:rPr>
        <w:t>折扣率百分比最高限价</w:t>
      </w:r>
      <w:r>
        <w:rPr>
          <w:rFonts w:hint="eastAsia" w:ascii="宋体" w:hAnsi="宋体"/>
          <w:color w:val="auto"/>
          <w:sz w:val="24"/>
          <w:highlight w:val="none"/>
        </w:rPr>
        <w:t>按《重庆市物价局关于工程造价咨询服务收费标准的通知》（渝价〔2013〕428号）收费标准</w:t>
      </w:r>
      <w:r>
        <w:rPr>
          <w:rFonts w:hint="eastAsia" w:ascii="宋体" w:hAnsi="宋体"/>
          <w:color w:val="auto"/>
          <w:sz w:val="24"/>
          <w:highlight w:val="none"/>
          <w:lang w:val="en-US" w:eastAsia="zh-CN"/>
        </w:rPr>
        <w:t>（附表2-序号3，建筑、市政、园林分项）</w:t>
      </w:r>
      <w:r>
        <w:rPr>
          <w:rFonts w:hint="eastAsia" w:ascii="宋体" w:hAnsi="宋体" w:cs="宋体"/>
          <w:color w:val="auto"/>
          <w:sz w:val="24"/>
          <w:szCs w:val="24"/>
          <w:highlight w:val="none"/>
        </w:rPr>
        <w:t>的</w:t>
      </w:r>
      <w:r>
        <w:rPr>
          <w:rFonts w:hint="eastAsia" w:ascii="宋体" w:hAnsi="宋体" w:cs="宋体"/>
          <w:b/>
          <w:bCs/>
          <w:color w:val="auto"/>
          <w:sz w:val="24"/>
          <w:szCs w:val="24"/>
          <w:highlight w:val="none"/>
          <w:lang w:val="en-US" w:eastAsia="zh-CN"/>
        </w:rPr>
        <w:t>6</w:t>
      </w:r>
      <w:r>
        <w:rPr>
          <w:rFonts w:hint="eastAsia" w:ascii="宋体" w:hAnsi="宋体" w:cs="宋体"/>
          <w:b/>
          <w:bCs/>
          <w:color w:val="auto"/>
          <w:sz w:val="24"/>
          <w:szCs w:val="24"/>
          <w:highlight w:val="none"/>
        </w:rPr>
        <w:t>0%</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按照暂定建安投资</w:t>
      </w:r>
      <w:r>
        <w:rPr>
          <w:rFonts w:hint="eastAsia" w:ascii="宋体" w:hAnsi="宋体" w:cs="宋体"/>
          <w:color w:val="auto"/>
          <w:sz w:val="24"/>
          <w:szCs w:val="24"/>
          <w:highlight w:val="none"/>
          <w:lang w:val="en-US" w:eastAsia="zh-CN"/>
        </w:rPr>
        <w:t>20000万元计算，</w:t>
      </w:r>
      <w:r>
        <w:rPr>
          <w:rFonts w:hint="eastAsia" w:ascii="宋体" w:hAnsi="宋体" w:cs="宋体"/>
          <w:b/>
          <w:bCs/>
          <w:color w:val="auto"/>
          <w:sz w:val="24"/>
          <w:szCs w:val="24"/>
          <w:highlight w:val="none"/>
          <w:lang w:val="en-US" w:eastAsia="zh-CN"/>
        </w:rPr>
        <w:t>预算编制服务费总价最高限价289500元</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投标人所报编制费收费折扣率百分比必须≤</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0 %，</w:t>
      </w:r>
      <w:r>
        <w:rPr>
          <w:rFonts w:hint="eastAsia" w:ascii="宋体" w:hAnsi="宋体" w:cs="宋体"/>
          <w:color w:val="auto"/>
          <w:sz w:val="24"/>
          <w:szCs w:val="24"/>
          <w:highlight w:val="none"/>
          <w:lang w:eastAsia="zh-CN"/>
        </w:rPr>
        <w:t>且预算编制服务费总价报价必须≤</w:t>
      </w:r>
      <w:r>
        <w:rPr>
          <w:rFonts w:hint="eastAsia" w:ascii="宋体" w:hAnsi="宋体" w:cs="宋体"/>
          <w:color w:val="auto"/>
          <w:sz w:val="24"/>
          <w:szCs w:val="24"/>
          <w:highlight w:val="none"/>
          <w:lang w:val="en-US" w:eastAsia="zh-CN"/>
        </w:rPr>
        <w:t>289500元，</w:t>
      </w:r>
      <w:r>
        <w:rPr>
          <w:rFonts w:hint="eastAsia" w:ascii="宋体" w:hAnsi="宋体" w:cs="宋体"/>
          <w:b/>
          <w:bCs/>
          <w:color w:val="auto"/>
          <w:sz w:val="24"/>
          <w:szCs w:val="24"/>
          <w:highlight w:val="none"/>
        </w:rPr>
        <w:t>否则为无效竞标。</w:t>
      </w:r>
      <w:r>
        <w:rPr>
          <w:rFonts w:hint="eastAsia" w:ascii="宋体" w:hAnsi="宋体" w:cs="宋体"/>
          <w:color w:val="auto"/>
          <w:sz w:val="24"/>
          <w:szCs w:val="24"/>
          <w:highlight w:val="none"/>
        </w:rPr>
        <w:t>（注：本项目建安投资暂按2</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rPr>
        <w:t>000万元予以计算预算编制费用）</w:t>
      </w:r>
    </w:p>
    <w:p>
      <w:pPr>
        <w:numPr>
          <w:ilvl w:val="0"/>
          <w:numId w:val="1"/>
        </w:num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报价方式：</w:t>
      </w:r>
      <w:r>
        <w:rPr>
          <w:rFonts w:hint="eastAsia" w:ascii="宋体" w:hAnsi="宋体" w:cs="宋体"/>
          <w:color w:val="auto"/>
          <w:sz w:val="24"/>
          <w:szCs w:val="24"/>
          <w:highlight w:val="none"/>
          <w:lang w:eastAsia="zh-CN"/>
        </w:rPr>
        <w:t>投标人需</w:t>
      </w:r>
      <w:r>
        <w:rPr>
          <w:rFonts w:hint="eastAsia" w:ascii="宋体" w:hAnsi="宋体"/>
          <w:color w:val="auto"/>
          <w:sz w:val="24"/>
          <w:highlight w:val="none"/>
        </w:rPr>
        <w:t>按《重庆市物价局关于工程造价咨询服务收费标准的通知》（渝价〔2013〕428号）收费标准</w:t>
      </w:r>
      <w:r>
        <w:rPr>
          <w:rFonts w:hint="eastAsia" w:ascii="宋体" w:hAnsi="宋体"/>
          <w:color w:val="auto"/>
          <w:sz w:val="24"/>
          <w:highlight w:val="none"/>
          <w:lang w:val="en-US" w:eastAsia="zh-CN"/>
        </w:rPr>
        <w:t>（附表2-序号3，建筑、市政、园林分项）</w:t>
      </w:r>
      <w:r>
        <w:rPr>
          <w:rFonts w:hint="eastAsia" w:ascii="宋体" w:hAnsi="宋体"/>
          <w:color w:val="auto"/>
          <w:sz w:val="24"/>
          <w:highlight w:val="none"/>
          <w:lang w:eastAsia="zh-CN"/>
        </w:rPr>
        <w:t>进行</w:t>
      </w:r>
      <w:r>
        <w:rPr>
          <w:rFonts w:hint="eastAsia" w:ascii="宋体" w:hAnsi="宋体" w:cs="宋体"/>
          <w:color w:val="auto"/>
          <w:sz w:val="24"/>
          <w:szCs w:val="24"/>
          <w:highlight w:val="none"/>
        </w:rPr>
        <w:t>收费折扣率百分比报价（保留两位小数，例如</w:t>
      </w:r>
      <w:r>
        <w:rPr>
          <w:rFonts w:hint="eastAsia" w:ascii="宋体" w:hAnsi="宋体" w:cs="宋体"/>
          <w:color w:val="auto"/>
          <w:sz w:val="24"/>
          <w:szCs w:val="24"/>
          <w:highlight w:val="none"/>
          <w:lang w:val="en-US" w:eastAsia="zh-CN"/>
        </w:rPr>
        <w:t>55</w:t>
      </w:r>
      <w:r>
        <w:rPr>
          <w:rFonts w:hint="eastAsia" w:ascii="宋体" w:hAnsi="宋体" w:cs="宋体"/>
          <w:color w:val="auto"/>
          <w:sz w:val="24"/>
          <w:szCs w:val="24"/>
          <w:highlight w:val="none"/>
        </w:rPr>
        <w:t>.00%）</w:t>
      </w:r>
      <w:r>
        <w:rPr>
          <w:rFonts w:hint="eastAsia" w:ascii="宋体" w:hAnsi="宋体" w:cs="宋体"/>
          <w:color w:val="auto"/>
          <w:sz w:val="24"/>
          <w:szCs w:val="24"/>
          <w:highlight w:val="none"/>
          <w:lang w:eastAsia="zh-CN"/>
        </w:rPr>
        <w:t>，同时需要按照暂定建安投资</w:t>
      </w:r>
      <w:r>
        <w:rPr>
          <w:rFonts w:hint="eastAsia" w:ascii="宋体" w:hAnsi="宋体" w:cs="宋体"/>
          <w:color w:val="auto"/>
          <w:sz w:val="24"/>
          <w:szCs w:val="24"/>
          <w:highlight w:val="none"/>
          <w:lang w:val="en-US" w:eastAsia="zh-CN"/>
        </w:rPr>
        <w:t>20000万元，结合</w:t>
      </w:r>
      <w:r>
        <w:rPr>
          <w:rFonts w:hint="eastAsia" w:ascii="宋体" w:hAnsi="宋体"/>
          <w:color w:val="auto"/>
          <w:sz w:val="24"/>
          <w:highlight w:val="none"/>
        </w:rPr>
        <w:t>《重庆市物价局关于工程造价咨询服务收费标准的通知》（渝价〔2013〕428号）收费标准</w:t>
      </w:r>
      <w:r>
        <w:rPr>
          <w:rFonts w:hint="eastAsia" w:ascii="宋体" w:hAnsi="宋体"/>
          <w:color w:val="auto"/>
          <w:sz w:val="24"/>
          <w:highlight w:val="none"/>
          <w:lang w:val="en-US" w:eastAsia="zh-CN"/>
        </w:rPr>
        <w:t>（附表2-序号3，建筑、市政、园林分项）</w:t>
      </w:r>
      <w:r>
        <w:rPr>
          <w:rFonts w:hint="eastAsia" w:ascii="宋体" w:hAnsi="宋体"/>
          <w:color w:val="auto"/>
          <w:sz w:val="24"/>
          <w:highlight w:val="none"/>
          <w:lang w:eastAsia="zh-CN"/>
        </w:rPr>
        <w:t>及报价折扣率，进行预算编制服务费总价报价（保留两位小数，例如</w:t>
      </w:r>
      <w:r>
        <w:rPr>
          <w:rFonts w:hint="eastAsia" w:ascii="宋体" w:hAnsi="宋体"/>
          <w:color w:val="auto"/>
          <w:sz w:val="24"/>
          <w:highlight w:val="none"/>
          <w:lang w:val="en-US" w:eastAsia="zh-CN"/>
        </w:rPr>
        <w:t>265000.00元</w:t>
      </w:r>
      <w:r>
        <w:rPr>
          <w:rFonts w:hint="eastAsia" w:ascii="宋体" w:hAnsi="宋体"/>
          <w:color w:val="auto"/>
          <w:sz w:val="24"/>
          <w:highlight w:val="none"/>
          <w:lang w:eastAsia="zh-CN"/>
        </w:rPr>
        <w:t>）。</w:t>
      </w:r>
    </w:p>
    <w:p>
      <w:pPr>
        <w:numPr>
          <w:ilvl w:val="0"/>
          <w:numId w:val="0"/>
        </w:numPr>
        <w:spacing w:line="540" w:lineRule="exact"/>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cs="宋体"/>
          <w:b/>
          <w:bCs/>
          <w:color w:val="auto"/>
          <w:sz w:val="24"/>
          <w:szCs w:val="24"/>
          <w:highlight w:val="none"/>
          <w:lang w:val="en-US" w:eastAsia="zh-CN"/>
        </w:rPr>
        <w:t>重要提醒：请各投标人严格按照《重庆市物价局关于工程造价咨询服务收费标准的通知》（渝价〔2013〕428号）收费标准（附表2-序号3，建筑、市政、园林分项）及暂定建安投资20000万元进行折扣率百分比和服务费总价报价，若报价函的折扣率百分比报价和服务费总价报价未按“报价方式”约定原则计算一致，视为未作实质性响应，按否决投标处理。</w:t>
      </w:r>
    </w:p>
    <w:p>
      <w:pPr>
        <w:tabs>
          <w:tab w:val="left" w:pos="546"/>
          <w:tab w:val="left" w:pos="711"/>
        </w:tabs>
        <w:snapToGrid w:val="0"/>
        <w:spacing w:line="540" w:lineRule="exact"/>
        <w:ind w:firstLine="482" w:firstLineChars="200"/>
        <w:rPr>
          <w:rFonts w:ascii="方正仿宋_GBK" w:hAnsi="宋体" w:eastAsia="方正仿宋_GBK" w:cs="宋体"/>
          <w:b/>
          <w:bCs/>
          <w:color w:val="auto"/>
          <w:kern w:val="0"/>
          <w:sz w:val="24"/>
          <w:szCs w:val="24"/>
          <w:highlight w:val="none"/>
        </w:rPr>
      </w:pPr>
      <w:r>
        <w:rPr>
          <w:rFonts w:hint="eastAsia" w:ascii="方正仿宋_GBK" w:hAnsi="宋体" w:eastAsia="方正仿宋_GBK" w:cs="宋体"/>
          <w:b/>
          <w:bCs/>
          <w:color w:val="auto"/>
          <w:kern w:val="0"/>
          <w:sz w:val="24"/>
          <w:szCs w:val="24"/>
          <w:highlight w:val="none"/>
        </w:rPr>
        <w:t xml:space="preserve"> 备注：</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1、投标人的投标报价应包括</w:t>
      </w:r>
      <w:r>
        <w:rPr>
          <w:rFonts w:hint="eastAsia" w:ascii="宋体" w:hAnsi="宋体" w:cs="宋体"/>
          <w:color w:val="auto"/>
          <w:sz w:val="24"/>
          <w:szCs w:val="24"/>
          <w:highlight w:val="none"/>
          <w:lang w:eastAsia="zh-CN"/>
        </w:rPr>
        <w:t>为完成</w:t>
      </w:r>
      <w:r>
        <w:rPr>
          <w:rFonts w:hint="eastAsia" w:ascii="宋体" w:hAnsi="宋体" w:cs="宋体"/>
          <w:color w:val="auto"/>
          <w:sz w:val="24"/>
          <w:szCs w:val="24"/>
          <w:highlight w:val="none"/>
        </w:rPr>
        <w:t>本工程</w:t>
      </w:r>
      <w:r>
        <w:rPr>
          <w:rFonts w:hint="eastAsia" w:ascii="宋体" w:hAnsi="宋体" w:cs="宋体"/>
          <w:color w:val="auto"/>
          <w:sz w:val="24"/>
          <w:szCs w:val="24"/>
          <w:highlight w:val="none"/>
          <w:lang w:eastAsia="zh-CN"/>
        </w:rPr>
        <w:t>施工图预算编制并取得预算评审报告而产生的</w:t>
      </w:r>
      <w:r>
        <w:rPr>
          <w:rFonts w:hint="eastAsia" w:ascii="宋体" w:hAnsi="宋体" w:cs="宋体"/>
          <w:color w:val="auto"/>
          <w:sz w:val="24"/>
          <w:szCs w:val="24"/>
          <w:highlight w:val="none"/>
        </w:rPr>
        <w:t>相关工作人员的人工成本、劳保、医疗、福利、津贴、保险、差旅费、资料费、、税金、利润等一切可预见和不可预见费用。招标人不再另行支付任何费用，投标人也不得与本项目的任何承包商、材料供应商等发生任何经济关系。</w:t>
      </w:r>
    </w:p>
    <w:p>
      <w:pPr>
        <w:spacing w:line="540" w:lineRule="exact"/>
        <w:ind w:firstLine="720" w:firstLineChars="300"/>
        <w:jc w:val="left"/>
        <w:rPr>
          <w:rFonts w:ascii="宋体" w:hAnsi="宋体" w:cs="宋体"/>
          <w:color w:val="auto"/>
          <w:sz w:val="24"/>
          <w:szCs w:val="24"/>
          <w:highlight w:val="none"/>
        </w:rPr>
      </w:pPr>
      <w:r>
        <w:rPr>
          <w:rFonts w:hint="eastAsia" w:ascii="宋体" w:hAnsi="宋体" w:cs="宋体"/>
          <w:color w:val="auto"/>
          <w:sz w:val="24"/>
          <w:szCs w:val="24"/>
          <w:highlight w:val="none"/>
        </w:rPr>
        <w:t>投标人应先到项目所在地踏勘，以充分了解项目位置、地质地貌、气候与水文条件、交通状况、电力、给水、排水、热力和天然气等市政基础设施及任何其他足以影响其提交设计方案的可实现性和承包价的情况。任何因中标人忽视或误解项目基本情况，而使招标人在项目实施过程中蒙受的损失，将由中标人按一定比例对招标人进行赔偿。</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2、中标报价折扣率百分比不作调整。即在本工程招标范围内，无论国家政策调整，无论法规、标准及市场因素的变化，中标报价折扣率百分比不作调整。</w:t>
      </w:r>
    </w:p>
    <w:p>
      <w:pPr>
        <w:spacing w:line="540" w:lineRule="exact"/>
        <w:ind w:firstLine="480" w:firstLineChars="200"/>
        <w:jc w:val="left"/>
        <w:rPr>
          <w:rFonts w:ascii="方正仿宋_GBK" w:hAnsi="宋体" w:eastAsia="方正仿宋_GBK"/>
          <w:color w:val="auto"/>
          <w:sz w:val="24"/>
          <w:szCs w:val="24"/>
          <w:highlight w:val="none"/>
        </w:rPr>
      </w:pPr>
      <w:r>
        <w:rPr>
          <w:rFonts w:hint="eastAsia" w:ascii="宋体" w:hAnsi="宋体" w:cs="宋体"/>
          <w:color w:val="auto"/>
          <w:sz w:val="24"/>
          <w:szCs w:val="24"/>
          <w:highlight w:val="none"/>
        </w:rPr>
        <w:t>3、本工程的投标货币为人民币，投标报价中的折扣率百分比报价、暂定费总额保留小数点后两位。</w:t>
      </w:r>
    </w:p>
    <w:p>
      <w:pPr>
        <w:autoSpaceDE w:val="0"/>
        <w:autoSpaceDN w:val="0"/>
        <w:adjustRightInd w:val="0"/>
        <w:snapToGrid w:val="0"/>
        <w:spacing w:line="600" w:lineRule="exact"/>
        <w:ind w:firstLine="480"/>
        <w:jc w:val="left"/>
        <w:rPr>
          <w:color w:val="auto"/>
          <w:highlight w:val="none"/>
        </w:rPr>
      </w:pPr>
      <w:r>
        <w:rPr>
          <w:rFonts w:hint="eastAsia" w:ascii="方正仿宋_GBK" w:hAnsi="宋体" w:eastAsia="方正仿宋_GBK" w:cs="宋体"/>
          <w:b/>
          <w:bCs/>
          <w:color w:val="auto"/>
          <w:kern w:val="0"/>
          <w:sz w:val="24"/>
          <w:szCs w:val="24"/>
          <w:highlight w:val="none"/>
        </w:rPr>
        <w:t>4、</w:t>
      </w:r>
      <w:r>
        <w:rPr>
          <w:rFonts w:hint="eastAsia" w:ascii="宋体" w:hAnsi="宋体" w:cs="宋体"/>
          <w:color w:val="auto"/>
          <w:sz w:val="24"/>
          <w:szCs w:val="24"/>
          <w:highlight w:val="none"/>
          <w:lang w:eastAsia="zh-CN"/>
        </w:rPr>
        <w:t>咨询人应严格按照国家、地方和行业规范要求，完成施工图预算编制工作，并积极配合采购人对接预算评审部门或其委托的第三方咨询机构，取得施工图预算评审报告。在预算评审过程中，咨询人应对预算评审的初步成果进行复核并出具书面复核意见；若因咨询人复核意见未提及，但在施工过程中出现工程量清单漏项少量、违背清单编制规范、项目特征描述不清、价格严重偏离市场等原因，导致单项增加20万元-50万元或累计超施工合同价5%-10%的，扣除5%造价编制费；单项增加50万元-100万元或累计超施工合同价10%的，扣除10%造价编制费；单项增加100万元以上或累计超工程概算建安投资的，除扣除10%造价编制费外，两年内不再邀请咨询人参与委托人工程造价咨询。</w:t>
      </w:r>
    </w:p>
    <w:p>
      <w:pPr>
        <w:spacing w:line="400" w:lineRule="exact"/>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三、结算原则</w:t>
      </w:r>
    </w:p>
    <w:p>
      <w:pPr>
        <w:autoSpaceDE w:val="0"/>
        <w:autoSpaceDN w:val="0"/>
        <w:adjustRightInd w:val="0"/>
        <w:snapToGrid w:val="0"/>
        <w:spacing w:line="600" w:lineRule="exact"/>
        <w:ind w:firstLine="480"/>
        <w:jc w:val="left"/>
        <w:rPr>
          <w:rFonts w:ascii="宋体" w:hAnsi="宋体" w:cs="宋体"/>
          <w:color w:val="auto"/>
          <w:sz w:val="24"/>
          <w:szCs w:val="24"/>
          <w:highlight w:val="none"/>
        </w:rPr>
      </w:pPr>
      <w:r>
        <w:rPr>
          <w:rFonts w:hint="eastAsia" w:ascii="宋体" w:hAnsi="宋体"/>
          <w:color w:val="auto"/>
          <w:sz w:val="24"/>
          <w:highlight w:val="none"/>
          <w:lang w:eastAsia="zh-CN"/>
        </w:rPr>
        <w:t>预算</w:t>
      </w:r>
      <w:r>
        <w:rPr>
          <w:rFonts w:hint="eastAsia" w:ascii="宋体" w:hAnsi="宋体"/>
          <w:color w:val="auto"/>
          <w:sz w:val="24"/>
          <w:highlight w:val="none"/>
        </w:rPr>
        <w:t>编制服务费结算方式：</w:t>
      </w:r>
      <w:r>
        <w:rPr>
          <w:rFonts w:hint="eastAsia" w:ascii="宋体" w:hAnsi="宋体"/>
          <w:color w:val="auto"/>
          <w:sz w:val="24"/>
          <w:highlight w:val="none"/>
          <w:lang w:eastAsia="zh-CN"/>
        </w:rPr>
        <w:t>以预算评审审定金额为计费基数，</w:t>
      </w:r>
      <w:r>
        <w:rPr>
          <w:rFonts w:hint="eastAsia" w:ascii="宋体" w:hAnsi="宋体"/>
          <w:color w:val="auto"/>
          <w:sz w:val="24"/>
          <w:highlight w:val="none"/>
        </w:rPr>
        <w:t>按《重庆市物价局关于工程造价咨询服务收费标准的通知》（渝价〔2013〕428号）收费标准</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附表2-序号3，建筑、市政、园林分项</w:t>
      </w:r>
      <w:r>
        <w:rPr>
          <w:rFonts w:hint="eastAsia" w:ascii="宋体" w:hAnsi="宋体"/>
          <w:color w:val="auto"/>
          <w:sz w:val="24"/>
          <w:highlight w:val="none"/>
          <w:lang w:eastAsia="zh-CN"/>
        </w:rPr>
        <w:t>）计算的收费基价乘以中标折扣率百分比</w:t>
      </w:r>
      <w:r>
        <w:rPr>
          <w:rFonts w:hint="eastAsia" w:ascii="宋体" w:hAnsi="宋体"/>
          <w:color w:val="auto"/>
          <w:sz w:val="24"/>
          <w:highlight w:val="none"/>
        </w:rPr>
        <w:t>-违约金进行结算</w:t>
      </w:r>
      <w:r>
        <w:rPr>
          <w:rFonts w:hint="eastAsia" w:ascii="宋体" w:hAnsi="宋体"/>
          <w:color w:val="auto"/>
          <w:sz w:val="24"/>
          <w:highlight w:val="none"/>
          <w:lang w:eastAsia="zh-CN"/>
        </w:rPr>
        <w:t>。</w:t>
      </w:r>
    </w:p>
    <w:p>
      <w:pPr>
        <w:spacing w:line="400" w:lineRule="exact"/>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四、付款方式</w:t>
      </w:r>
    </w:p>
    <w:p>
      <w:pPr>
        <w:autoSpaceDE w:val="0"/>
        <w:autoSpaceDN w:val="0"/>
        <w:adjustRightInd w:val="0"/>
        <w:snapToGrid w:val="0"/>
        <w:spacing w:line="600" w:lineRule="exact"/>
        <w:ind w:firstLine="480"/>
        <w:jc w:val="left"/>
        <w:rPr>
          <w:rFonts w:hint="eastAsia" w:ascii="宋体" w:hAnsi="宋体" w:eastAsia="宋体"/>
          <w:color w:val="auto"/>
          <w:sz w:val="24"/>
          <w:highlight w:val="none"/>
          <w:lang w:eastAsia="zh-CN"/>
        </w:rPr>
      </w:pPr>
      <w:r>
        <w:rPr>
          <w:rFonts w:hint="eastAsia" w:ascii="宋体" w:hAnsi="宋体"/>
          <w:color w:val="auto"/>
          <w:sz w:val="24"/>
          <w:highlight w:val="none"/>
        </w:rPr>
        <w:t>编制服务费支付时间：项目预算经区财政局评审后1个月内支付至结算金额的100%。付款前，咨询人应提供等额、真实、有效的增值税专用发票。</w:t>
      </w:r>
      <w:r>
        <w:rPr>
          <w:rFonts w:hint="eastAsia" w:ascii="宋体" w:hAnsi="宋体"/>
          <w:color w:val="auto"/>
          <w:sz w:val="24"/>
          <w:highlight w:val="none"/>
          <w:lang w:eastAsia="zh-CN"/>
        </w:rPr>
        <w:t>若预算编制或评审分阶段或分批次实施，各阶段、批次的编制服务费单独结算和支付，但最终结算需以各阶段、批次的预算评审审定金额之和作为计费基数。</w:t>
      </w:r>
    </w:p>
    <w:p>
      <w:pPr>
        <w:spacing w:line="54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五、知识产权</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（二）涉及软件开发等服务类项目知识产权的，知识产权归采购人所有。</w:t>
      </w:r>
    </w:p>
    <w:p>
      <w:pPr>
        <w:spacing w:line="540" w:lineRule="exact"/>
        <w:ind w:firstLine="482" w:firstLineChars="200"/>
        <w:jc w:val="left"/>
        <w:rPr>
          <w:rFonts w:ascii="宋体" w:hAnsi="宋体" w:cs="宋体"/>
          <w:b/>
          <w:color w:val="auto"/>
          <w:sz w:val="24"/>
          <w:szCs w:val="24"/>
          <w:highlight w:val="none"/>
        </w:rPr>
      </w:pPr>
      <w:r>
        <w:rPr>
          <w:rFonts w:hint="eastAsia" w:ascii="宋体" w:hAnsi="宋体" w:cs="宋体"/>
          <w:b/>
          <w:color w:val="auto"/>
          <w:sz w:val="24"/>
          <w:szCs w:val="24"/>
          <w:highlight w:val="none"/>
        </w:rPr>
        <w:t>六、其他</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（一）竞标人必须在响应文件中对以上条款和服务承诺明确列出，承诺内容必须达到本篇及竞争性磋商文件其他条款的要求。</w:t>
      </w:r>
    </w:p>
    <w:p>
      <w:pPr>
        <w:spacing w:line="540" w:lineRule="exact"/>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（二）其他未尽事宜由供需双方在采购合同中详细约定。</w:t>
      </w:r>
    </w:p>
    <w:p>
      <w:pPr>
        <w:spacing w:line="540" w:lineRule="exact"/>
        <w:ind w:firstLine="480" w:firstLineChars="200"/>
        <w:jc w:val="left"/>
        <w:rPr>
          <w:rFonts w:ascii="宋体" w:hAnsi="宋体" w:cs="宋体"/>
          <w:color w:val="auto"/>
          <w:sz w:val="24"/>
          <w:szCs w:val="24"/>
          <w:highlight w:val="none"/>
        </w:rPr>
      </w:pPr>
    </w:p>
    <w:p>
      <w:pPr>
        <w:pStyle w:val="3"/>
        <w:pageBreakBefore/>
        <w:spacing w:line="360" w:lineRule="auto"/>
        <w:jc w:val="center"/>
        <w:rPr>
          <w:rFonts w:ascii="宋体" w:hAnsi="宋体" w:eastAsia="宋体" w:cs="宋体"/>
          <w:b w:val="0"/>
          <w:color w:val="auto"/>
          <w:sz w:val="36"/>
          <w:szCs w:val="30"/>
          <w:highlight w:val="none"/>
        </w:rPr>
      </w:pPr>
      <w:r>
        <w:rPr>
          <w:rFonts w:hint="eastAsia" w:ascii="宋体" w:hAnsi="宋体" w:eastAsia="宋体" w:cs="宋体"/>
          <w:b w:val="0"/>
          <w:color w:val="auto"/>
          <w:sz w:val="36"/>
          <w:szCs w:val="30"/>
          <w:highlight w:val="none"/>
        </w:rPr>
        <w:t>第四篇  磋商程序及方法、评审标准、无效响应和</w:t>
      </w:r>
      <w:r>
        <w:rPr>
          <w:rFonts w:hint="eastAsia" w:ascii="宋体" w:hAnsi="宋体" w:eastAsia="宋体" w:cs="宋体"/>
          <w:b w:val="0"/>
          <w:color w:val="auto"/>
          <w:sz w:val="36"/>
          <w:szCs w:val="36"/>
          <w:highlight w:val="none"/>
        </w:rPr>
        <w:t>采购终止</w:t>
      </w:r>
      <w:bookmarkEnd w:id="27"/>
    </w:p>
    <w:p>
      <w:pPr>
        <w:pStyle w:val="4"/>
        <w:spacing w:line="440" w:lineRule="exact"/>
        <w:rPr>
          <w:rFonts w:ascii="宋体" w:hAnsi="宋体" w:cs="宋体"/>
          <w:color w:val="auto"/>
          <w:sz w:val="24"/>
          <w:szCs w:val="24"/>
          <w:highlight w:val="none"/>
        </w:rPr>
      </w:pPr>
      <w:bookmarkStart w:id="28" w:name="_Toc54278995"/>
      <w:r>
        <w:rPr>
          <w:rFonts w:hint="eastAsia" w:ascii="宋体" w:hAnsi="宋体" w:cs="宋体"/>
          <w:color w:val="auto"/>
          <w:sz w:val="24"/>
          <w:szCs w:val="24"/>
          <w:highlight w:val="none"/>
        </w:rPr>
        <w:t>一、磋商程序及方法</w:t>
      </w:r>
      <w:bookmarkEnd w:id="28"/>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1.</w:t>
      </w:r>
      <w:r>
        <w:rPr>
          <w:rFonts w:hint="eastAsia" w:ascii="宋体" w:hAnsi="宋体" w:cs="宋体"/>
          <w:color w:val="auto"/>
          <w:kern w:val="0"/>
          <w:sz w:val="24"/>
          <w:szCs w:val="24"/>
          <w:highlight w:val="none"/>
        </w:rPr>
        <w:t>资格性检查。依据法律法规和竞争性磋商文件的规定，对响应文件中的资格证明、等进行审查，以确定供应商是否具备磋商资格。资格性检查资料表如下：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5388" w:type="dxa"/>
            <w:gridSpan w:val="2"/>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检查因素</w:t>
            </w:r>
          </w:p>
        </w:tc>
        <w:tc>
          <w:tcPr>
            <w:tcW w:w="3564"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709" w:type="dxa"/>
            <w:vMerge w:val="restart"/>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供应商</w:t>
            </w:r>
            <w:r>
              <w:rPr>
                <w:rFonts w:hint="eastAsia" w:ascii="宋体" w:hAnsi="宋体" w:cs="宋体"/>
                <w:color w:val="auto"/>
                <w:sz w:val="21"/>
                <w:szCs w:val="21"/>
                <w:highlight w:val="none"/>
                <w:lang w:val="zh-CN"/>
              </w:rPr>
              <w:t>应符合的基本资格条件</w:t>
            </w:r>
          </w:p>
        </w:tc>
        <w:tc>
          <w:tcPr>
            <w:tcW w:w="467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（1）具有独立承担民事责任的能力</w:t>
            </w:r>
          </w:p>
        </w:tc>
        <w:tc>
          <w:tcPr>
            <w:tcW w:w="356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lang w:val="zh-CN"/>
              </w:rPr>
              <w:t>（2）</w:t>
            </w:r>
            <w:r>
              <w:rPr>
                <w:rFonts w:hint="eastAsia" w:ascii="宋体" w:hAnsi="宋体" w:cs="宋体"/>
                <w:color w:val="auto"/>
                <w:sz w:val="21"/>
                <w:szCs w:val="21"/>
                <w:highlight w:val="none"/>
              </w:rPr>
              <w:t>具有良好的商业信誉和健全的财务会计制度</w:t>
            </w:r>
          </w:p>
        </w:tc>
        <w:tc>
          <w:tcPr>
            <w:tcW w:w="356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提供202</w:t>
            </w:r>
            <w:r>
              <w:rPr>
                <w:rFonts w:ascii="宋体" w:hAnsi="宋体" w:cs="宋体"/>
                <w:color w:val="auto"/>
                <w:sz w:val="21"/>
                <w:szCs w:val="21"/>
                <w:highlight w:val="none"/>
              </w:rPr>
              <w:t>1</w:t>
            </w:r>
            <w:r>
              <w:rPr>
                <w:rFonts w:hint="eastAsia" w:ascii="宋体" w:hAnsi="宋体" w:cs="宋体"/>
                <w:color w:val="auto"/>
                <w:sz w:val="21"/>
                <w:szCs w:val="21"/>
                <w:highlight w:val="none"/>
              </w:rPr>
              <w:t>年或202</w:t>
            </w:r>
            <w:r>
              <w:rPr>
                <w:rFonts w:ascii="宋体" w:hAnsi="宋体" w:cs="宋体"/>
                <w:color w:val="auto"/>
                <w:sz w:val="21"/>
                <w:szCs w:val="21"/>
                <w:highlight w:val="none"/>
              </w:rPr>
              <w:t>2</w:t>
            </w:r>
            <w:r>
              <w:rPr>
                <w:rFonts w:hint="eastAsia" w:ascii="宋体" w:hAnsi="宋体" w:cs="宋体"/>
                <w:color w:val="auto"/>
                <w:sz w:val="21"/>
                <w:szCs w:val="21"/>
                <w:highlight w:val="none"/>
              </w:rPr>
              <w:t>年财务状况报告（表）或其基本开户银行出具的资信证明（提供复印件）；</w:t>
            </w:r>
          </w:p>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（3）具有履行合同所必需的设备和专业技术能力</w:t>
            </w:r>
          </w:p>
        </w:tc>
        <w:tc>
          <w:tcPr>
            <w:tcW w:w="356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lang w:val="zh-CN"/>
              </w:rPr>
              <w:t>（4）有依法缴纳税收和社会保障金的良好记录</w:t>
            </w:r>
          </w:p>
        </w:tc>
        <w:tc>
          <w:tcPr>
            <w:tcW w:w="356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1.税务登记证（副本）（提供复印件）（注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w:t>
            </w:r>
          </w:p>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2.缴纳社会保障金的证明材料（提供复印件）（缴纳社会保障金的证明材料指：社会保险登记证（注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）或缴纳社会保险的凭据（专用收据或社会保险缴纳清单）。</w:t>
            </w:r>
          </w:p>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3.依法免税或不需要缴纳社会保障资金的供应商，应提供相应文件证明其依法免税或不需要缴纳社会保障资金（提供复印件）。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（5）参加政府采购活动前三年内，在经营活动中没有重大违法记录（注</w:t>
            </w: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2</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sz w:val="21"/>
                <w:szCs w:val="21"/>
                <w:highlight w:val="none"/>
              </w:rPr>
              <w:t>）</w:t>
            </w:r>
          </w:p>
        </w:tc>
        <w:tc>
          <w:tcPr>
            <w:tcW w:w="3564" w:type="dxa"/>
            <w:noWrap/>
            <w:vAlign w:val="center"/>
          </w:tcPr>
          <w:p>
            <w:pPr>
              <w:spacing w:line="240" w:lineRule="exact"/>
              <w:rPr>
                <w:rFonts w:ascii="宋体" w:hAnsi="宋体" w:cs="宋体"/>
                <w:b/>
                <w:color w:val="auto"/>
                <w:sz w:val="21"/>
                <w:szCs w:val="21"/>
                <w:highlight w:val="none"/>
              </w:rPr>
            </w:pPr>
            <w:r>
              <w:rPr>
                <w:rFonts w:hint="eastAsia" w:ascii="宋体" w:hAnsi="宋体" w:cs="宋体"/>
                <w:b/>
                <w:color w:val="auto"/>
                <w:sz w:val="21"/>
                <w:szCs w:val="21"/>
                <w:highlight w:val="none"/>
              </w:rPr>
              <w:t>1.供应商提供书面声明（见格式文件）；</w:t>
            </w:r>
          </w:p>
          <w:p>
            <w:pPr>
              <w:spacing w:line="240" w:lineRule="exact"/>
              <w:rPr>
                <w:rFonts w:ascii="宋体" w:hAnsi="宋体" w:cs="宋体"/>
                <w:color w:val="auto"/>
                <w:sz w:val="21"/>
                <w:szCs w:val="21"/>
                <w:highlight w:val="none"/>
              </w:rPr>
            </w:pPr>
            <w:r>
              <w:rPr>
                <w:rFonts w:hint="eastAsia" w:ascii="宋体" w:hAnsi="宋体" w:cs="宋体"/>
                <w:b/>
                <w:color w:val="auto"/>
                <w:sz w:val="21"/>
                <w:szCs w:val="21"/>
                <w:highlight w:val="none"/>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76" w:type="dxa"/>
            <w:vMerge w:val="continue"/>
            <w:noWrap/>
            <w:vAlign w:val="center"/>
          </w:tcPr>
          <w:p>
            <w:pPr>
              <w:spacing w:line="240" w:lineRule="exact"/>
              <w:jc w:val="center"/>
              <w:rPr>
                <w:rFonts w:ascii="宋体" w:hAnsi="宋体" w:cs="宋体"/>
                <w:color w:val="auto"/>
                <w:sz w:val="21"/>
                <w:szCs w:val="21"/>
                <w:highlight w:val="none"/>
              </w:rPr>
            </w:pPr>
          </w:p>
        </w:tc>
        <w:tc>
          <w:tcPr>
            <w:tcW w:w="709" w:type="dxa"/>
            <w:vMerge w:val="continue"/>
            <w:noWrap/>
            <w:vAlign w:val="center"/>
          </w:tcPr>
          <w:p>
            <w:pPr>
              <w:spacing w:line="240" w:lineRule="exact"/>
              <w:rPr>
                <w:rFonts w:ascii="宋体" w:hAnsi="宋体" w:cs="宋体"/>
                <w:color w:val="auto"/>
                <w:sz w:val="21"/>
                <w:szCs w:val="21"/>
                <w:highlight w:val="none"/>
                <w:lang w:val="zh-CN"/>
              </w:rPr>
            </w:pPr>
          </w:p>
        </w:tc>
        <w:tc>
          <w:tcPr>
            <w:tcW w:w="467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（6）法律、行政法规规定的其他条件</w:t>
            </w:r>
          </w:p>
        </w:tc>
        <w:tc>
          <w:tcPr>
            <w:tcW w:w="3564" w:type="dxa"/>
            <w:noWrap/>
            <w:vAlign w:val="center"/>
          </w:tcPr>
          <w:p>
            <w:pPr>
              <w:spacing w:line="240" w:lineRule="exac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5388" w:type="dxa"/>
            <w:gridSpan w:val="2"/>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特定资格条件</w:t>
            </w:r>
          </w:p>
        </w:tc>
        <w:tc>
          <w:tcPr>
            <w:tcW w:w="356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按第一篇“（二）特定资格条件”的要求提交证明文件复印件</w:t>
            </w:r>
          </w:p>
        </w:tc>
      </w:tr>
    </w:tbl>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1</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fldChar w:fldCharType="begin"/>
      </w:r>
      <w:r>
        <w:rPr>
          <w:rFonts w:hint="eastAsia" w:ascii="宋体" w:hAnsi="宋体" w:cs="宋体"/>
          <w:color w:val="auto"/>
          <w:kern w:val="0"/>
          <w:sz w:val="24"/>
          <w:szCs w:val="24"/>
          <w:highlight w:val="none"/>
        </w:rPr>
        <w:instrText xml:space="preserve"> eq \o\ac(○,</w:instrText>
      </w:r>
      <w:r>
        <w:rPr>
          <w:rFonts w:hint="eastAsia" w:ascii="宋体" w:hAnsi="宋体" w:cs="宋体"/>
          <w:color w:val="auto"/>
          <w:kern w:val="0"/>
          <w:position w:val="3"/>
          <w:sz w:val="16"/>
          <w:szCs w:val="24"/>
          <w:highlight w:val="none"/>
        </w:rPr>
        <w:instrText xml:space="preserve">2</w:instrText>
      </w:r>
      <w:r>
        <w:rPr>
          <w:rFonts w:hint="eastAsia" w:ascii="宋体" w:hAnsi="宋体" w:cs="宋体"/>
          <w:color w:val="auto"/>
          <w:kern w:val="0"/>
          <w:sz w:val="24"/>
          <w:szCs w:val="24"/>
          <w:highlight w:val="none"/>
        </w:rPr>
        <w:instrText xml:space="preserve">)</w:instrText>
      </w:r>
      <w:r>
        <w:rPr>
          <w:rFonts w:hint="eastAsia" w:ascii="宋体" w:hAnsi="宋体" w:cs="宋体"/>
          <w:color w:val="auto"/>
          <w:kern w:val="0"/>
          <w:sz w:val="24"/>
          <w:szCs w:val="24"/>
          <w:highlight w:val="none"/>
        </w:rPr>
        <w:fldChar w:fldCharType="end"/>
      </w:r>
      <w:r>
        <w:rPr>
          <w:rFonts w:hint="eastAsia" w:ascii="宋体" w:hAnsi="宋体" w:cs="宋体"/>
          <w:color w:val="auto"/>
          <w:kern w:val="0"/>
          <w:sz w:val="24"/>
          <w:szCs w:val="24"/>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序号</w:t>
            </w:r>
          </w:p>
        </w:tc>
        <w:tc>
          <w:tcPr>
            <w:tcW w:w="3544" w:type="dxa"/>
            <w:gridSpan w:val="2"/>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评审因素</w:t>
            </w:r>
          </w:p>
        </w:tc>
        <w:tc>
          <w:tcPr>
            <w:tcW w:w="5409" w:type="dxa"/>
            <w:noWrap/>
            <w:vAlign w:val="center"/>
          </w:tcPr>
          <w:p>
            <w:pPr>
              <w:spacing w:line="240" w:lineRule="exact"/>
              <w:jc w:val="center"/>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1</w:t>
            </w:r>
          </w:p>
        </w:tc>
        <w:tc>
          <w:tcPr>
            <w:tcW w:w="1560" w:type="dxa"/>
            <w:vMerge w:val="restart"/>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有效性审查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响应文件签署</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w:t>
            </w:r>
          </w:p>
        </w:tc>
        <w:tc>
          <w:tcPr>
            <w:tcW w:w="5409" w:type="dxa"/>
            <w:noWrap/>
            <w:vAlign w:val="center"/>
          </w:tcPr>
          <w:p>
            <w:pPr>
              <w:spacing w:line="240" w:lineRule="exact"/>
              <w:rPr>
                <w:rFonts w:ascii="宋体" w:hAnsi="宋体" w:cs="宋体"/>
                <w:color w:val="auto"/>
                <w:sz w:val="21"/>
                <w:szCs w:val="21"/>
                <w:highlight w:val="none"/>
              </w:rPr>
            </w:pPr>
            <w:r>
              <w:rPr>
                <w:rFonts w:hint="eastAsia" w:ascii="宋体" w:hAnsi="宋体" w:cs="宋体"/>
                <w:color w:val="auto"/>
                <w:sz w:val="21"/>
                <w:szCs w:val="21"/>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lang w:val="zh-CN"/>
              </w:rPr>
              <w:t>每个分包只能有一个</w:t>
            </w: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kern w:val="0"/>
                <w:sz w:val="21"/>
                <w:szCs w:val="21"/>
                <w:highlight w:val="none"/>
              </w:rPr>
            </w:pPr>
          </w:p>
        </w:tc>
        <w:tc>
          <w:tcPr>
            <w:tcW w:w="1984" w:type="dxa"/>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sz w:val="21"/>
                <w:szCs w:val="21"/>
                <w:highlight w:val="none"/>
              </w:rPr>
              <w:t>报价唯一</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2</w:t>
            </w:r>
          </w:p>
        </w:tc>
        <w:tc>
          <w:tcPr>
            <w:tcW w:w="1560"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完整性审查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文件份数</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sz w:val="21"/>
                <w:szCs w:val="21"/>
                <w:highlight w:val="none"/>
              </w:rPr>
              <w:t>响应</w:t>
            </w:r>
            <w:r>
              <w:rPr>
                <w:rFonts w:hint="eastAsia" w:ascii="宋体" w:hAnsi="宋体" w:cs="宋体"/>
                <w:color w:val="auto"/>
                <w:sz w:val="21"/>
                <w:szCs w:val="21"/>
                <w:highlight w:val="none"/>
                <w:lang w:val="zh-CN"/>
              </w:rPr>
              <w:t>文件正、副本数量（含电子文档）符合</w:t>
            </w:r>
            <w:r>
              <w:rPr>
                <w:rFonts w:hint="eastAsia" w:ascii="宋体" w:hAnsi="宋体" w:cs="宋体"/>
                <w:color w:val="auto"/>
                <w:sz w:val="21"/>
                <w:szCs w:val="21"/>
                <w:highlight w:val="none"/>
              </w:rPr>
              <w:t>竞争性磋商</w:t>
            </w:r>
            <w:r>
              <w:rPr>
                <w:rFonts w:hint="eastAsia" w:ascii="宋体" w:hAnsi="宋体" w:cs="宋体"/>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3</w:t>
            </w:r>
          </w:p>
        </w:tc>
        <w:tc>
          <w:tcPr>
            <w:tcW w:w="1560" w:type="dxa"/>
            <w:vMerge w:val="restart"/>
            <w:noWrap/>
            <w:vAlign w:val="center"/>
          </w:tcPr>
          <w:p>
            <w:pPr>
              <w:spacing w:line="240" w:lineRule="exact"/>
              <w:rPr>
                <w:rFonts w:ascii="宋体" w:hAnsi="宋体" w:cs="宋体"/>
                <w:color w:val="auto"/>
                <w:sz w:val="21"/>
                <w:szCs w:val="21"/>
                <w:highlight w:val="none"/>
                <w:lang w:val="zh-CN"/>
              </w:rPr>
            </w:pPr>
            <w:r>
              <w:rPr>
                <w:rFonts w:hint="eastAsia" w:ascii="宋体" w:hAnsi="宋体" w:cs="宋体"/>
                <w:color w:val="auto"/>
                <w:kern w:val="0"/>
                <w:sz w:val="21"/>
                <w:szCs w:val="21"/>
                <w:highlight w:val="none"/>
              </w:rPr>
              <w:t>竞争性磋商文件的响应程度审查</w:t>
            </w: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响应文件内容</w:t>
            </w:r>
          </w:p>
        </w:tc>
        <w:tc>
          <w:tcPr>
            <w:tcW w:w="5409" w:type="dxa"/>
            <w:noWrap/>
            <w:vAlign w:val="center"/>
          </w:tcPr>
          <w:p>
            <w:pPr>
              <w:pStyle w:val="7"/>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color w:val="auto"/>
                <w:kern w:val="0"/>
                <w:sz w:val="21"/>
                <w:szCs w:val="21"/>
                <w:highlight w:val="none"/>
              </w:rPr>
            </w:pPr>
          </w:p>
        </w:tc>
        <w:tc>
          <w:tcPr>
            <w:tcW w:w="1560" w:type="dxa"/>
            <w:vMerge w:val="continue"/>
            <w:noWrap/>
            <w:vAlign w:val="center"/>
          </w:tcPr>
          <w:p>
            <w:pPr>
              <w:spacing w:line="240" w:lineRule="exact"/>
              <w:rPr>
                <w:rFonts w:ascii="宋体" w:hAnsi="宋体" w:cs="宋体"/>
                <w:color w:val="auto"/>
                <w:sz w:val="21"/>
                <w:szCs w:val="21"/>
                <w:highlight w:val="none"/>
                <w:lang w:val="zh-CN"/>
              </w:rPr>
            </w:pPr>
          </w:p>
        </w:tc>
        <w:tc>
          <w:tcPr>
            <w:tcW w:w="1984"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磋商有效期</w:t>
            </w:r>
          </w:p>
        </w:tc>
        <w:tc>
          <w:tcPr>
            <w:tcW w:w="5409" w:type="dxa"/>
            <w:noWrap/>
            <w:vAlign w:val="center"/>
          </w:tcPr>
          <w:p>
            <w:pPr>
              <w:spacing w:line="240" w:lineRule="exact"/>
              <w:rPr>
                <w:rFonts w:ascii="宋体" w:hAnsi="宋体" w:cs="宋体"/>
                <w:color w:val="auto"/>
                <w:kern w:val="0"/>
                <w:sz w:val="21"/>
                <w:szCs w:val="21"/>
                <w:highlight w:val="none"/>
              </w:rPr>
            </w:pPr>
            <w:r>
              <w:rPr>
                <w:rFonts w:hint="eastAsia" w:ascii="宋体" w:hAnsi="宋体" w:cs="宋体"/>
                <w:color w:val="auto"/>
                <w:kern w:val="0"/>
                <w:sz w:val="21"/>
                <w:szCs w:val="21"/>
                <w:highlight w:val="none"/>
              </w:rPr>
              <w:t>满足磋商文件</w:t>
            </w:r>
            <w:r>
              <w:rPr>
                <w:rFonts w:hint="eastAsia" w:ascii="宋体" w:hAnsi="宋体" w:cs="宋体"/>
                <w:color w:val="auto"/>
                <w:sz w:val="21"/>
                <w:szCs w:val="21"/>
                <w:highlight w:val="none"/>
                <w:lang w:val="zh-CN"/>
              </w:rPr>
              <w:t>规定。</w:t>
            </w:r>
          </w:p>
        </w:tc>
      </w:tr>
    </w:tbl>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（五）在磋商过程中磋商的任何一方不得向他人透露与磋商有关的服务资料、价格或其他信息。</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（七）供应商在磋商时作出的所有书面承诺须由法定代表人或其授权代表签字。</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（九）磋商小组采用综合评分法对提交最后报价的供应商的响应文件和最后报价（含有效书面承诺）进行综合评分。</w:t>
      </w:r>
      <w:r>
        <w:rPr>
          <w:rFonts w:hint="eastAsia" w:ascii="宋体" w:hAnsi="宋体" w:cs="宋体"/>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105分，其中：5分为政策性加分</w:t>
      </w:r>
      <w:r>
        <w:rPr>
          <w:rFonts w:hint="eastAsia" w:ascii="宋体" w:hAnsi="宋体" w:cs="宋体"/>
          <w:color w:val="auto"/>
          <w:sz w:val="24"/>
          <w:szCs w:val="24"/>
          <w:highlight w:val="none"/>
        </w:rPr>
        <w:t>。（详见评审标准）。</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（十）磋商小组各成员独立对每个有效响应（通过资格性检查、</w:t>
      </w:r>
      <w:r>
        <w:rPr>
          <w:rFonts w:hint="eastAsia" w:ascii="宋体" w:hAnsi="宋体" w:cs="宋体"/>
          <w:color w:val="auto"/>
          <w:kern w:val="0"/>
          <w:sz w:val="24"/>
          <w:szCs w:val="24"/>
          <w:highlight w:val="none"/>
        </w:rPr>
        <w:t>符合性检查的供应商</w:t>
      </w:r>
      <w:r>
        <w:rPr>
          <w:rFonts w:hint="eastAsia" w:ascii="宋体" w:hAnsi="宋体" w:cs="宋体"/>
          <w:color w:val="auto"/>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spacing w:line="440" w:lineRule="exact"/>
        <w:rPr>
          <w:rFonts w:ascii="宋体" w:hAnsi="宋体" w:cs="宋体"/>
          <w:color w:val="auto"/>
          <w:sz w:val="24"/>
          <w:szCs w:val="24"/>
          <w:highlight w:val="none"/>
        </w:rPr>
      </w:pPr>
      <w:bookmarkStart w:id="29" w:name="_Toc54278996"/>
      <w:r>
        <w:rPr>
          <w:rFonts w:hint="eastAsia" w:ascii="宋体" w:hAnsi="宋体" w:cs="宋体"/>
          <w:color w:val="auto"/>
          <w:sz w:val="24"/>
          <w:szCs w:val="24"/>
          <w:highlight w:val="none"/>
        </w:rPr>
        <w:t>二、</w:t>
      </w:r>
      <w:bookmarkStart w:id="30" w:name="_Toc342913394"/>
      <w:bookmarkStart w:id="31" w:name="_Toc102227320"/>
      <w:r>
        <w:rPr>
          <w:rFonts w:hint="eastAsia" w:ascii="宋体" w:hAnsi="宋体" w:cs="宋体"/>
          <w:color w:val="auto"/>
          <w:sz w:val="24"/>
          <w:szCs w:val="24"/>
          <w:highlight w:val="none"/>
        </w:rPr>
        <w:t>评审标准</w:t>
      </w:r>
      <w:bookmarkEnd w:id="29"/>
      <w:r>
        <w:rPr>
          <w:rFonts w:hint="eastAsia" w:ascii="宋体" w:hAnsi="宋体" w:cs="宋体"/>
          <w:color w:val="auto"/>
          <w:sz w:val="24"/>
          <w:szCs w:val="24"/>
          <w:highlight w:val="none"/>
        </w:rPr>
        <w:t>注</w:t>
      </w:r>
    </w:p>
    <w:tbl>
      <w:tblPr>
        <w:tblStyle w:val="13"/>
        <w:tblW w:w="9482"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653"/>
        <w:gridCol w:w="765"/>
        <w:gridCol w:w="5133"/>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589" w:type="dxa"/>
            <w:noWrap/>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1418" w:type="dxa"/>
            <w:gridSpan w:val="2"/>
            <w:noWrap/>
            <w:vAlign w:val="center"/>
          </w:tcPr>
          <w:p>
            <w:pPr>
              <w:rPr>
                <w:rFonts w:ascii="宋体" w:hAnsi="宋体" w:cs="宋体"/>
                <w:color w:val="auto"/>
                <w:sz w:val="24"/>
                <w:highlight w:val="none"/>
              </w:rPr>
            </w:pPr>
            <w:r>
              <w:rPr>
                <w:rFonts w:hint="eastAsia" w:ascii="宋体" w:hAnsi="宋体" w:cs="宋体"/>
                <w:color w:val="auto"/>
                <w:sz w:val="24"/>
                <w:highlight w:val="none"/>
              </w:rPr>
              <w:t>投标报价得分10分（A）</w:t>
            </w:r>
          </w:p>
        </w:tc>
        <w:tc>
          <w:tcPr>
            <w:tcW w:w="5133" w:type="dxa"/>
            <w:noWrap/>
            <w:vAlign w:val="center"/>
          </w:tcPr>
          <w:p>
            <w:pPr>
              <w:ind w:firstLine="480" w:firstLineChars="200"/>
              <w:rPr>
                <w:rFonts w:ascii="宋体" w:hAnsi="宋体" w:cs="宋体"/>
                <w:color w:val="auto"/>
                <w:sz w:val="24"/>
                <w:highlight w:val="none"/>
              </w:rPr>
            </w:pPr>
            <w:r>
              <w:rPr>
                <w:rFonts w:hint="eastAsia" w:ascii="宋体" w:hAnsi="宋体" w:cs="宋体"/>
                <w:color w:val="auto"/>
                <w:sz w:val="24"/>
                <w:highlight w:val="none"/>
              </w:rPr>
              <w:t>满足资格要求且最后报价最低的供应商的价格为磋商基准价，</w:t>
            </w:r>
          </w:p>
          <w:p>
            <w:pPr>
              <w:rPr>
                <w:rFonts w:ascii="宋体" w:hAnsi="宋体" w:cs="宋体"/>
                <w:color w:val="auto"/>
                <w:sz w:val="24"/>
                <w:highlight w:val="none"/>
              </w:rPr>
            </w:pPr>
            <w:r>
              <w:rPr>
                <w:rFonts w:hint="eastAsia" w:ascii="宋体" w:hAnsi="宋体" w:cs="宋体"/>
                <w:color w:val="auto"/>
                <w:sz w:val="24"/>
                <w:highlight w:val="none"/>
              </w:rPr>
              <w:t>按照下列公式计算每个的投标价格得分。</w:t>
            </w:r>
          </w:p>
          <w:p>
            <w:pPr>
              <w:rPr>
                <w:rFonts w:ascii="宋体" w:hAnsi="宋体" w:cs="宋体"/>
                <w:color w:val="auto"/>
                <w:sz w:val="24"/>
                <w:highlight w:val="none"/>
              </w:rPr>
            </w:pPr>
            <w:r>
              <w:rPr>
                <w:rFonts w:hint="eastAsia" w:ascii="宋体" w:hAnsi="宋体" w:cs="宋体"/>
                <w:color w:val="auto"/>
                <w:sz w:val="24"/>
                <w:highlight w:val="none"/>
              </w:rPr>
              <w:t>投标报价得分=（评标基准价/投标报价）×价格权重×100。</w:t>
            </w:r>
          </w:p>
          <w:p>
            <w:pPr>
              <w:rPr>
                <w:rFonts w:ascii="宋体" w:hAnsi="宋体" w:cs="宋体"/>
                <w:color w:val="auto"/>
                <w:sz w:val="24"/>
                <w:highlight w:val="none"/>
              </w:rPr>
            </w:pPr>
            <w:r>
              <w:rPr>
                <w:rFonts w:hint="eastAsia" w:ascii="宋体" w:hAnsi="宋体" w:cs="宋体"/>
                <w:color w:val="auto"/>
                <w:sz w:val="24"/>
                <w:highlight w:val="none"/>
              </w:rPr>
              <w:t>以上计算取小数点后两位，第三位四舍五入。</w:t>
            </w:r>
          </w:p>
        </w:tc>
        <w:tc>
          <w:tcPr>
            <w:tcW w:w="2342" w:type="dxa"/>
            <w:noWrap/>
            <w:vAlign w:val="center"/>
          </w:tcPr>
          <w:p>
            <w:pPr>
              <w:rPr>
                <w:rFonts w:ascii="宋体" w:hAnsi="宋体" w:cs="宋体"/>
                <w:color w:val="auto"/>
                <w:sz w:val="24"/>
                <w:highlight w:val="none"/>
              </w:rPr>
            </w:pPr>
            <w:r>
              <w:rPr>
                <w:rFonts w:hint="eastAsia" w:ascii="宋体" w:hAnsi="宋体" w:cs="宋体"/>
                <w:color w:val="auto"/>
                <w:sz w:val="24"/>
                <w:highlight w:val="none"/>
              </w:rPr>
              <w:t>注意：本次项目现场须进行第二次报价（最后报价），以第二次报价计算分值。</w:t>
            </w:r>
          </w:p>
          <w:p>
            <w:pP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trPr>
        <w:tc>
          <w:tcPr>
            <w:tcW w:w="589" w:type="dxa"/>
            <w:noWrap/>
            <w:vAlign w:val="center"/>
          </w:tcPr>
          <w:p>
            <w:pPr>
              <w:rPr>
                <w:rFonts w:ascii="宋体" w:hAnsi="宋体" w:cs="宋体"/>
                <w:color w:val="auto"/>
                <w:sz w:val="24"/>
                <w:highlight w:val="none"/>
              </w:rPr>
            </w:pPr>
            <w:r>
              <w:rPr>
                <w:rFonts w:hint="eastAsia" w:ascii="宋体" w:hAnsi="宋体" w:cs="宋体"/>
                <w:color w:val="auto"/>
                <w:sz w:val="24"/>
                <w:highlight w:val="none"/>
              </w:rPr>
              <w:t>2</w:t>
            </w:r>
          </w:p>
        </w:tc>
        <w:tc>
          <w:tcPr>
            <w:tcW w:w="653" w:type="dxa"/>
            <w:tcBorders>
              <w:top w:val="nil"/>
            </w:tcBorders>
            <w:noWrap/>
            <w:vAlign w:val="center"/>
          </w:tcPr>
          <w:p>
            <w:pPr>
              <w:rPr>
                <w:rFonts w:ascii="宋体" w:hAnsi="宋体" w:cs="宋体"/>
                <w:color w:val="auto"/>
                <w:sz w:val="24"/>
                <w:highlight w:val="none"/>
              </w:rPr>
            </w:pPr>
            <w:r>
              <w:rPr>
                <w:rFonts w:hint="eastAsia" w:ascii="宋体" w:hAnsi="宋体" w:cs="宋体"/>
                <w:color w:val="auto"/>
                <w:sz w:val="24"/>
                <w:highlight w:val="none"/>
              </w:rPr>
              <w:t>技术部分(B)30分</w:t>
            </w:r>
          </w:p>
        </w:tc>
        <w:tc>
          <w:tcPr>
            <w:tcW w:w="765" w:type="dxa"/>
            <w:tcBorders>
              <w:top w:val="nil"/>
            </w:tcBorders>
            <w:noWrap/>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技术方案</w:t>
            </w:r>
          </w:p>
        </w:tc>
        <w:tc>
          <w:tcPr>
            <w:tcW w:w="5133" w:type="dxa"/>
            <w:noWrap/>
            <w:vAlign w:val="center"/>
          </w:tcPr>
          <w:p>
            <w:pPr>
              <w:numPr>
                <w:ilvl w:val="0"/>
                <w:numId w:val="2"/>
              </w:numPr>
              <w:rPr>
                <w:rFonts w:ascii="宋体" w:hAnsi="宋体" w:cs="宋体"/>
                <w:color w:val="auto"/>
                <w:sz w:val="24"/>
                <w:szCs w:val="24"/>
                <w:highlight w:val="none"/>
              </w:rPr>
            </w:pPr>
            <w:r>
              <w:rPr>
                <w:rFonts w:hint="eastAsia" w:ascii="宋体" w:hAnsi="宋体" w:cs="宋体"/>
                <w:color w:val="auto"/>
                <w:sz w:val="24"/>
                <w:szCs w:val="24"/>
                <w:highlight w:val="none"/>
              </w:rPr>
              <w:t>咨询服务目标、内容与重点（0-6分）：优秀5</w:t>
            </w:r>
            <w:r>
              <w:rPr>
                <w:rFonts w:ascii="宋体" w:hAnsi="宋体" w:cs="宋体"/>
                <w:color w:val="auto"/>
                <w:sz w:val="24"/>
                <w:szCs w:val="24"/>
                <w:highlight w:val="none"/>
              </w:rPr>
              <w:t>-6</w:t>
            </w:r>
            <w:r>
              <w:rPr>
                <w:rFonts w:hint="eastAsia" w:ascii="宋体" w:hAnsi="宋体" w:cs="宋体"/>
                <w:color w:val="auto"/>
                <w:sz w:val="24"/>
                <w:szCs w:val="24"/>
                <w:highlight w:val="none"/>
              </w:rPr>
              <w:t>分，良好</w:t>
            </w:r>
            <w:r>
              <w:rPr>
                <w:rFonts w:ascii="宋体" w:hAnsi="宋体" w:cs="宋体"/>
                <w:color w:val="auto"/>
                <w:sz w:val="24"/>
                <w:szCs w:val="24"/>
                <w:highlight w:val="none"/>
              </w:rPr>
              <w:t>3-5</w:t>
            </w:r>
            <w:r>
              <w:rPr>
                <w:rFonts w:hint="eastAsia" w:ascii="宋体" w:hAnsi="宋体" w:cs="宋体"/>
                <w:color w:val="auto"/>
                <w:sz w:val="24"/>
                <w:szCs w:val="24"/>
                <w:highlight w:val="none"/>
              </w:rPr>
              <w:t>分（不含），一般1</w:t>
            </w:r>
            <w:r>
              <w:rPr>
                <w:rFonts w:ascii="宋体" w:hAnsi="宋体" w:cs="宋体"/>
                <w:color w:val="auto"/>
                <w:sz w:val="24"/>
                <w:szCs w:val="24"/>
                <w:highlight w:val="none"/>
              </w:rPr>
              <w:t>-3</w:t>
            </w:r>
            <w:r>
              <w:rPr>
                <w:rFonts w:hint="eastAsia" w:ascii="宋体" w:hAnsi="宋体" w:cs="宋体"/>
                <w:color w:val="auto"/>
                <w:sz w:val="24"/>
                <w:szCs w:val="24"/>
                <w:highlight w:val="none"/>
              </w:rPr>
              <w:t>分（不含），不提供或者严重偏离实际情况0分。</w:t>
            </w:r>
          </w:p>
          <w:p>
            <w:pPr>
              <w:numPr>
                <w:ilvl w:val="0"/>
                <w:numId w:val="2"/>
              </w:numPr>
              <w:rPr>
                <w:rFonts w:ascii="宋体" w:hAnsi="宋体" w:cs="宋体"/>
                <w:color w:val="auto"/>
                <w:sz w:val="24"/>
                <w:szCs w:val="24"/>
                <w:highlight w:val="none"/>
              </w:rPr>
            </w:pPr>
            <w:r>
              <w:rPr>
                <w:rFonts w:hint="eastAsia" w:ascii="宋体" w:hAnsi="宋体" w:cs="宋体"/>
                <w:color w:val="auto"/>
                <w:sz w:val="24"/>
                <w:szCs w:val="24"/>
                <w:highlight w:val="none"/>
              </w:rPr>
              <w:t>咨询服务的程序及方法（0-4分）：优秀</w:t>
            </w:r>
            <w:r>
              <w:rPr>
                <w:rFonts w:ascii="宋体" w:hAnsi="宋体" w:cs="宋体"/>
                <w:color w:val="auto"/>
                <w:sz w:val="24"/>
                <w:szCs w:val="24"/>
                <w:highlight w:val="none"/>
              </w:rPr>
              <w:t>3-4</w:t>
            </w:r>
            <w:r>
              <w:rPr>
                <w:rFonts w:hint="eastAsia" w:ascii="宋体" w:hAnsi="宋体" w:cs="宋体"/>
                <w:color w:val="auto"/>
                <w:sz w:val="24"/>
                <w:szCs w:val="24"/>
                <w:highlight w:val="none"/>
              </w:rPr>
              <w:t>分，良好</w:t>
            </w:r>
            <w:r>
              <w:rPr>
                <w:rFonts w:ascii="宋体" w:hAnsi="宋体" w:cs="宋体"/>
                <w:color w:val="auto"/>
                <w:sz w:val="24"/>
                <w:szCs w:val="24"/>
                <w:highlight w:val="none"/>
              </w:rPr>
              <w:t>2-3</w:t>
            </w:r>
            <w:r>
              <w:rPr>
                <w:rFonts w:hint="eastAsia" w:ascii="宋体" w:hAnsi="宋体" w:cs="宋体"/>
                <w:color w:val="auto"/>
                <w:sz w:val="24"/>
                <w:szCs w:val="24"/>
                <w:highlight w:val="none"/>
              </w:rPr>
              <w:t>分（不含），一般1</w:t>
            </w:r>
            <w:r>
              <w:rPr>
                <w:rFonts w:ascii="宋体" w:hAnsi="宋体" w:cs="宋体"/>
                <w:color w:val="auto"/>
                <w:sz w:val="24"/>
                <w:szCs w:val="24"/>
                <w:highlight w:val="none"/>
              </w:rPr>
              <w:t>-2</w:t>
            </w:r>
            <w:r>
              <w:rPr>
                <w:rFonts w:hint="eastAsia" w:ascii="宋体" w:hAnsi="宋体" w:cs="宋体"/>
                <w:color w:val="auto"/>
                <w:sz w:val="24"/>
                <w:szCs w:val="24"/>
                <w:highlight w:val="none"/>
              </w:rPr>
              <w:t>分（不含），不提供或者严重偏离实际情况0分。</w:t>
            </w:r>
          </w:p>
          <w:p>
            <w:pPr>
              <w:numPr>
                <w:ilvl w:val="0"/>
                <w:numId w:val="2"/>
              </w:numPr>
              <w:rPr>
                <w:rFonts w:ascii="宋体" w:hAnsi="宋体" w:cs="宋体"/>
                <w:color w:val="auto"/>
                <w:sz w:val="24"/>
                <w:szCs w:val="24"/>
                <w:highlight w:val="none"/>
              </w:rPr>
            </w:pPr>
            <w:r>
              <w:rPr>
                <w:rFonts w:hint="eastAsia" w:ascii="宋体" w:hAnsi="宋体" w:cs="宋体"/>
                <w:color w:val="auto"/>
                <w:sz w:val="24"/>
                <w:szCs w:val="24"/>
                <w:highlight w:val="none"/>
              </w:rPr>
              <w:t>咨询服务的组织与分工（0-6分）：优秀5</w:t>
            </w:r>
            <w:r>
              <w:rPr>
                <w:rFonts w:ascii="宋体" w:hAnsi="宋体" w:cs="宋体"/>
                <w:color w:val="auto"/>
                <w:sz w:val="24"/>
                <w:szCs w:val="24"/>
                <w:highlight w:val="none"/>
              </w:rPr>
              <w:t>-6</w:t>
            </w:r>
            <w:r>
              <w:rPr>
                <w:rFonts w:hint="eastAsia" w:ascii="宋体" w:hAnsi="宋体" w:cs="宋体"/>
                <w:color w:val="auto"/>
                <w:sz w:val="24"/>
                <w:szCs w:val="24"/>
                <w:highlight w:val="none"/>
              </w:rPr>
              <w:t>分，良好</w:t>
            </w:r>
            <w:r>
              <w:rPr>
                <w:rFonts w:ascii="宋体" w:hAnsi="宋体" w:cs="宋体"/>
                <w:color w:val="auto"/>
                <w:sz w:val="24"/>
                <w:szCs w:val="24"/>
                <w:highlight w:val="none"/>
              </w:rPr>
              <w:t>3-5</w:t>
            </w:r>
            <w:r>
              <w:rPr>
                <w:rFonts w:hint="eastAsia" w:ascii="宋体" w:hAnsi="宋体" w:cs="宋体"/>
                <w:color w:val="auto"/>
                <w:sz w:val="24"/>
                <w:szCs w:val="24"/>
                <w:highlight w:val="none"/>
              </w:rPr>
              <w:t>分（不含），一般1</w:t>
            </w:r>
            <w:r>
              <w:rPr>
                <w:rFonts w:ascii="宋体" w:hAnsi="宋体" w:cs="宋体"/>
                <w:color w:val="auto"/>
                <w:sz w:val="24"/>
                <w:szCs w:val="24"/>
                <w:highlight w:val="none"/>
              </w:rPr>
              <w:t>-3</w:t>
            </w:r>
            <w:r>
              <w:rPr>
                <w:rFonts w:hint="eastAsia" w:ascii="宋体" w:hAnsi="宋体" w:cs="宋体"/>
                <w:color w:val="auto"/>
                <w:sz w:val="24"/>
                <w:szCs w:val="24"/>
                <w:highlight w:val="none"/>
              </w:rPr>
              <w:t>分（不含），不提供或者严重偏离实际情况0分。</w:t>
            </w:r>
          </w:p>
          <w:p>
            <w:pPr>
              <w:numPr>
                <w:ilvl w:val="0"/>
                <w:numId w:val="2"/>
              </w:numPr>
              <w:rPr>
                <w:rFonts w:ascii="宋体" w:hAnsi="宋体" w:cs="宋体"/>
                <w:color w:val="auto"/>
                <w:sz w:val="24"/>
                <w:szCs w:val="24"/>
                <w:highlight w:val="none"/>
              </w:rPr>
            </w:pPr>
            <w:r>
              <w:rPr>
                <w:rFonts w:hint="eastAsia" w:ascii="宋体" w:hAnsi="宋体" w:cs="宋体"/>
                <w:color w:val="auto"/>
                <w:sz w:val="24"/>
                <w:szCs w:val="24"/>
                <w:highlight w:val="none"/>
              </w:rPr>
              <w:t>咨询服务的进度及质量保证措施（0-10分）：优秀</w:t>
            </w:r>
            <w:r>
              <w:rPr>
                <w:rFonts w:ascii="宋体" w:hAnsi="宋体" w:cs="宋体"/>
                <w:color w:val="auto"/>
                <w:sz w:val="24"/>
                <w:szCs w:val="24"/>
                <w:highlight w:val="none"/>
              </w:rPr>
              <w:t>8-10</w:t>
            </w:r>
            <w:r>
              <w:rPr>
                <w:rFonts w:hint="eastAsia" w:ascii="宋体" w:hAnsi="宋体" w:cs="宋体"/>
                <w:color w:val="auto"/>
                <w:sz w:val="24"/>
                <w:szCs w:val="24"/>
                <w:highlight w:val="none"/>
              </w:rPr>
              <w:t>分，良好</w:t>
            </w:r>
            <w:r>
              <w:rPr>
                <w:rFonts w:ascii="宋体" w:hAnsi="宋体" w:cs="宋体"/>
                <w:color w:val="auto"/>
                <w:sz w:val="24"/>
                <w:szCs w:val="24"/>
                <w:highlight w:val="none"/>
              </w:rPr>
              <w:t>4-8</w:t>
            </w:r>
            <w:r>
              <w:rPr>
                <w:rFonts w:hint="eastAsia" w:ascii="宋体" w:hAnsi="宋体" w:cs="宋体"/>
                <w:color w:val="auto"/>
                <w:sz w:val="24"/>
                <w:szCs w:val="24"/>
                <w:highlight w:val="none"/>
              </w:rPr>
              <w:t>分（不含），一般1</w:t>
            </w:r>
            <w:r>
              <w:rPr>
                <w:rFonts w:ascii="宋体" w:hAnsi="宋体" w:cs="宋体"/>
                <w:color w:val="auto"/>
                <w:sz w:val="24"/>
                <w:szCs w:val="24"/>
                <w:highlight w:val="none"/>
              </w:rPr>
              <w:t>-4</w:t>
            </w:r>
            <w:r>
              <w:rPr>
                <w:rFonts w:hint="eastAsia" w:ascii="宋体" w:hAnsi="宋体" w:cs="宋体"/>
                <w:color w:val="auto"/>
                <w:sz w:val="24"/>
                <w:szCs w:val="24"/>
                <w:highlight w:val="none"/>
              </w:rPr>
              <w:t>分（不含），不提供或者严重偏离实际情况0分。</w:t>
            </w:r>
          </w:p>
          <w:p>
            <w:pPr>
              <w:numPr>
                <w:ilvl w:val="0"/>
                <w:numId w:val="2"/>
              </w:numPr>
              <w:rPr>
                <w:rFonts w:ascii="宋体" w:hAnsi="宋体" w:cs="宋体"/>
                <w:color w:val="auto"/>
                <w:sz w:val="24"/>
                <w:szCs w:val="24"/>
                <w:highlight w:val="none"/>
              </w:rPr>
            </w:pPr>
            <w:r>
              <w:rPr>
                <w:rFonts w:hint="eastAsia" w:ascii="宋体" w:hAnsi="宋体" w:cs="宋体"/>
                <w:color w:val="auto"/>
                <w:sz w:val="24"/>
                <w:szCs w:val="24"/>
                <w:highlight w:val="none"/>
              </w:rPr>
              <w:t>组织协调措施（0-4分）：优秀</w:t>
            </w:r>
            <w:r>
              <w:rPr>
                <w:rFonts w:ascii="宋体" w:hAnsi="宋体" w:cs="宋体"/>
                <w:color w:val="auto"/>
                <w:sz w:val="24"/>
                <w:szCs w:val="24"/>
                <w:highlight w:val="none"/>
              </w:rPr>
              <w:t>3-4</w:t>
            </w:r>
            <w:r>
              <w:rPr>
                <w:rFonts w:hint="eastAsia" w:ascii="宋体" w:hAnsi="宋体" w:cs="宋体"/>
                <w:color w:val="auto"/>
                <w:sz w:val="24"/>
                <w:szCs w:val="24"/>
                <w:highlight w:val="none"/>
              </w:rPr>
              <w:t>分，良好</w:t>
            </w:r>
            <w:r>
              <w:rPr>
                <w:rFonts w:ascii="宋体" w:hAnsi="宋体" w:cs="宋体"/>
                <w:color w:val="auto"/>
                <w:sz w:val="24"/>
                <w:szCs w:val="24"/>
                <w:highlight w:val="none"/>
              </w:rPr>
              <w:t>2-3</w:t>
            </w:r>
            <w:r>
              <w:rPr>
                <w:rFonts w:hint="eastAsia" w:ascii="宋体" w:hAnsi="宋体" w:cs="宋体"/>
                <w:color w:val="auto"/>
                <w:sz w:val="24"/>
                <w:szCs w:val="24"/>
                <w:highlight w:val="none"/>
              </w:rPr>
              <w:t>分（不含），一般1</w:t>
            </w:r>
            <w:r>
              <w:rPr>
                <w:rFonts w:ascii="宋体" w:hAnsi="宋体" w:cs="宋体"/>
                <w:color w:val="auto"/>
                <w:sz w:val="24"/>
                <w:szCs w:val="24"/>
                <w:highlight w:val="none"/>
              </w:rPr>
              <w:t>-2</w:t>
            </w:r>
            <w:r>
              <w:rPr>
                <w:rFonts w:hint="eastAsia" w:ascii="宋体" w:hAnsi="宋体" w:cs="宋体"/>
                <w:color w:val="auto"/>
                <w:sz w:val="24"/>
                <w:szCs w:val="24"/>
                <w:highlight w:val="none"/>
              </w:rPr>
              <w:t>分（不含），不提供或者严重偏离实际情况0分。</w:t>
            </w:r>
          </w:p>
        </w:tc>
        <w:tc>
          <w:tcPr>
            <w:tcW w:w="2342" w:type="dxa"/>
            <w:noWrap/>
            <w:vAlign w:val="center"/>
          </w:tcPr>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优秀：针对每项方案说明详细、准确、符合项目实际状况；</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良好：方案说明较为详细、较为准确、但符合项目实际状况；</w:t>
            </w:r>
          </w:p>
          <w:p>
            <w:pPr>
              <w:spacing w:line="360" w:lineRule="exact"/>
              <w:rPr>
                <w:rFonts w:ascii="宋体" w:hAnsi="宋体" w:cs="宋体"/>
                <w:color w:val="auto"/>
                <w:sz w:val="24"/>
                <w:szCs w:val="24"/>
                <w:highlight w:val="none"/>
              </w:rPr>
            </w:pPr>
            <w:r>
              <w:rPr>
                <w:rFonts w:hint="eastAsia" w:ascii="宋体" w:hAnsi="宋体" w:cs="宋体"/>
                <w:color w:val="auto"/>
                <w:sz w:val="24"/>
                <w:szCs w:val="24"/>
                <w:highlight w:val="none"/>
              </w:rPr>
              <w:t>一般：方案说明内容不详细或准确度不高，但基本符合项目要求。</w:t>
            </w:r>
          </w:p>
          <w:p>
            <w:pPr>
              <w:rPr>
                <w:rFonts w:ascii="宋体" w:hAnsi="宋体" w:cs="宋体"/>
                <w:color w:val="auto"/>
                <w:sz w:val="24"/>
                <w:highlight w:val="none"/>
              </w:rPr>
            </w:pPr>
            <w:r>
              <w:rPr>
                <w:rFonts w:hint="eastAsia" w:ascii="宋体" w:hAnsi="宋体" w:cs="宋体"/>
                <w:color w:val="auto"/>
                <w:sz w:val="24"/>
                <w:szCs w:val="24"/>
                <w:highlight w:val="none"/>
              </w:rPr>
              <w:t>不提供或者严重偏离实际情况，该项得分为0分。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89" w:type="dxa"/>
            <w:vMerge w:val="restart"/>
            <w:noWrap/>
            <w:vAlign w:val="center"/>
          </w:tcPr>
          <w:p>
            <w:pPr>
              <w:rPr>
                <w:rFonts w:ascii="宋体" w:hAnsi="宋体" w:cs="宋体"/>
                <w:color w:val="auto"/>
                <w:sz w:val="24"/>
                <w:szCs w:val="22"/>
                <w:highlight w:val="none"/>
              </w:rPr>
            </w:pPr>
            <w:r>
              <w:rPr>
                <w:rFonts w:hint="eastAsia" w:ascii="宋体" w:hAnsi="宋体" w:cs="宋体"/>
                <w:color w:val="auto"/>
                <w:sz w:val="24"/>
                <w:szCs w:val="22"/>
                <w:highlight w:val="none"/>
              </w:rPr>
              <w:t>3</w:t>
            </w:r>
          </w:p>
        </w:tc>
        <w:tc>
          <w:tcPr>
            <w:tcW w:w="653" w:type="dxa"/>
            <w:vMerge w:val="restart"/>
            <w:noWrap/>
            <w:vAlign w:val="center"/>
          </w:tcPr>
          <w:p>
            <w:pPr>
              <w:rPr>
                <w:rFonts w:ascii="宋体" w:hAnsi="宋体" w:cs="宋体"/>
                <w:color w:val="auto"/>
                <w:sz w:val="24"/>
                <w:szCs w:val="22"/>
                <w:highlight w:val="none"/>
              </w:rPr>
            </w:pPr>
            <w:r>
              <w:rPr>
                <w:rFonts w:hint="eastAsia" w:ascii="宋体" w:hAnsi="宋体" w:cs="宋体"/>
                <w:color w:val="auto"/>
                <w:sz w:val="24"/>
                <w:szCs w:val="22"/>
                <w:highlight w:val="none"/>
              </w:rPr>
              <w:t>商务部分</w:t>
            </w:r>
          </w:p>
          <w:p>
            <w:pPr>
              <w:rPr>
                <w:rFonts w:ascii="宋体" w:hAnsi="宋体" w:cs="宋体"/>
                <w:color w:val="auto"/>
                <w:sz w:val="24"/>
                <w:szCs w:val="22"/>
                <w:highlight w:val="none"/>
              </w:rPr>
            </w:pPr>
            <w:r>
              <w:rPr>
                <w:rFonts w:hint="eastAsia" w:ascii="宋体" w:hAnsi="宋体" w:cs="宋体"/>
                <w:color w:val="auto"/>
                <w:sz w:val="24"/>
                <w:szCs w:val="22"/>
                <w:highlight w:val="none"/>
              </w:rPr>
              <w:t>(C)60分</w:t>
            </w:r>
          </w:p>
        </w:tc>
        <w:tc>
          <w:tcPr>
            <w:tcW w:w="765" w:type="dxa"/>
            <w:noWrap/>
            <w:vAlign w:val="center"/>
          </w:tcPr>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t>拟派人员资质</w:t>
            </w:r>
          </w:p>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t>（40分</w:t>
            </w:r>
          </w:p>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rPr>
                <w:rFonts w:ascii="宋体" w:hAnsi="宋体" w:cs="宋体"/>
                <w:color w:val="auto"/>
                <w:sz w:val="24"/>
                <w:szCs w:val="22"/>
                <w:highlight w:val="none"/>
              </w:rPr>
            </w:pPr>
          </w:p>
        </w:tc>
        <w:tc>
          <w:tcPr>
            <w:tcW w:w="5133" w:type="dxa"/>
            <w:tcBorders>
              <w:top w:val="single" w:color="auto" w:sz="4" w:space="0"/>
              <w:bottom w:val="single" w:color="auto" w:sz="4" w:space="0"/>
            </w:tcBorders>
            <w:noWrap/>
            <w:vAlign w:val="center"/>
          </w:tcPr>
          <w:p>
            <w:pPr>
              <w:numPr>
                <w:ilvl w:val="0"/>
                <w:numId w:val="3"/>
              </w:numPr>
              <w:spacing w:line="276" w:lineRule="auto"/>
              <w:rPr>
                <w:rFonts w:ascii="宋体" w:hAnsi="宋体" w:cs="宋体"/>
                <w:color w:val="auto"/>
                <w:sz w:val="21"/>
                <w:szCs w:val="21"/>
                <w:highlight w:val="none"/>
              </w:rPr>
            </w:pPr>
            <w:r>
              <w:rPr>
                <w:rFonts w:hint="eastAsia" w:ascii="宋体" w:hAnsi="宋体" w:cs="宋体"/>
                <w:color w:val="auto"/>
                <w:sz w:val="21"/>
                <w:szCs w:val="21"/>
                <w:highlight w:val="none"/>
              </w:rPr>
              <w:t>项目负责人</w:t>
            </w:r>
          </w:p>
          <w:p>
            <w:pPr>
              <w:spacing w:line="276" w:lineRule="auto"/>
              <w:rPr>
                <w:color w:val="auto"/>
                <w:highlight w:val="none"/>
              </w:rPr>
            </w:pPr>
            <w:r>
              <w:rPr>
                <w:rFonts w:hint="eastAsia" w:ascii="宋体" w:hAnsi="宋体" w:cs="宋体"/>
                <w:color w:val="auto"/>
                <w:sz w:val="21"/>
                <w:szCs w:val="21"/>
                <w:highlight w:val="none"/>
              </w:rPr>
              <w:t>（1）</w:t>
            </w:r>
            <w:r>
              <w:rPr>
                <w:rFonts w:hint="eastAsia"/>
                <w:color w:val="auto"/>
                <w:sz w:val="21"/>
                <w:szCs w:val="24"/>
                <w:highlight w:val="none"/>
                <w:lang w:bidi="ar"/>
              </w:rPr>
              <w:t>按照取得</w:t>
            </w:r>
            <w:r>
              <w:rPr>
                <w:rFonts w:hint="eastAsia" w:ascii="宋体" w:hAnsi="宋体" w:cs="宋体"/>
                <w:color w:val="auto"/>
                <w:sz w:val="21"/>
                <w:szCs w:val="21"/>
                <w:highlight w:val="none"/>
              </w:rPr>
              <w:t>全国注册造价工程师或一级注册造价工程师执业年限计分，注册执业满1年记1分，本项最高得10分。</w:t>
            </w:r>
          </w:p>
          <w:p>
            <w:pPr>
              <w:pStyle w:val="2"/>
              <w:spacing w:line="276" w:lineRule="auto"/>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color w:val="auto"/>
                <w:sz w:val="21"/>
                <w:szCs w:val="24"/>
                <w:highlight w:val="none"/>
                <w:lang w:bidi="ar"/>
              </w:rPr>
              <w:t>具有</w:t>
            </w:r>
            <w:r>
              <w:rPr>
                <w:rFonts w:hint="eastAsia" w:ascii="宋体" w:hAnsi="宋体" w:cs="宋体"/>
                <w:color w:val="auto"/>
                <w:sz w:val="21"/>
                <w:szCs w:val="21"/>
                <w:highlight w:val="none"/>
              </w:rPr>
              <w:t>全国注册造价工程师或一级注册造价工程师（安装工程专业）的得</w:t>
            </w:r>
            <w:r>
              <w:rPr>
                <w:rFonts w:ascii="宋体" w:hAnsi="宋体" w:cs="宋体"/>
                <w:color w:val="auto"/>
                <w:sz w:val="21"/>
                <w:szCs w:val="21"/>
                <w:highlight w:val="none"/>
              </w:rPr>
              <w:t>10</w:t>
            </w:r>
            <w:r>
              <w:rPr>
                <w:rFonts w:hint="eastAsia" w:ascii="宋体" w:hAnsi="宋体" w:cs="宋体"/>
                <w:color w:val="auto"/>
                <w:sz w:val="21"/>
                <w:szCs w:val="21"/>
                <w:highlight w:val="none"/>
              </w:rPr>
              <w:t>分；具有一级注册建造师的得</w:t>
            </w:r>
            <w:r>
              <w:rPr>
                <w:rFonts w:ascii="宋体" w:hAnsi="宋体" w:cs="宋体"/>
                <w:color w:val="auto"/>
                <w:sz w:val="21"/>
                <w:szCs w:val="21"/>
                <w:highlight w:val="none"/>
              </w:rPr>
              <w:t>10</w:t>
            </w:r>
            <w:r>
              <w:rPr>
                <w:rFonts w:hint="eastAsia" w:ascii="宋体" w:hAnsi="宋体" w:cs="宋体"/>
                <w:color w:val="auto"/>
                <w:sz w:val="21"/>
                <w:szCs w:val="21"/>
                <w:highlight w:val="none"/>
              </w:rPr>
              <w:t>分，本项最多得20分。</w:t>
            </w:r>
          </w:p>
          <w:p>
            <w:pPr>
              <w:spacing w:line="276" w:lineRule="auto"/>
              <w:rPr>
                <w:rFonts w:ascii="宋体" w:hAnsi="宋体" w:cs="宋体"/>
                <w:color w:val="auto"/>
                <w:sz w:val="21"/>
                <w:szCs w:val="21"/>
                <w:highlight w:val="none"/>
              </w:rPr>
            </w:pPr>
            <w:r>
              <w:rPr>
                <w:rFonts w:hint="eastAsia" w:ascii="宋体" w:hAnsi="宋体" w:cs="宋体"/>
                <w:color w:val="auto"/>
                <w:sz w:val="21"/>
                <w:szCs w:val="21"/>
                <w:highlight w:val="none"/>
              </w:rPr>
              <w:t>2、土建专业造价工程师</w:t>
            </w:r>
          </w:p>
          <w:p>
            <w:pPr>
              <w:spacing w:line="276" w:lineRule="auto"/>
              <w:rPr>
                <w:rFonts w:ascii="宋体" w:hAnsi="宋体" w:cs="宋体"/>
                <w:color w:val="auto"/>
                <w:sz w:val="21"/>
                <w:szCs w:val="21"/>
                <w:highlight w:val="none"/>
              </w:rPr>
            </w:pPr>
            <w:r>
              <w:rPr>
                <w:rFonts w:hint="eastAsia"/>
                <w:color w:val="auto"/>
                <w:sz w:val="21"/>
                <w:szCs w:val="24"/>
                <w:highlight w:val="none"/>
                <w:lang w:bidi="ar"/>
              </w:rPr>
              <w:t>按照取得</w:t>
            </w:r>
            <w:r>
              <w:rPr>
                <w:rFonts w:hint="eastAsia" w:ascii="宋体" w:hAnsi="宋体" w:cs="宋体"/>
                <w:color w:val="auto"/>
                <w:sz w:val="21"/>
                <w:szCs w:val="21"/>
                <w:highlight w:val="none"/>
              </w:rPr>
              <w:t>全国注册造价工程师或一级注册造价工程师执业年限计分，注册执业满1年记1分，本项最高得</w:t>
            </w:r>
            <w:r>
              <w:rPr>
                <w:rFonts w:ascii="宋体" w:hAnsi="宋体" w:cs="宋体"/>
                <w:color w:val="auto"/>
                <w:sz w:val="21"/>
                <w:szCs w:val="21"/>
                <w:highlight w:val="none"/>
              </w:rPr>
              <w:t>5</w:t>
            </w:r>
            <w:r>
              <w:rPr>
                <w:rFonts w:hint="eastAsia" w:ascii="宋体" w:hAnsi="宋体" w:cs="宋体"/>
                <w:color w:val="auto"/>
                <w:sz w:val="21"/>
                <w:szCs w:val="21"/>
                <w:highlight w:val="none"/>
              </w:rPr>
              <w:t>分。</w:t>
            </w:r>
          </w:p>
          <w:p>
            <w:pPr>
              <w:spacing w:line="276" w:lineRule="auto"/>
              <w:rPr>
                <w:rFonts w:ascii="宋体" w:hAnsi="宋体" w:cs="宋体"/>
                <w:color w:val="auto"/>
                <w:sz w:val="21"/>
                <w:szCs w:val="21"/>
                <w:highlight w:val="none"/>
              </w:rPr>
            </w:pPr>
            <w:r>
              <w:rPr>
                <w:rFonts w:hint="eastAsia" w:ascii="宋体" w:hAnsi="宋体" w:cs="宋体"/>
                <w:color w:val="auto"/>
                <w:sz w:val="21"/>
                <w:szCs w:val="21"/>
                <w:highlight w:val="none"/>
              </w:rPr>
              <w:t>3、安装专业造价工程师</w:t>
            </w:r>
          </w:p>
          <w:p>
            <w:pPr>
              <w:spacing w:line="276" w:lineRule="auto"/>
              <w:rPr>
                <w:rFonts w:ascii="宋体" w:hAnsi="宋体" w:cs="宋体"/>
                <w:color w:val="auto"/>
                <w:sz w:val="21"/>
                <w:szCs w:val="21"/>
                <w:highlight w:val="none"/>
              </w:rPr>
            </w:pPr>
            <w:r>
              <w:rPr>
                <w:rFonts w:hint="eastAsia"/>
                <w:color w:val="auto"/>
                <w:sz w:val="21"/>
                <w:szCs w:val="24"/>
                <w:highlight w:val="none"/>
                <w:lang w:bidi="ar"/>
              </w:rPr>
              <w:t>按照取得</w:t>
            </w:r>
            <w:r>
              <w:rPr>
                <w:rFonts w:hint="eastAsia" w:ascii="宋体" w:hAnsi="宋体" w:cs="宋体"/>
                <w:color w:val="auto"/>
                <w:sz w:val="21"/>
                <w:szCs w:val="21"/>
                <w:highlight w:val="none"/>
              </w:rPr>
              <w:t>全国注册造价工程师或一级注册造价工程师执业年限计分，注册执业满1年记1分，本项最高得</w:t>
            </w:r>
            <w:r>
              <w:rPr>
                <w:rFonts w:ascii="宋体" w:hAnsi="宋体" w:cs="宋体"/>
                <w:color w:val="auto"/>
                <w:sz w:val="21"/>
                <w:szCs w:val="21"/>
                <w:highlight w:val="none"/>
              </w:rPr>
              <w:t>5</w:t>
            </w:r>
            <w:r>
              <w:rPr>
                <w:rFonts w:hint="eastAsia" w:ascii="宋体" w:hAnsi="宋体" w:cs="宋体"/>
                <w:color w:val="auto"/>
                <w:sz w:val="21"/>
                <w:szCs w:val="21"/>
                <w:highlight w:val="none"/>
              </w:rPr>
              <w:t>分。</w:t>
            </w:r>
          </w:p>
        </w:tc>
        <w:tc>
          <w:tcPr>
            <w:tcW w:w="2342" w:type="dxa"/>
            <w:tcBorders>
              <w:top w:val="single" w:color="auto" w:sz="4" w:space="0"/>
              <w:bottom w:val="single" w:color="auto" w:sz="4" w:space="0"/>
            </w:tcBorders>
            <w:noWrap/>
            <w:vAlign w:val="center"/>
          </w:tcPr>
          <w:p>
            <w:pPr>
              <w:widowControl/>
              <w:ind w:right="-112" w:rightChars="-40"/>
              <w:rPr>
                <w:rFonts w:ascii="宋体" w:hAnsi="宋体" w:cs="宋体"/>
                <w:color w:val="auto"/>
                <w:sz w:val="24"/>
                <w:szCs w:val="24"/>
                <w:highlight w:val="none"/>
              </w:rPr>
            </w:pPr>
            <w:r>
              <w:rPr>
                <w:rFonts w:hint="eastAsia" w:ascii="宋体" w:hAnsi="宋体" w:cs="宋体"/>
                <w:color w:val="auto"/>
                <w:sz w:val="24"/>
                <w:szCs w:val="24"/>
                <w:highlight w:val="none"/>
              </w:rPr>
              <w:t>提供执业资格证书、注册证书复印件，并加盖公章，扫描件模糊不清的，该项不得分。提供拟派人员2022 年10月至2023年3月的养老保险证明。执业年限以相应等级注册造价师资格证书初始注册日期开始计算，截至开标结束时间，不足一年不予计算。</w:t>
            </w:r>
          </w:p>
          <w:p>
            <w:pPr>
              <w:spacing w:line="540" w:lineRule="exact"/>
              <w:ind w:right="-112" w:rightChars="-4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89" w:type="dxa"/>
            <w:vMerge w:val="continue"/>
            <w:noWrap/>
            <w:vAlign w:val="center"/>
          </w:tcPr>
          <w:p>
            <w:pPr>
              <w:rPr>
                <w:rFonts w:ascii="宋体" w:hAnsi="宋体" w:cs="宋体"/>
                <w:color w:val="auto"/>
                <w:sz w:val="24"/>
                <w:szCs w:val="22"/>
                <w:highlight w:val="none"/>
              </w:rPr>
            </w:pPr>
            <w:bookmarkStart w:id="32" w:name="_Toc54278997"/>
          </w:p>
        </w:tc>
        <w:tc>
          <w:tcPr>
            <w:tcW w:w="653" w:type="dxa"/>
            <w:vMerge w:val="continue"/>
            <w:noWrap/>
            <w:vAlign w:val="center"/>
          </w:tcPr>
          <w:p>
            <w:pPr>
              <w:rPr>
                <w:rFonts w:ascii="宋体" w:hAnsi="宋体" w:cs="宋体"/>
                <w:color w:val="auto"/>
                <w:sz w:val="24"/>
                <w:szCs w:val="22"/>
                <w:highlight w:val="none"/>
              </w:rPr>
            </w:pPr>
          </w:p>
        </w:tc>
        <w:tc>
          <w:tcPr>
            <w:tcW w:w="765" w:type="dxa"/>
            <w:noWrap/>
            <w:vAlign w:val="center"/>
          </w:tcPr>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t>业绩</w:t>
            </w:r>
          </w:p>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20</w:t>
            </w:r>
            <w:r>
              <w:rPr>
                <w:rFonts w:hint="eastAsia" w:ascii="宋体" w:hAnsi="宋体" w:cs="宋体"/>
                <w:color w:val="auto"/>
                <w:sz w:val="24"/>
                <w:szCs w:val="24"/>
                <w:highlight w:val="none"/>
              </w:rPr>
              <w:t>分）</w:t>
            </w:r>
          </w:p>
          <w:p>
            <w:pPr>
              <w:rPr>
                <w:rFonts w:ascii="宋体" w:hAnsi="宋体" w:cs="宋体"/>
                <w:color w:val="auto"/>
                <w:sz w:val="24"/>
                <w:szCs w:val="22"/>
                <w:highlight w:val="none"/>
              </w:rPr>
            </w:pPr>
          </w:p>
        </w:tc>
        <w:tc>
          <w:tcPr>
            <w:tcW w:w="5133" w:type="dxa"/>
            <w:tcBorders>
              <w:top w:val="single" w:color="auto" w:sz="4" w:space="0"/>
              <w:bottom w:val="single" w:color="auto" w:sz="4" w:space="0"/>
            </w:tcBorders>
            <w:noWrap/>
            <w:vAlign w:val="center"/>
          </w:tcPr>
          <w:p>
            <w:pPr>
              <w:widowControl/>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投标人 2019 年 1 月 1 日至今承接过2亿元及以上房建工程预算咨询类业务的（预算编制或预算审核或预算审计），1个项目计5分，此项最多得 </w:t>
            </w:r>
            <w:r>
              <w:rPr>
                <w:rFonts w:ascii="宋体" w:hAnsi="宋体" w:cs="宋体"/>
                <w:color w:val="auto"/>
                <w:sz w:val="24"/>
                <w:szCs w:val="24"/>
                <w:highlight w:val="none"/>
              </w:rPr>
              <w:t>20</w:t>
            </w:r>
            <w:r>
              <w:rPr>
                <w:rFonts w:hint="eastAsia" w:ascii="宋体" w:hAnsi="宋体" w:cs="宋体"/>
                <w:color w:val="auto"/>
                <w:sz w:val="24"/>
                <w:szCs w:val="24"/>
                <w:highlight w:val="none"/>
              </w:rPr>
              <w:t xml:space="preserve"> 分。 </w:t>
            </w:r>
          </w:p>
        </w:tc>
        <w:tc>
          <w:tcPr>
            <w:tcW w:w="2342" w:type="dxa"/>
            <w:tcBorders>
              <w:top w:val="single" w:color="auto" w:sz="4" w:space="0"/>
              <w:bottom w:val="single" w:color="auto" w:sz="4" w:space="0"/>
            </w:tcBorders>
            <w:noWrap/>
            <w:vAlign w:val="center"/>
          </w:tcPr>
          <w:p>
            <w:pPr>
              <w:widowControl/>
              <w:ind w:right="-112" w:rightChars="-40"/>
              <w:rPr>
                <w:rFonts w:ascii="宋体" w:hAnsi="宋体" w:cs="宋体"/>
                <w:color w:val="auto"/>
                <w:sz w:val="24"/>
                <w:highlight w:val="none"/>
              </w:rPr>
            </w:pPr>
            <w:r>
              <w:rPr>
                <w:rFonts w:hint="eastAsia" w:ascii="宋体" w:hAnsi="宋体" w:cs="宋体"/>
                <w:color w:val="auto"/>
                <w:sz w:val="24"/>
                <w:szCs w:val="24"/>
                <w:highlight w:val="none"/>
              </w:rPr>
              <w:t>须提供委托服务合同及编制</w:t>
            </w:r>
            <w:r>
              <w:rPr>
                <w:rFonts w:hint="eastAsia" w:ascii="宋体" w:hAnsi="宋体" w:cs="宋体"/>
                <w:color w:val="auto"/>
                <w:sz w:val="24"/>
                <w:szCs w:val="24"/>
                <w:highlight w:val="none"/>
                <w:lang w:eastAsia="zh-CN"/>
              </w:rPr>
              <w:t>或审核或审计</w:t>
            </w:r>
            <w:r>
              <w:rPr>
                <w:rFonts w:hint="eastAsia" w:ascii="宋体" w:hAnsi="宋体" w:cs="宋体"/>
                <w:color w:val="auto"/>
                <w:sz w:val="24"/>
                <w:szCs w:val="24"/>
                <w:highlight w:val="none"/>
              </w:rPr>
              <w:t>报告佐证资料。（复印件盖鲜章）</w:t>
            </w:r>
          </w:p>
        </w:tc>
      </w:tr>
    </w:tbl>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所有计算及得分保留至小数点后两位，小数点后第三位四舍五入。</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关于小微企业报价扣除比例说明</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1.对小微型企业给予6%的扣除，以扣除后的报价参与评审。</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三、无效响应</w:t>
      </w:r>
      <w:bookmarkEnd w:id="32"/>
    </w:p>
    <w:p>
      <w:pPr>
        <w:snapToGrid w:val="0"/>
        <w:spacing w:line="360" w:lineRule="auto"/>
        <w:ind w:firstLine="465"/>
        <w:rPr>
          <w:rFonts w:ascii="宋体" w:hAnsi="宋体" w:cs="宋体"/>
          <w:color w:val="auto"/>
          <w:sz w:val="24"/>
          <w:szCs w:val="24"/>
          <w:highlight w:val="none"/>
        </w:rPr>
      </w:pPr>
      <w:bookmarkStart w:id="33" w:name="_Toc54278998"/>
      <w:r>
        <w:rPr>
          <w:rFonts w:hint="eastAsia" w:ascii="宋体" w:hAnsi="宋体" w:cs="宋体"/>
          <w:color w:val="auto"/>
          <w:sz w:val="24"/>
          <w:szCs w:val="24"/>
          <w:highlight w:val="none"/>
        </w:rPr>
        <w:t>竞标人发生以下条款情况之一者，视为无效响应，其响应文件将被拒绝：</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（一）竞标人不符合规定的基本资格条件或特定资格条件的；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（二）竞标人的法定代表人或其授权代表未参加磋商；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（三）竞标人未按照竞争性磋商文件的要求缴纳磋商保证金；</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（四）竞标人所提交的响应文件不按第七篇“响应文件编制要求”规定编制或签字、盖章；</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（五）竞标人的最后报价超过采购预算的；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（七）单位负责人为同一人或者存在直接控股、管理关系的不同竞标人，参加同一合同项下的政府采购活动的；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（九）“第二篇 采购服务需求”、“第三篇 采购商务需求”有一条及以上不能满足竞争性磋商文件要求的；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（十）竞标人响应文件内容有与国家现行法律法规相违背的内容，或附有采购人无法接受的条件。</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（十一）本磋商文件规定的其它情形。</w:t>
      </w:r>
    </w:p>
    <w:p>
      <w:pPr>
        <w:pStyle w:val="4"/>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四、</w:t>
      </w:r>
      <w:bookmarkEnd w:id="30"/>
      <w:bookmarkEnd w:id="31"/>
      <w:r>
        <w:rPr>
          <w:rFonts w:hint="eastAsia" w:ascii="宋体" w:hAnsi="宋体" w:cs="宋体"/>
          <w:color w:val="auto"/>
          <w:sz w:val="24"/>
          <w:szCs w:val="24"/>
          <w:highlight w:val="none"/>
        </w:rPr>
        <w:t>采购终止</w:t>
      </w:r>
      <w:bookmarkEnd w:id="33"/>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（一）因情况变化，不再符合规定的竞争性磋商采购方式适用情形的；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（二）出现影响采购公正的违法、违规行为的；</w:t>
      </w:r>
    </w:p>
    <w:p>
      <w:pPr>
        <w:snapToGrid w:val="0"/>
        <w:spacing w:line="360" w:lineRule="auto"/>
        <w:ind w:firstLine="465"/>
        <w:rPr>
          <w:rFonts w:ascii="宋体" w:hAnsi="宋体" w:cs="宋体"/>
          <w:color w:val="auto"/>
          <w:sz w:val="24"/>
          <w:szCs w:val="24"/>
          <w:highlight w:val="none"/>
        </w:rPr>
      </w:pPr>
      <w:r>
        <w:rPr>
          <w:rFonts w:hint="eastAsia" w:ascii="宋体" w:hAnsi="宋体" w:cs="宋体"/>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color w:val="auto"/>
          <w:sz w:val="24"/>
          <w:szCs w:val="24"/>
          <w:highlight w:val="none"/>
        </w:rPr>
        <w:sectPr>
          <w:footerReference r:id="rId7" w:type="default"/>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color w:val="auto"/>
          <w:szCs w:val="30"/>
          <w:highlight w:val="none"/>
        </w:rPr>
      </w:pPr>
      <w:bookmarkStart w:id="34" w:name="_Toc102227313"/>
      <w:bookmarkStart w:id="35" w:name="_Toc54278999"/>
      <w:r>
        <w:rPr>
          <w:rFonts w:hint="eastAsia" w:ascii="宋体" w:hAnsi="宋体" w:eastAsia="宋体" w:cs="宋体"/>
          <w:b w:val="0"/>
          <w:color w:val="auto"/>
          <w:sz w:val="36"/>
          <w:szCs w:val="30"/>
          <w:highlight w:val="none"/>
        </w:rPr>
        <w:t>第五篇  供应商须知</w:t>
      </w:r>
      <w:bookmarkEnd w:id="34"/>
      <w:bookmarkEnd w:id="35"/>
    </w:p>
    <w:p>
      <w:pPr>
        <w:pStyle w:val="4"/>
        <w:spacing w:line="360" w:lineRule="auto"/>
        <w:rPr>
          <w:rFonts w:ascii="宋体" w:hAnsi="宋体" w:cs="宋体"/>
          <w:color w:val="auto"/>
          <w:sz w:val="24"/>
          <w:szCs w:val="24"/>
          <w:highlight w:val="none"/>
        </w:rPr>
      </w:pPr>
      <w:bookmarkStart w:id="36" w:name="_Toc54279000"/>
      <w:bookmarkStart w:id="37" w:name="_Toc342913389"/>
      <w:r>
        <w:rPr>
          <w:rFonts w:hint="eastAsia" w:ascii="宋体" w:hAnsi="宋体" w:cs="宋体"/>
          <w:color w:val="auto"/>
          <w:sz w:val="24"/>
          <w:szCs w:val="24"/>
          <w:highlight w:val="none"/>
        </w:rPr>
        <w:t>一、磋商费用</w:t>
      </w:r>
      <w:bookmarkEnd w:id="36"/>
      <w:bookmarkEnd w:id="37"/>
    </w:p>
    <w:p>
      <w:pPr>
        <w:pStyle w:val="17"/>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参与磋商的供应商应承担其编制响应文件与递交响应文件所涉及的一切费用，不论磋商结果如何，采购人在任何情况下无义务也无责任承担这些费用。</w:t>
      </w:r>
    </w:p>
    <w:p>
      <w:pPr>
        <w:pStyle w:val="4"/>
        <w:tabs>
          <w:tab w:val="left" w:pos="2640"/>
        </w:tabs>
        <w:spacing w:line="360" w:lineRule="auto"/>
        <w:rPr>
          <w:rFonts w:ascii="宋体" w:hAnsi="宋体" w:cs="宋体"/>
          <w:color w:val="auto"/>
          <w:sz w:val="24"/>
          <w:szCs w:val="24"/>
          <w:highlight w:val="none"/>
        </w:rPr>
      </w:pPr>
      <w:bookmarkStart w:id="38" w:name="_Toc342913391"/>
      <w:bookmarkStart w:id="39" w:name="_Toc54279001"/>
      <w:r>
        <w:rPr>
          <w:rFonts w:hint="eastAsia" w:ascii="宋体" w:hAnsi="宋体" w:cs="宋体"/>
          <w:color w:val="auto"/>
          <w:sz w:val="24"/>
          <w:szCs w:val="24"/>
          <w:highlight w:val="none"/>
        </w:rPr>
        <w:t>二、竞争性磋商文件</w:t>
      </w:r>
      <w:bookmarkEnd w:id="38"/>
      <w:bookmarkEnd w:id="39"/>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（一）竞争性磋商文件由采购邀请书、项目服务需求、供应商须知、项目商务需求、磋商程序及方法、评审标准、无效响应和采购终止、供应商须知</w:t>
      </w:r>
      <w:r>
        <w:rPr>
          <w:rFonts w:hint="eastAsia" w:ascii="宋体" w:hAnsi="宋体" w:cs="宋体"/>
          <w:b/>
          <w:color w:val="auto"/>
          <w:sz w:val="24"/>
          <w:szCs w:val="24"/>
          <w:highlight w:val="none"/>
        </w:rPr>
        <w:t>、</w:t>
      </w:r>
      <w:r>
        <w:rPr>
          <w:rFonts w:hint="eastAsia" w:ascii="宋体" w:hAnsi="宋体" w:cs="宋体"/>
          <w:color w:val="auto"/>
          <w:sz w:val="24"/>
          <w:szCs w:val="24"/>
          <w:highlight w:val="none"/>
        </w:rPr>
        <w:t>政府采购合同</w:t>
      </w:r>
      <w:r>
        <w:rPr>
          <w:rFonts w:hint="eastAsia" w:ascii="宋体" w:hAnsi="宋体" w:cs="宋体"/>
          <w:b/>
          <w:color w:val="auto"/>
          <w:sz w:val="24"/>
          <w:szCs w:val="24"/>
          <w:highlight w:val="none"/>
        </w:rPr>
        <w:t>、</w:t>
      </w:r>
      <w:r>
        <w:rPr>
          <w:rFonts w:hint="eastAsia" w:ascii="宋体" w:hAnsi="宋体" w:cs="宋体"/>
          <w:color w:val="auto"/>
          <w:sz w:val="24"/>
          <w:szCs w:val="24"/>
          <w:highlight w:val="none"/>
        </w:rPr>
        <w:t>响应文件编制要求七部分组成。</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（二）采购人所作的一切有效的书面通知、修改及补充，都是竞争性磋商文件不可分割的部分。</w:t>
      </w:r>
    </w:p>
    <w:p>
      <w:pPr>
        <w:spacing w:line="360" w:lineRule="auto"/>
        <w:ind w:firstLine="480" w:firstLineChars="200"/>
        <w:rPr>
          <w:rFonts w:ascii="宋体" w:hAnsi="宋体" w:cs="宋体"/>
          <w:color w:val="auto"/>
          <w:sz w:val="24"/>
          <w:szCs w:val="24"/>
          <w:highlight w:val="none"/>
        </w:rPr>
      </w:pPr>
      <w:bookmarkStart w:id="40" w:name="_Toc318159349"/>
      <w:bookmarkStart w:id="41" w:name="_Toc318166429"/>
      <w:bookmarkStart w:id="42" w:name="_Toc318159160"/>
      <w:bookmarkStart w:id="43" w:name="_Toc318159780"/>
      <w:r>
        <w:rPr>
          <w:rFonts w:hint="eastAsia" w:ascii="宋体" w:hAnsi="宋体" w:cs="宋体"/>
          <w:color w:val="auto"/>
          <w:sz w:val="24"/>
          <w:szCs w:val="24"/>
          <w:highlight w:val="none"/>
        </w:rPr>
        <w:t>（三）本竞争性磋商文件中，磋商小组根据与供应商进行磋商可能实质性变动的内容为竞争性磋商文件第二、三、六篇全部内容。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（四）评审的依据为竞争性磋商文件和响应文件（含有效的书面承诺）。磋商小组判断响应文件对竞争性磋商文件的响应，仅基于响应文件本身而不靠外部证据。</w:t>
      </w:r>
    </w:p>
    <w:bookmarkEnd w:id="40"/>
    <w:bookmarkEnd w:id="41"/>
    <w:bookmarkEnd w:id="42"/>
    <w:bookmarkEnd w:id="43"/>
    <w:p>
      <w:pPr>
        <w:pStyle w:val="4"/>
        <w:spacing w:line="360" w:lineRule="auto"/>
        <w:rPr>
          <w:rFonts w:ascii="宋体" w:hAnsi="宋体" w:cs="宋体"/>
          <w:color w:val="auto"/>
          <w:sz w:val="24"/>
          <w:szCs w:val="24"/>
          <w:highlight w:val="none"/>
        </w:rPr>
      </w:pPr>
      <w:bookmarkStart w:id="44" w:name="_Toc342913392"/>
      <w:bookmarkStart w:id="45" w:name="_Toc102227318"/>
      <w:bookmarkStart w:id="46" w:name="_Toc179714297"/>
      <w:bookmarkStart w:id="47" w:name="_Toc54279002"/>
      <w:r>
        <w:rPr>
          <w:rFonts w:hint="eastAsia" w:ascii="宋体" w:hAnsi="宋体" w:cs="宋体"/>
          <w:color w:val="auto"/>
          <w:sz w:val="24"/>
          <w:szCs w:val="24"/>
          <w:highlight w:val="none"/>
        </w:rPr>
        <w:t>三、磋商要求</w:t>
      </w:r>
      <w:bookmarkEnd w:id="44"/>
      <w:bookmarkEnd w:id="45"/>
      <w:bookmarkEnd w:id="46"/>
      <w:bookmarkEnd w:id="47"/>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（一）响应文件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2.响应文件组成</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（二）联合体</w:t>
      </w:r>
    </w:p>
    <w:p>
      <w:pPr>
        <w:snapToGrid w:val="0"/>
        <w:spacing w:line="360" w:lineRule="auto"/>
        <w:ind w:firstLine="598" w:firstLineChars="248"/>
        <w:rPr>
          <w:rFonts w:ascii="宋体" w:hAnsi="宋体" w:cs="宋体"/>
          <w:color w:val="auto"/>
          <w:sz w:val="24"/>
          <w:szCs w:val="24"/>
          <w:highlight w:val="none"/>
        </w:rPr>
      </w:pPr>
      <w:r>
        <w:rPr>
          <w:rFonts w:hint="eastAsia" w:ascii="宋体" w:hAnsi="宋体" w:cs="宋体"/>
          <w:b/>
          <w:color w:val="auto"/>
          <w:sz w:val="24"/>
          <w:szCs w:val="24"/>
          <w:highlight w:val="none"/>
        </w:rPr>
        <w:t>本项目不接受联合体参与磋商。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（三）磋商有效期：响应文件及有关承诺文件有效期为提交响应文件截止时间起90天。</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（四）修正错误</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（五）提交响应文件的份数和签署</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1.响应文件一式二份（</w:t>
      </w:r>
      <w:r>
        <w:rPr>
          <w:rFonts w:hint="eastAsia" w:ascii="宋体" w:hAnsi="宋体" w:cs="宋体"/>
          <w:color w:val="auto"/>
          <w:sz w:val="24"/>
          <w:highlight w:val="none"/>
        </w:rPr>
        <w:t>封面标注正副本</w:t>
      </w:r>
      <w:r>
        <w:rPr>
          <w:rFonts w:hint="eastAsia" w:ascii="宋体" w:hAnsi="宋体" w:cs="宋体"/>
          <w:color w:val="auto"/>
          <w:sz w:val="24"/>
          <w:szCs w:val="24"/>
          <w:highlight w:val="none"/>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highlight w:val="none"/>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（六）响应文件的递交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1.响应文件的密封</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1.2封套的封口处应加盖供应商公章或由法定代表人授权代表签字。</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2.如果未按上述规定进行密封，采购人对响应文件误投、丢失或提前拆封不负责任。</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（七）供应商参与人员</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各个供应商应当派1-2名代表参与磋商，至少1人应为法定代表人或具有法定代表人授权委托书的授权代表。</w:t>
      </w:r>
    </w:p>
    <w:p>
      <w:pPr>
        <w:pStyle w:val="4"/>
        <w:spacing w:line="360" w:lineRule="auto"/>
        <w:rPr>
          <w:rFonts w:ascii="宋体" w:hAnsi="宋体" w:cs="宋体"/>
          <w:color w:val="auto"/>
          <w:sz w:val="24"/>
          <w:szCs w:val="24"/>
          <w:highlight w:val="none"/>
        </w:rPr>
      </w:pPr>
      <w:bookmarkStart w:id="48" w:name="_Toc54279003"/>
      <w:r>
        <w:rPr>
          <w:rFonts w:hint="eastAsia" w:ascii="宋体" w:hAnsi="宋体" w:cs="宋体"/>
          <w:color w:val="auto"/>
          <w:sz w:val="24"/>
          <w:szCs w:val="24"/>
          <w:highlight w:val="none"/>
        </w:rPr>
        <w:t>四、成交供应商的确认和变更</w:t>
      </w:r>
      <w:bookmarkEnd w:id="48"/>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（一）成交供应商的确认</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（二）成交供应商的变更</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成交供应商拒绝与采购人签订合同的，采购人报财政部门同意后可以按照评标报告推荐的成交候选供应商顺序，确定排名下一位的候选人为成交供应商，也可以重新开展政府采购活动。</w:t>
      </w:r>
    </w:p>
    <w:p>
      <w:pPr>
        <w:pStyle w:val="4"/>
        <w:spacing w:line="360" w:lineRule="auto"/>
        <w:rPr>
          <w:rFonts w:ascii="宋体" w:hAnsi="宋体" w:cs="宋体"/>
          <w:color w:val="auto"/>
          <w:sz w:val="24"/>
          <w:szCs w:val="24"/>
          <w:highlight w:val="none"/>
        </w:rPr>
      </w:pPr>
      <w:bookmarkStart w:id="49" w:name="_Toc342913395"/>
      <w:bookmarkStart w:id="50" w:name="_Toc102227321"/>
      <w:bookmarkStart w:id="51" w:name="_Toc54279004"/>
      <w:r>
        <w:rPr>
          <w:rFonts w:hint="eastAsia" w:ascii="宋体" w:hAnsi="宋体" w:cs="宋体"/>
          <w:color w:val="auto"/>
          <w:sz w:val="24"/>
          <w:szCs w:val="24"/>
          <w:highlight w:val="none"/>
        </w:rPr>
        <w:t>五、成交通知</w:t>
      </w:r>
      <w:bookmarkEnd w:id="49"/>
      <w:bookmarkEnd w:id="50"/>
      <w:bookmarkEnd w:id="5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（一）成交供应商确定后，采购人将在“建桥工业园”（http://www.jqgyy.com/）上发布成交结果公告。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（二）结果公告发出同时，采购人将以书面形式发出《成交通知书》。《成交通知书》一经发出即发生法律效力。</w:t>
      </w:r>
      <w:r>
        <w:rPr>
          <w:rFonts w:hint="eastAsia" w:ascii="宋体" w:hAnsi="宋体" w:cs="宋体"/>
          <w:b/>
          <w:color w:val="auto"/>
          <w:sz w:val="24"/>
          <w:szCs w:val="24"/>
          <w:highlight w:val="none"/>
          <w:u w:val="single"/>
        </w:rPr>
        <w:t>成交人需持经办人介绍信、身份证复印件到采购人处领取。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（三）《成交通知书》将作为签订合同的依据。</w:t>
      </w:r>
    </w:p>
    <w:p>
      <w:pPr>
        <w:pStyle w:val="4"/>
        <w:spacing w:line="360" w:lineRule="auto"/>
        <w:rPr>
          <w:rFonts w:ascii="宋体" w:hAnsi="宋体" w:cs="宋体"/>
          <w:color w:val="auto"/>
          <w:sz w:val="24"/>
          <w:szCs w:val="24"/>
          <w:highlight w:val="none"/>
        </w:rPr>
      </w:pPr>
      <w:bookmarkStart w:id="52" w:name="_Toc54279005"/>
      <w:r>
        <w:rPr>
          <w:rFonts w:hint="eastAsia" w:ascii="宋体" w:hAnsi="宋体" w:cs="宋体"/>
          <w:color w:val="auto"/>
          <w:sz w:val="24"/>
          <w:szCs w:val="24"/>
          <w:highlight w:val="none"/>
        </w:rPr>
        <w:t>六、关于质疑和投诉</w:t>
      </w:r>
      <w:bookmarkEnd w:id="52"/>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供应商认为采购文件、采购过程和成交结果使自己的权益收到伤害的，可向采购人以书面形式提出质疑。</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提出质疑的应当是参与所质疑项目采购活动的供应商。 </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1.质疑时限、内容</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1.2供应商提出质疑应当提交质疑函和必要的证明材料，质疑函应当包括下列内容：</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1.2.1供应商的姓名或者名称、地址、邮编、联系人及联系电话；</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1.2.2质疑项目的名称、项目号以及磋商项目编号；</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1.2.3具体、明确的质疑事项和与质疑事项相关的请求；</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1.2.4事实依据；</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1.2.5必要的法律依据；</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1.2.6提出质疑的日期；</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1.2.7营业执照（或事业单位法人证书，或个体工商户营业执照或有效的自然人身份证明）复印件；</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2.质疑答复</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3.不予受理或暂缓受理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3.1质疑有下列情形之一的，不予受理：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3.1.1质疑供应商参与了磋商活动后，再对竞争性磋商文件内容提出质疑的；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3.1.2质疑超过有效期的；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3.1.3对同一事项重复质疑的。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3.2.1质疑书格式和内容不符合国家或重庆市相关规定的；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3.2.2质疑书提供的依据或证明材料不全的；</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3.2.3质疑书副本数量不足的。</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3.其他</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3.2质疑函范本可在财政部门户网站和中国政府采购网下载。</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（二）投诉</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color w:val="auto"/>
          <w:sz w:val="24"/>
          <w:highlight w:val="none"/>
        </w:rPr>
      </w:pPr>
      <w:r>
        <w:rPr>
          <w:rFonts w:hint="eastAsia" w:ascii="宋体" w:hAnsi="宋体" w:cs="宋体"/>
          <w:color w:val="auto"/>
          <w:sz w:val="24"/>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4.在确定受理投诉后，财政部门自受理投诉之日起30个工作日内（需要检验、检测、鉴定、专家评审以及需要投诉人补正材料的，所需时间不计算在投诉处理期限内）对投诉事项做出处理决定。</w:t>
      </w:r>
    </w:p>
    <w:p>
      <w:pPr>
        <w:pStyle w:val="4"/>
        <w:spacing w:line="360" w:lineRule="auto"/>
        <w:rPr>
          <w:rFonts w:ascii="宋体" w:hAnsi="宋体" w:cs="宋体"/>
          <w:color w:val="auto"/>
          <w:sz w:val="24"/>
          <w:szCs w:val="24"/>
          <w:highlight w:val="none"/>
        </w:rPr>
      </w:pPr>
      <w:bookmarkStart w:id="53" w:name="_Toc102227322"/>
      <w:bookmarkStart w:id="54" w:name="_Toc342913396"/>
      <w:bookmarkStart w:id="55" w:name="_Toc54279008"/>
      <w:bookmarkStart w:id="56" w:name="_Toc11641055"/>
      <w:bookmarkStart w:id="57" w:name="_Toc12789059"/>
      <w:r>
        <w:rPr>
          <w:rFonts w:hint="eastAsia" w:ascii="宋体" w:hAnsi="宋体" w:cs="宋体"/>
          <w:color w:val="auto"/>
          <w:sz w:val="24"/>
          <w:szCs w:val="24"/>
          <w:highlight w:val="none"/>
        </w:rPr>
        <w:t>七、签订</w:t>
      </w:r>
      <w:bookmarkEnd w:id="53"/>
      <w:r>
        <w:rPr>
          <w:rFonts w:hint="eastAsia" w:ascii="宋体" w:hAnsi="宋体" w:cs="宋体"/>
          <w:color w:val="auto"/>
          <w:sz w:val="24"/>
          <w:szCs w:val="24"/>
          <w:highlight w:val="none"/>
        </w:rPr>
        <w:t>合同</w:t>
      </w:r>
      <w:bookmarkEnd w:id="54"/>
      <w:bookmarkEnd w:id="55"/>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（二）竞争性磋商文件、供应商的响应文件及澄清文件等，均为签订政府采购合同的依据。</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（三）合同生效条款由供需双方约定，法律、行政法规规定应当办理批准、登记等手续后生效的合同，依照其规定。</w:t>
      </w:r>
    </w:p>
    <w:p>
      <w:pPr>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（五）采购人要求成交供应商提供履约保证金的，应当在竞争性磋商文件中予以约定。成交供应商履约完毕后，采购人根据采购文件规定退还其履约保证金。</w:t>
      </w:r>
    </w:p>
    <w:p>
      <w:pPr>
        <w:pStyle w:val="4"/>
        <w:spacing w:line="360" w:lineRule="auto"/>
        <w:rPr>
          <w:rFonts w:ascii="宋体" w:hAnsi="宋体" w:cs="宋体"/>
          <w:color w:val="auto"/>
          <w:sz w:val="24"/>
          <w:highlight w:val="none"/>
        </w:rPr>
      </w:pPr>
      <w:bookmarkStart w:id="58" w:name="_Toc16931_WPSOffice_Level2"/>
      <w:bookmarkStart w:id="59" w:name="_Toc3855"/>
      <w:bookmarkStart w:id="60" w:name="_Toc8666679"/>
      <w:bookmarkStart w:id="61" w:name="_Toc19576_WPSOffice_Level2"/>
      <w:r>
        <w:rPr>
          <w:rFonts w:hint="eastAsia" w:ascii="宋体" w:hAnsi="宋体" w:cs="宋体"/>
          <w:color w:val="auto"/>
          <w:sz w:val="24"/>
          <w:szCs w:val="24"/>
          <w:highlight w:val="none"/>
        </w:rPr>
        <w:t>八、</w:t>
      </w:r>
      <w:bookmarkEnd w:id="58"/>
      <w:bookmarkEnd w:id="59"/>
      <w:bookmarkEnd w:id="60"/>
      <w:bookmarkEnd w:id="61"/>
      <w:bookmarkStart w:id="62" w:name="_Toc14780"/>
      <w:bookmarkStart w:id="63" w:name="_Toc54279009"/>
      <w:r>
        <w:rPr>
          <w:rFonts w:hint="eastAsia" w:ascii="宋体" w:hAnsi="宋体" w:cs="宋体"/>
          <w:color w:val="auto"/>
          <w:sz w:val="24"/>
          <w:highlight w:val="none"/>
        </w:rPr>
        <w:t>政府采购信用融资</w:t>
      </w:r>
      <w:bookmarkEnd w:id="62"/>
      <w:bookmarkEnd w:id="63"/>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3"/>
        <w:spacing w:line="360" w:lineRule="auto"/>
        <w:jc w:val="center"/>
        <w:rPr>
          <w:rFonts w:ascii="宋体" w:hAnsi="宋体" w:eastAsia="宋体" w:cs="宋体"/>
          <w:b w:val="0"/>
          <w:color w:val="auto"/>
          <w:sz w:val="36"/>
          <w:szCs w:val="30"/>
          <w:highlight w:val="none"/>
        </w:rPr>
      </w:pPr>
      <w:r>
        <w:rPr>
          <w:rFonts w:hint="eastAsia" w:ascii="宋体" w:hAnsi="宋体" w:eastAsia="宋体" w:cs="宋体"/>
          <w:color w:val="auto"/>
          <w:sz w:val="36"/>
          <w:szCs w:val="30"/>
          <w:highlight w:val="none"/>
        </w:rPr>
        <w:br w:type="page"/>
      </w:r>
      <w:bookmarkStart w:id="64" w:name="_Toc54279010"/>
      <w:r>
        <w:rPr>
          <w:rFonts w:hint="eastAsia" w:ascii="宋体" w:hAnsi="宋体" w:eastAsia="宋体" w:cs="宋体"/>
          <w:b w:val="0"/>
          <w:color w:val="auto"/>
          <w:sz w:val="36"/>
          <w:szCs w:val="30"/>
          <w:highlight w:val="none"/>
        </w:rPr>
        <w:t xml:space="preserve">第六篇  </w:t>
      </w:r>
      <w:bookmarkEnd w:id="56"/>
      <w:bookmarkEnd w:id="57"/>
      <w:r>
        <w:rPr>
          <w:rFonts w:hint="eastAsia" w:ascii="宋体" w:hAnsi="宋体" w:eastAsia="宋体" w:cs="宋体"/>
          <w:b w:val="0"/>
          <w:color w:val="auto"/>
          <w:sz w:val="36"/>
          <w:szCs w:val="30"/>
          <w:highlight w:val="none"/>
        </w:rPr>
        <w:t>合同</w:t>
      </w:r>
      <w:bookmarkEnd w:id="64"/>
    </w:p>
    <w:p>
      <w:pPr>
        <w:tabs>
          <w:tab w:val="left" w:pos="9000"/>
        </w:tabs>
        <w:spacing w:line="360" w:lineRule="auto"/>
        <w:jc w:val="center"/>
        <w:rPr>
          <w:rFonts w:ascii="宋体" w:hAnsi="宋体" w:cs="宋体"/>
          <w:color w:val="auto"/>
          <w:sz w:val="21"/>
          <w:szCs w:val="21"/>
          <w:highlight w:val="none"/>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color w:val="auto"/>
          <w:sz w:val="44"/>
          <w:highlight w:val="none"/>
        </w:rPr>
        <w:t>格式自拟</w:t>
      </w:r>
    </w:p>
    <w:p>
      <w:pPr>
        <w:pStyle w:val="3"/>
        <w:spacing w:line="360" w:lineRule="auto"/>
        <w:jc w:val="center"/>
        <w:rPr>
          <w:rFonts w:ascii="宋体" w:hAnsi="宋体" w:eastAsia="宋体" w:cs="宋体"/>
          <w:b w:val="0"/>
          <w:color w:val="auto"/>
          <w:sz w:val="36"/>
          <w:szCs w:val="30"/>
          <w:highlight w:val="none"/>
        </w:rPr>
      </w:pPr>
      <w:bookmarkStart w:id="65" w:name="_Hlt41879464"/>
      <w:bookmarkEnd w:id="65"/>
      <w:bookmarkStart w:id="66" w:name="_Toc54279011"/>
      <w:r>
        <w:rPr>
          <w:rFonts w:hint="eastAsia" w:ascii="宋体" w:hAnsi="宋体" w:eastAsia="宋体" w:cs="宋体"/>
          <w:b w:val="0"/>
          <w:color w:val="auto"/>
          <w:sz w:val="36"/>
          <w:szCs w:val="30"/>
          <w:highlight w:val="none"/>
        </w:rPr>
        <w:t>第七篇  响应文件编制要求</w:t>
      </w:r>
      <w:bookmarkEnd w:id="6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一、经济部分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（一）竞争性磋商报价函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二、服务部分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（一）服务方案</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（二）服务响应偏离表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三、商务部分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（一）商务响应偏离表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（二）其它优惠服务承诺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（三）根据商务部分评分细则自行准备资料。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四、资格条件及其他</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（二）法定代表人身份证明书（格式）</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（三）法定代表人授权委托书（格式）（被授权代表须为竞标单位人员，提供社保机构出具的2022年10月至2023年3月社保证明）</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（四）2020年或2021年度财务状况报告（表）或其基本开户银行出具的资信证明复印件，本年度新成立或成立不满一年的组织和自然人无法提供财务状况报告（表）的，可提供银行出具的资信证明复印件。</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（五）书面声明（格式）</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（六）税务登记证（副本）复印件和社会保险缴纳证明材料</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（七）特定资格条件证书或证明文件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说明：供应商按“多证合一”登记制度办理营业执照的，税务登记证（副本）和社会保险登记证以供应商所提供的营业执照（副本）复印件为准。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五、其他资料</w:t>
      </w:r>
    </w:p>
    <w:p>
      <w:pPr>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（一）中小微企业声明函、监狱企业证明文件、残疾人福利性单位声明函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（二）其他与项目有关的资料</w:t>
      </w:r>
    </w:p>
    <w:p>
      <w:pPr>
        <w:snapToGrid w:val="0"/>
        <w:spacing w:line="360" w:lineRule="auto"/>
        <w:rPr>
          <w:rFonts w:ascii="宋体" w:hAnsi="宋体" w:cs="宋体"/>
          <w:color w:val="auto"/>
          <w:sz w:val="24"/>
          <w:szCs w:val="24"/>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line="360" w:lineRule="auto"/>
        <w:rPr>
          <w:rFonts w:ascii="宋体" w:hAnsi="宋体" w:cs="宋体"/>
          <w:color w:val="auto"/>
          <w:sz w:val="24"/>
          <w:szCs w:val="24"/>
          <w:highlight w:val="none"/>
        </w:rPr>
      </w:pPr>
      <w:bookmarkStart w:id="67" w:name="_Toc54279012"/>
      <w:bookmarkStart w:id="68" w:name="_Toc313008356"/>
      <w:bookmarkStart w:id="69" w:name="_Toc313888360"/>
      <w:bookmarkStart w:id="70" w:name="_Toc342913419"/>
      <w:bookmarkStart w:id="71" w:name="_Toc12789073"/>
      <w:bookmarkStart w:id="72" w:name="_Toc283382454"/>
      <w:r>
        <w:rPr>
          <w:rFonts w:hint="eastAsia" w:ascii="宋体" w:hAnsi="宋体" w:cs="宋体"/>
          <w:color w:val="auto"/>
          <w:sz w:val="24"/>
          <w:szCs w:val="24"/>
          <w:highlight w:val="none"/>
        </w:rPr>
        <w:t>一、经济部分</w:t>
      </w:r>
      <w:bookmarkEnd w:id="67"/>
      <w:bookmarkEnd w:id="68"/>
      <w:bookmarkEnd w:id="69"/>
      <w:bookmarkEnd w:id="70"/>
    </w:p>
    <w:bookmarkEnd w:id="71"/>
    <w:bookmarkEnd w:id="72"/>
    <w:p>
      <w:pPr>
        <w:pStyle w:val="4"/>
        <w:spacing w:line="360" w:lineRule="auto"/>
        <w:rPr>
          <w:rFonts w:ascii="宋体" w:hAnsi="宋体" w:cs="宋体"/>
          <w:color w:val="auto"/>
          <w:sz w:val="24"/>
          <w:szCs w:val="24"/>
          <w:highlight w:val="none"/>
        </w:rPr>
      </w:pPr>
      <w:bookmarkStart w:id="73" w:name="_Toc466546937"/>
      <w:bookmarkStart w:id="74" w:name="_Toc342913420"/>
      <w:bookmarkStart w:id="75" w:name="_Toc313008357"/>
      <w:bookmarkStart w:id="76" w:name="_Toc313888361"/>
      <w:bookmarkStart w:id="77" w:name="_Toc54279013"/>
      <w:r>
        <w:rPr>
          <w:rFonts w:hint="eastAsia" w:ascii="宋体" w:hAnsi="宋体" w:cs="宋体"/>
          <w:color w:val="auto"/>
          <w:sz w:val="24"/>
          <w:szCs w:val="24"/>
          <w:highlight w:val="none"/>
        </w:rPr>
        <w:t>一、经济部分</w:t>
      </w:r>
      <w:bookmarkEnd w:id="73"/>
    </w:p>
    <w:p>
      <w:pPr>
        <w:tabs>
          <w:tab w:val="left" w:pos="6300"/>
        </w:tabs>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（一）竞争性磋商报价函</w:t>
      </w:r>
    </w:p>
    <w:p>
      <w:pPr>
        <w:tabs>
          <w:tab w:val="left" w:pos="6300"/>
        </w:tabs>
        <w:snapToGrid w:val="0"/>
        <w:spacing w:line="480" w:lineRule="exact"/>
        <w:jc w:val="center"/>
        <w:outlineLvl w:val="0"/>
        <w:rPr>
          <w:rFonts w:ascii="宋体" w:hAnsi="宋体" w:cs="宋体"/>
          <w:b/>
          <w:color w:val="auto"/>
          <w:szCs w:val="28"/>
          <w:highlight w:val="none"/>
        </w:rPr>
      </w:pPr>
      <w:r>
        <w:rPr>
          <w:rFonts w:hint="eastAsia" w:ascii="宋体" w:hAnsi="宋体" w:cs="宋体"/>
          <w:b/>
          <w:color w:val="auto"/>
          <w:szCs w:val="28"/>
          <w:highlight w:val="none"/>
        </w:rPr>
        <w:t>竞争性磋商报价函</w:t>
      </w:r>
    </w:p>
    <w:p>
      <w:pPr>
        <w:tabs>
          <w:tab w:val="left" w:pos="6300"/>
        </w:tabs>
        <w:snapToGrid w:val="0"/>
        <w:spacing w:line="480" w:lineRule="exact"/>
        <w:rPr>
          <w:rFonts w:ascii="宋体" w:hAnsi="宋体" w:cs="宋体"/>
          <w:color w:val="auto"/>
          <w:sz w:val="24"/>
          <w:szCs w:val="24"/>
          <w:highlight w:val="none"/>
        </w:rPr>
      </w:pPr>
      <w:r>
        <w:rPr>
          <w:rFonts w:hint="eastAsia" w:ascii="宋体" w:hAnsi="宋体" w:cs="宋体"/>
          <w:color w:val="auto"/>
          <w:sz w:val="24"/>
          <w:szCs w:val="24"/>
          <w:highlight w:val="none"/>
          <w:u w:val="single"/>
        </w:rPr>
        <w:t>（采购代理机构名称）</w:t>
      </w:r>
      <w:r>
        <w:rPr>
          <w:rFonts w:hint="eastAsia" w:ascii="宋体" w:hAnsi="宋体" w:cs="宋体"/>
          <w:color w:val="auto"/>
          <w:sz w:val="24"/>
          <w:szCs w:val="24"/>
          <w:highlight w:val="none"/>
        </w:rPr>
        <w:t>：</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我方收到____________________________（项目名称）及_____________（项目号）的竞争性磋商文件，经详细研究，决定参加该项目的磋商。</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1、愿意按照竞争性磋商文件的一切要求，提供本项目的技术服务，</w:t>
      </w:r>
      <w:r>
        <w:rPr>
          <w:rFonts w:hint="eastAsia" w:ascii="宋体" w:hAnsi="宋体" w:cs="宋体"/>
          <w:color w:val="auto"/>
          <w:sz w:val="24"/>
          <w:szCs w:val="24"/>
          <w:highlight w:val="none"/>
          <w:lang w:eastAsia="zh-CN"/>
        </w:rPr>
        <w:t>折扣率百分比</w:t>
      </w:r>
      <w:r>
        <w:rPr>
          <w:rFonts w:hint="eastAsia" w:ascii="宋体" w:hAnsi="宋体" w:cs="宋体"/>
          <w:color w:val="auto"/>
          <w:sz w:val="24"/>
          <w:szCs w:val="24"/>
          <w:highlight w:val="none"/>
        </w:rPr>
        <w:t>初始报价为________</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折扣率</w:t>
      </w:r>
      <w:r>
        <w:rPr>
          <w:rFonts w:hint="eastAsia" w:ascii="宋体" w:hAnsi="宋体" w:cs="宋体"/>
          <w:color w:val="auto"/>
          <w:sz w:val="24"/>
          <w:szCs w:val="24"/>
          <w:highlight w:val="none"/>
        </w:rPr>
        <w:t>百分比保留到小数点后2位)</w:t>
      </w:r>
      <w:r>
        <w:rPr>
          <w:rFonts w:hint="eastAsia" w:ascii="宋体" w:hAnsi="宋体" w:cs="宋体"/>
          <w:color w:val="auto"/>
          <w:sz w:val="24"/>
          <w:szCs w:val="24"/>
          <w:highlight w:val="none"/>
          <w:lang w:eastAsia="zh-CN"/>
        </w:rPr>
        <w:t>，以暂定建安投资</w:t>
      </w:r>
      <w:r>
        <w:rPr>
          <w:rFonts w:hint="eastAsia" w:ascii="宋体" w:hAnsi="宋体" w:cs="宋体"/>
          <w:color w:val="auto"/>
          <w:sz w:val="24"/>
          <w:szCs w:val="24"/>
          <w:highlight w:val="none"/>
          <w:lang w:val="en-US" w:eastAsia="zh-CN"/>
        </w:rPr>
        <w:t>20000万元为计费基数，</w:t>
      </w:r>
      <w:r>
        <w:rPr>
          <w:rFonts w:hint="eastAsia" w:ascii="宋体" w:hAnsi="宋体" w:cs="宋体"/>
          <w:color w:val="auto"/>
          <w:sz w:val="24"/>
          <w:szCs w:val="24"/>
          <w:highlight w:val="none"/>
          <w:lang w:eastAsia="zh-CN"/>
        </w:rPr>
        <w:t>编制服务费总价初始报价为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元（编制服务费总价</w:t>
      </w:r>
      <w:r>
        <w:rPr>
          <w:rFonts w:hint="eastAsia" w:ascii="宋体" w:hAnsi="宋体" w:cs="宋体"/>
          <w:color w:val="auto"/>
          <w:sz w:val="24"/>
          <w:szCs w:val="24"/>
          <w:highlight w:val="none"/>
        </w:rPr>
        <w:t>保留到小数点后2位</w:t>
      </w:r>
      <w:r>
        <w:rPr>
          <w:rFonts w:hint="eastAsia" w:ascii="宋体" w:hAnsi="宋体" w:cs="宋体"/>
          <w:color w:val="auto"/>
          <w:sz w:val="24"/>
          <w:szCs w:val="24"/>
          <w:highlight w:val="none"/>
          <w:u w:val="none"/>
          <w:lang w:val="en-US" w:eastAsia="zh-CN"/>
        </w:rPr>
        <w:t>），</w:t>
      </w:r>
      <w:r>
        <w:rPr>
          <w:rFonts w:hint="eastAsia" w:ascii="宋体" w:hAnsi="宋体" w:cs="宋体"/>
          <w:color w:val="auto"/>
          <w:sz w:val="24"/>
          <w:szCs w:val="24"/>
          <w:highlight w:val="none"/>
        </w:rPr>
        <w:t>以我公司最后报价为准。</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2、我方现提交的响应文件为：响应文件正本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份，副本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份。</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3、我方承诺：本次磋商的有效期为90天。</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w:t>
      </w:r>
      <w:r>
        <w:rPr>
          <w:rFonts w:hint="eastAsia" w:ascii="宋体" w:hAnsi="宋体" w:cs="宋体"/>
          <w:color w:val="auto"/>
          <w:sz w:val="24"/>
          <w:szCs w:val="28"/>
          <w:highlight w:val="none"/>
        </w:rPr>
        <w:t>我方理解，最低报价不是成交的唯一条件。</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我方同意按竞争性磋商文件规定，交纳竞争性磋商文件要求的磋商保证金。如果我方成为成交竞标人，保证在接到成交通知书后，向采购代理机构和交易中心交纳竞争性磋商文件规定的采购代理服务费和交易服务费。</w:t>
      </w:r>
    </w:p>
    <w:p>
      <w:pPr>
        <w:tabs>
          <w:tab w:val="left" w:pos="6300"/>
        </w:tabs>
        <w:snapToGrid w:val="0"/>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w:t>
      </w:r>
      <w:r>
        <w:rPr>
          <w:rFonts w:hint="eastAsia" w:ascii="宋体" w:hAnsi="宋体" w:cs="宋体"/>
          <w:color w:val="auto"/>
          <w:sz w:val="24"/>
          <w:szCs w:val="28"/>
          <w:highlight w:val="none"/>
        </w:rPr>
        <w:t>我方未</w:t>
      </w:r>
      <w:r>
        <w:rPr>
          <w:rFonts w:hint="eastAsia" w:ascii="宋体" w:hAnsi="宋体" w:cs="宋体"/>
          <w:color w:val="auto"/>
          <w:sz w:val="24"/>
          <w:szCs w:val="24"/>
          <w:highlight w:val="none"/>
        </w:rPr>
        <w:t>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p>
    <w:p>
      <w:pPr>
        <w:tabs>
          <w:tab w:val="left" w:pos="6300"/>
        </w:tabs>
        <w:snapToGrid w:val="0"/>
        <w:spacing w:line="312" w:lineRule="auto"/>
        <w:ind w:firstLine="570"/>
        <w:rPr>
          <w:rFonts w:ascii="宋体" w:hAnsi="宋体" w:cs="宋体"/>
          <w:color w:val="auto"/>
          <w:sz w:val="24"/>
          <w:szCs w:val="24"/>
          <w:highlight w:val="none"/>
        </w:rPr>
      </w:pPr>
      <w:r>
        <w:rPr>
          <w:rFonts w:hint="eastAsia" w:ascii="宋体" w:hAnsi="宋体" w:cs="宋体"/>
          <w:color w:val="auto"/>
          <w:sz w:val="24"/>
          <w:szCs w:val="24"/>
          <w:highlight w:val="none"/>
        </w:rPr>
        <w:t xml:space="preserve">                                                竞标人（公章）：</w:t>
      </w:r>
    </w:p>
    <w:p>
      <w:pPr>
        <w:snapToGrid w:val="0"/>
        <w:spacing w:line="312"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年   月   日</w:t>
      </w:r>
    </w:p>
    <w:p>
      <w:pPr>
        <w:rPr>
          <w:rFonts w:ascii="宋体" w:hAnsi="宋体" w:cs="宋体"/>
          <w:color w:val="auto"/>
          <w:sz w:val="24"/>
          <w:szCs w:val="24"/>
          <w:highlight w:val="none"/>
        </w:rPr>
      </w:pPr>
      <w:r>
        <w:rPr>
          <w:rFonts w:hint="eastAsia" w:ascii="宋体" w:hAnsi="宋体" w:cs="宋体"/>
          <w:color w:val="auto"/>
          <w:sz w:val="24"/>
          <w:szCs w:val="24"/>
          <w:highlight w:val="none"/>
        </w:rPr>
        <w:br w:type="page"/>
      </w:r>
    </w:p>
    <w:p>
      <w:pPr>
        <w:pStyle w:val="4"/>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二、服务部分</w:t>
      </w:r>
      <w:bookmarkEnd w:id="74"/>
      <w:bookmarkEnd w:id="75"/>
      <w:bookmarkEnd w:id="76"/>
      <w:bookmarkEnd w:id="77"/>
    </w:p>
    <w:p>
      <w:pPr>
        <w:tabs>
          <w:tab w:val="left" w:pos="6300"/>
        </w:tabs>
        <w:snapToGrid w:val="0"/>
        <w:spacing w:line="500" w:lineRule="exact"/>
        <w:ind w:firstLine="570"/>
        <w:jc w:val="center"/>
        <w:rPr>
          <w:rFonts w:ascii="宋体" w:hAnsi="宋体" w:cs="宋体"/>
          <w:color w:val="auto"/>
          <w:sz w:val="24"/>
          <w:szCs w:val="24"/>
          <w:highlight w:val="none"/>
        </w:rPr>
      </w:pPr>
      <w:r>
        <w:rPr>
          <w:rFonts w:hint="eastAsia" w:ascii="宋体" w:hAnsi="宋体" w:cs="宋体"/>
          <w:color w:val="auto"/>
          <w:sz w:val="24"/>
          <w:szCs w:val="24"/>
          <w:highlight w:val="none"/>
        </w:rPr>
        <w:t>（一）服务方案（格式自定）</w:t>
      </w:r>
      <w:r>
        <w:rPr>
          <w:rFonts w:hint="eastAsia" w:ascii="宋体" w:hAnsi="宋体" w:cs="宋体"/>
          <w:color w:val="auto"/>
          <w:szCs w:val="24"/>
          <w:highlight w:val="none"/>
        </w:rPr>
        <w:br w:type="page"/>
      </w:r>
      <w:r>
        <w:rPr>
          <w:rFonts w:hint="eastAsia" w:ascii="宋体" w:hAnsi="宋体" w:cs="宋体"/>
          <w:color w:val="auto"/>
          <w:sz w:val="24"/>
          <w:szCs w:val="24"/>
          <w:highlight w:val="none"/>
        </w:rPr>
        <w:t>（二）服务响应偏离表</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磋商项目名称：</w:t>
      </w:r>
    </w:p>
    <w:tbl>
      <w:tblPr>
        <w:tblStyle w:val="13"/>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序号</w:t>
            </w: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采购需求</w:t>
            </w: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响应情况</w:t>
            </w: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r>
              <w:rPr>
                <w:rFonts w:hint="eastAsia" w:ascii="宋体" w:hAnsi="宋体" w:cs="宋体"/>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658"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759"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c>
          <w:tcPr>
            <w:tcW w:w="2067" w:type="dxa"/>
            <w:noWrap/>
            <w:vAlign w:val="center"/>
          </w:tcPr>
          <w:p>
            <w:pPr>
              <w:tabs>
                <w:tab w:val="left" w:pos="6300"/>
              </w:tabs>
              <w:snapToGrid w:val="0"/>
              <w:spacing w:line="500" w:lineRule="exact"/>
              <w:jc w:val="center"/>
              <w:outlineLvl w:val="0"/>
              <w:rPr>
                <w:rFonts w:ascii="宋体" w:hAnsi="宋体" w:cs="宋体"/>
                <w:color w:val="auto"/>
                <w:sz w:val="21"/>
                <w:szCs w:val="21"/>
                <w:highlight w:val="none"/>
              </w:rPr>
            </w:pPr>
          </w:p>
        </w:tc>
      </w:tr>
    </w:tbl>
    <w:p>
      <w:pPr>
        <w:spacing w:line="500" w:lineRule="exact"/>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法定代表人和授权代表：</w:t>
      </w:r>
    </w:p>
    <w:p>
      <w:pPr>
        <w:spacing w:line="500" w:lineRule="exact"/>
        <w:rPr>
          <w:rFonts w:ascii="宋体" w:hAnsi="宋体" w:cs="宋体"/>
          <w:color w:val="auto"/>
          <w:sz w:val="24"/>
          <w:szCs w:val="28"/>
          <w:highlight w:val="none"/>
        </w:rPr>
      </w:pPr>
    </w:p>
    <w:p>
      <w:pPr>
        <w:spacing w:line="500" w:lineRule="exact"/>
        <w:ind w:firstLine="720" w:firstLineChars="30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szCs w:val="24"/>
          <w:highlight w:val="none"/>
        </w:rPr>
        <w:t>1</w:t>
      </w:r>
      <w:r>
        <w:rPr>
          <w:rFonts w:hint="eastAsia" w:ascii="宋体" w:hAnsi="宋体" w:cs="宋体"/>
          <w:color w:val="auto"/>
          <w:sz w:val="24"/>
          <w:highlight w:val="none"/>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3.该表可扩展</w:t>
      </w:r>
      <w:r>
        <w:rPr>
          <w:rFonts w:hint="eastAsia" w:ascii="宋体" w:hAnsi="宋体" w:cs="宋体"/>
          <w:color w:val="auto"/>
          <w:sz w:val="24"/>
          <w:szCs w:val="28"/>
          <w:highlight w:val="none"/>
        </w:rPr>
        <w:t>，并逐页签字或盖章</w:t>
      </w:r>
      <w:r>
        <w:rPr>
          <w:rFonts w:hint="eastAsia" w:ascii="宋体" w:hAnsi="宋体" w:cs="宋体"/>
          <w:color w:val="auto"/>
          <w:sz w:val="24"/>
          <w:highlight w:val="none"/>
        </w:rPr>
        <w:t>；</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4.可附相关支撑材料。（格式自定）</w:t>
      </w:r>
    </w:p>
    <w:p>
      <w:pPr>
        <w:pStyle w:val="4"/>
        <w:spacing w:line="360" w:lineRule="auto"/>
        <w:rPr>
          <w:rFonts w:ascii="宋体" w:hAnsi="宋体" w:cs="宋体"/>
          <w:color w:val="auto"/>
          <w:sz w:val="24"/>
          <w:szCs w:val="24"/>
          <w:highlight w:val="none"/>
        </w:rPr>
      </w:pPr>
      <w:r>
        <w:rPr>
          <w:rFonts w:hint="eastAsia" w:ascii="宋体" w:hAnsi="宋体" w:cs="宋体"/>
          <w:b w:val="0"/>
          <w:color w:val="auto"/>
          <w:highlight w:val="none"/>
        </w:rPr>
        <w:br w:type="page"/>
      </w:r>
      <w:bookmarkStart w:id="78" w:name="_Toc342913421"/>
      <w:bookmarkStart w:id="79" w:name="_Toc313888362"/>
      <w:bookmarkStart w:id="80" w:name="_Toc313008358"/>
      <w:bookmarkStart w:id="81" w:name="_Toc54279014"/>
      <w:r>
        <w:rPr>
          <w:rFonts w:hint="eastAsia" w:ascii="宋体" w:hAnsi="宋体" w:cs="宋体"/>
          <w:color w:val="auto"/>
          <w:sz w:val="24"/>
          <w:szCs w:val="24"/>
          <w:highlight w:val="none"/>
        </w:rPr>
        <w:t>三、商务部分</w:t>
      </w:r>
      <w:bookmarkEnd w:id="78"/>
      <w:bookmarkEnd w:id="79"/>
      <w:bookmarkEnd w:id="80"/>
      <w:bookmarkEnd w:id="81"/>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w:t>
      </w:r>
      <w:bookmarkStart w:id="82" w:name="_Toc283382459"/>
      <w:r>
        <w:rPr>
          <w:rFonts w:hint="eastAsia" w:ascii="宋体" w:hAnsi="宋体" w:cs="宋体"/>
          <w:color w:val="auto"/>
          <w:sz w:val="24"/>
          <w:szCs w:val="24"/>
          <w:highlight w:val="none"/>
        </w:rPr>
        <w:t>）商务响应偏离表</w:t>
      </w:r>
    </w:p>
    <w:p>
      <w:pPr>
        <w:snapToGrid w:val="0"/>
        <w:spacing w:line="360" w:lineRule="auto"/>
        <w:jc w:val="center"/>
        <w:rPr>
          <w:rFonts w:ascii="宋体" w:hAnsi="宋体" w:cs="宋体"/>
          <w:b/>
          <w:color w:val="auto"/>
          <w:szCs w:val="28"/>
          <w:highlight w:val="none"/>
        </w:rPr>
      </w:pPr>
      <w:r>
        <w:rPr>
          <w:rFonts w:hint="eastAsia" w:ascii="宋体" w:hAnsi="宋体" w:cs="宋体"/>
          <w:b/>
          <w:color w:val="auto"/>
          <w:szCs w:val="28"/>
          <w:highlight w:val="none"/>
        </w:rPr>
        <w:t>商务响应偏离表</w:t>
      </w:r>
    </w:p>
    <w:p>
      <w:pPr>
        <w:spacing w:line="40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项目号：                                磋商项目编号：</w:t>
      </w:r>
    </w:p>
    <w:p>
      <w:pPr>
        <w:snapToGrid w:val="0"/>
        <w:spacing w:line="400" w:lineRule="exact"/>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 xml:space="preserve">磋商项目名称： </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color w:val="auto"/>
                <w:sz w:val="21"/>
                <w:szCs w:val="24"/>
                <w:highlight w:val="none"/>
              </w:rPr>
            </w:pPr>
            <w:r>
              <w:rPr>
                <w:rFonts w:hint="eastAsia" w:ascii="宋体" w:hAnsi="宋体" w:cs="宋体"/>
                <w:color w:val="auto"/>
                <w:sz w:val="21"/>
                <w:szCs w:val="24"/>
                <w:highlight w:val="none"/>
              </w:rPr>
              <w:t>序号</w:t>
            </w: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宋体" w:hAnsi="宋体" w:cs="宋体"/>
                <w:color w:val="auto"/>
                <w:sz w:val="21"/>
                <w:szCs w:val="24"/>
                <w:highlight w:val="none"/>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宋体" w:hAnsi="宋体" w:cs="宋体"/>
                <w:color w:val="auto"/>
                <w:sz w:val="21"/>
                <w:szCs w:val="24"/>
                <w:highlight w:val="none"/>
              </w:rPr>
              <w:t>响应情况</w:t>
            </w: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r>
              <w:rPr>
                <w:rFonts w:hint="eastAsia" w:ascii="宋体" w:hAnsi="宋体" w:cs="宋体"/>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3179"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434"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c>
          <w:tcPr>
            <w:tcW w:w="2355" w:type="dxa"/>
            <w:noWrap/>
            <w:vAlign w:val="center"/>
          </w:tcPr>
          <w:p>
            <w:pPr>
              <w:tabs>
                <w:tab w:val="left" w:pos="6300"/>
              </w:tabs>
              <w:snapToGrid w:val="0"/>
              <w:spacing w:line="360" w:lineRule="auto"/>
              <w:jc w:val="center"/>
              <w:outlineLvl w:val="0"/>
              <w:rPr>
                <w:rFonts w:ascii="宋体" w:hAnsi="宋体" w:cs="宋体"/>
                <w:color w:val="auto"/>
                <w:sz w:val="21"/>
                <w:szCs w:val="24"/>
                <w:highlight w:val="none"/>
              </w:rPr>
            </w:pPr>
          </w:p>
        </w:tc>
      </w:tr>
    </w:tbl>
    <w:p>
      <w:pPr>
        <w:snapToGrid w:val="0"/>
        <w:spacing w:line="360" w:lineRule="auto"/>
        <w:ind w:firstLine="465"/>
        <w:rPr>
          <w:rFonts w:ascii="宋体" w:hAnsi="宋体" w:cs="宋体"/>
          <w:color w:val="auto"/>
          <w:sz w:val="24"/>
          <w:szCs w:val="24"/>
          <w:highlight w:val="none"/>
        </w:rPr>
      </w:pPr>
    </w:p>
    <w:p>
      <w:pPr>
        <w:spacing w:line="500" w:lineRule="exact"/>
        <w:ind w:firstLine="600" w:firstLineChars="250"/>
        <w:rPr>
          <w:rFonts w:ascii="宋体" w:hAnsi="宋体" w:cs="宋体"/>
          <w:color w:val="auto"/>
          <w:sz w:val="24"/>
          <w:szCs w:val="28"/>
          <w:highlight w:val="none"/>
        </w:rPr>
      </w:pPr>
      <w:r>
        <w:rPr>
          <w:rFonts w:hint="eastAsia" w:ascii="宋体" w:hAnsi="宋体" w:cs="宋体"/>
          <w:color w:val="auto"/>
          <w:sz w:val="24"/>
          <w:szCs w:val="28"/>
          <w:highlight w:val="none"/>
        </w:rPr>
        <w:t>供应商：                                      法定代表人和授权代表：</w:t>
      </w:r>
    </w:p>
    <w:p>
      <w:pPr>
        <w:spacing w:line="500" w:lineRule="exact"/>
        <w:rPr>
          <w:rFonts w:ascii="宋体" w:hAnsi="宋体" w:cs="宋体"/>
          <w:color w:val="auto"/>
          <w:sz w:val="24"/>
          <w:szCs w:val="28"/>
          <w:highlight w:val="none"/>
        </w:rPr>
      </w:pPr>
    </w:p>
    <w:p>
      <w:pPr>
        <w:spacing w:line="500" w:lineRule="exact"/>
        <w:ind w:firstLine="360" w:firstLineChars="150"/>
        <w:rPr>
          <w:rFonts w:ascii="宋体" w:hAnsi="宋体" w:cs="宋体"/>
          <w:color w:val="auto"/>
          <w:sz w:val="24"/>
          <w:szCs w:val="28"/>
          <w:highlight w:val="none"/>
        </w:rPr>
      </w:pPr>
      <w:r>
        <w:rPr>
          <w:rFonts w:hint="eastAsia" w:ascii="宋体" w:hAnsi="宋体" w:cs="宋体"/>
          <w:color w:val="auto"/>
          <w:sz w:val="24"/>
          <w:szCs w:val="28"/>
          <w:highlight w:val="none"/>
        </w:rPr>
        <w:t>（供应商公章）                                 （签字或盖章）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szCs w:val="28"/>
          <w:highlight w:val="none"/>
        </w:rPr>
        <w:t xml:space="preserve">                                            年     月     日</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szCs w:val="24"/>
          <w:highlight w:val="none"/>
        </w:rPr>
        <w:t>1</w:t>
      </w:r>
      <w:r>
        <w:rPr>
          <w:rFonts w:hint="eastAsia" w:ascii="宋体" w:hAnsi="宋体" w:cs="宋体"/>
          <w:color w:val="auto"/>
          <w:sz w:val="24"/>
          <w:highlight w:val="none"/>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3.该表可扩展</w:t>
      </w:r>
      <w:r>
        <w:rPr>
          <w:rFonts w:hint="eastAsia" w:ascii="宋体" w:hAnsi="宋体" w:cs="宋体"/>
          <w:color w:val="auto"/>
          <w:sz w:val="24"/>
          <w:szCs w:val="28"/>
          <w:highlight w:val="none"/>
        </w:rPr>
        <w:t>，并逐页签字或盖章</w:t>
      </w:r>
      <w:r>
        <w:rPr>
          <w:rFonts w:hint="eastAsia" w:ascii="宋体" w:hAnsi="宋体" w:cs="宋体"/>
          <w:color w:val="auto"/>
          <w:sz w:val="24"/>
          <w:highlight w:val="none"/>
        </w:rPr>
        <w:t>。</w:t>
      </w:r>
    </w:p>
    <w:p>
      <w:pPr>
        <w:spacing w:line="360" w:lineRule="auto"/>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（二）其它优惠承诺（格式自定）</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（三）根据商务部分评分细则自行准备资料。</w:t>
      </w:r>
    </w:p>
    <w:p>
      <w:pPr>
        <w:pStyle w:val="4"/>
        <w:spacing w:line="360" w:lineRule="auto"/>
        <w:rPr>
          <w:rFonts w:ascii="宋体" w:hAnsi="宋体" w:cs="宋体"/>
          <w:color w:val="auto"/>
          <w:highlight w:val="none"/>
        </w:rPr>
      </w:pPr>
      <w:r>
        <w:rPr>
          <w:rFonts w:hint="eastAsia" w:ascii="宋体" w:hAnsi="宋体" w:cs="宋体"/>
          <w:color w:val="auto"/>
          <w:sz w:val="24"/>
          <w:szCs w:val="24"/>
          <w:highlight w:val="none"/>
        </w:rPr>
        <w:br w:type="page"/>
      </w:r>
      <w:bookmarkEnd w:id="82"/>
      <w:bookmarkStart w:id="83" w:name="_Toc54279015"/>
      <w:bookmarkStart w:id="84" w:name="_Toc313008359"/>
      <w:bookmarkStart w:id="85" w:name="_Toc313888363"/>
      <w:bookmarkStart w:id="86" w:name="_Toc342913422"/>
      <w:r>
        <w:rPr>
          <w:rFonts w:hint="eastAsia" w:ascii="宋体" w:hAnsi="宋体" w:cs="宋体"/>
          <w:color w:val="auto"/>
          <w:sz w:val="24"/>
          <w:szCs w:val="24"/>
          <w:highlight w:val="none"/>
        </w:rPr>
        <w:t>四、资格条件及其他</w:t>
      </w:r>
      <w:bookmarkEnd w:id="83"/>
      <w:bookmarkEnd w:id="84"/>
      <w:bookmarkEnd w:id="85"/>
      <w:bookmarkEnd w:id="86"/>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tabs>
          <w:tab w:val="left" w:pos="6300"/>
        </w:tabs>
        <w:snapToGrid w:val="0"/>
        <w:spacing w:line="500" w:lineRule="exact"/>
        <w:ind w:firstLine="570"/>
        <w:rPr>
          <w:rFonts w:ascii="宋体" w:hAnsi="宋体" w:cs="宋体"/>
          <w:color w:val="auto"/>
          <w:highlight w:val="none"/>
        </w:rPr>
      </w:pPr>
    </w:p>
    <w:p>
      <w:pPr>
        <w:widowControl/>
        <w:ind w:firstLine="560" w:firstLineChars="200"/>
        <w:jc w:val="left"/>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（二）法定代表人身份证明书（格式）</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u w:val="single"/>
        </w:rPr>
      </w:pPr>
      <w:r>
        <w:rPr>
          <w:rFonts w:hint="eastAsia" w:ascii="宋体" w:hAnsi="宋体" w:cs="宋体"/>
          <w:color w:val="auto"/>
          <w:sz w:val="24"/>
          <w:highlight w:val="none"/>
        </w:rPr>
        <w:t>磋商项目名称：</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致：（采购人名称）：</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（法定代表人姓名）在（竞标人名称）任（职务名称）职务，是（竞标人名称）的法定代表人。</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特此证明。</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 xml:space="preserve">                                             （竞标人公章）</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 xml:space="preserve">                                             年   月   日</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（附：法定代表人身份证正反面复印件）</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highlight w:val="none"/>
        </w:rPr>
      </w:pPr>
      <w:r>
        <w:rPr>
          <w:rFonts w:hint="eastAsia" w:ascii="宋体" w:hAnsi="宋体" w:cs="宋体"/>
          <w:color w:val="auto"/>
          <w:highlight w:val="none"/>
        </w:rPr>
        <w:br w:type="column"/>
      </w:r>
      <w:r>
        <w:rPr>
          <w:rFonts w:hint="eastAsia" w:ascii="宋体" w:hAnsi="宋体" w:cs="宋体"/>
          <w:color w:val="auto"/>
          <w:sz w:val="24"/>
          <w:szCs w:val="24"/>
          <w:highlight w:val="none"/>
        </w:rPr>
        <w:t>（三）法定代表人授权委托书（格式）</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u w:val="single"/>
        </w:rPr>
      </w:pPr>
      <w:r>
        <w:rPr>
          <w:rFonts w:hint="eastAsia" w:ascii="宋体" w:hAnsi="宋体" w:cs="宋体"/>
          <w:color w:val="auto"/>
          <w:sz w:val="24"/>
          <w:szCs w:val="28"/>
          <w:highlight w:val="none"/>
        </w:rPr>
        <w:t>磋商项目名称</w:t>
      </w:r>
      <w:r>
        <w:rPr>
          <w:rFonts w:hint="eastAsia" w:ascii="宋体" w:hAnsi="宋体" w:cs="宋体"/>
          <w:color w:val="auto"/>
          <w:sz w:val="24"/>
          <w:highlight w:val="none"/>
        </w:rPr>
        <w:t>：</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致：（采购人名称）：</w:t>
      </w:r>
    </w:p>
    <w:p>
      <w:pPr>
        <w:tabs>
          <w:tab w:val="left" w:pos="6300"/>
        </w:tabs>
        <w:snapToGrid w:val="0"/>
        <w:spacing w:line="500" w:lineRule="exact"/>
        <w:ind w:firstLine="720" w:firstLineChars="300"/>
        <w:rPr>
          <w:rFonts w:ascii="宋体" w:hAnsi="宋体" w:cs="宋体"/>
          <w:color w:val="auto"/>
          <w:sz w:val="24"/>
          <w:highlight w:val="none"/>
        </w:rPr>
      </w:pPr>
      <w:r>
        <w:rPr>
          <w:rFonts w:hint="eastAsia" w:ascii="宋体" w:hAnsi="宋体" w:cs="宋体"/>
          <w:color w:val="auto"/>
          <w:sz w:val="24"/>
          <w:highlight w:val="none"/>
        </w:rPr>
        <w:t>（竞标人法定代表人名称）是（竞标人名称）的法定代表人，特授权（被授权人姓名、身份证号码）代表我单位全权办理上述项目的磋商、签约等具体工作，并签署全部有关文件、协议及合同。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我单位对被授权人的签字负全部责任。</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被授权人：                                 竞标人法定代表人：</w:t>
      </w:r>
    </w:p>
    <w:p>
      <w:pPr>
        <w:tabs>
          <w:tab w:val="left" w:pos="6300"/>
        </w:tabs>
        <w:snapToGrid w:val="0"/>
        <w:spacing w:line="500" w:lineRule="exact"/>
        <w:ind w:firstLine="570"/>
        <w:rPr>
          <w:rFonts w:ascii="宋体" w:hAnsi="宋体" w:cs="宋体"/>
          <w:color w:val="auto"/>
          <w:sz w:val="24"/>
          <w:szCs w:val="28"/>
          <w:highlight w:val="none"/>
        </w:rPr>
      </w:pPr>
      <w:r>
        <w:rPr>
          <w:rFonts w:hint="eastAsia" w:ascii="宋体" w:hAnsi="宋体" w:cs="宋体"/>
          <w:color w:val="auto"/>
          <w:sz w:val="24"/>
          <w:szCs w:val="28"/>
          <w:highlight w:val="none"/>
        </w:rPr>
        <w:t>（签字或盖章）                                （签字或盖章）</w:t>
      </w:r>
    </w:p>
    <w:p>
      <w:pPr>
        <w:tabs>
          <w:tab w:val="left" w:pos="6300"/>
        </w:tabs>
        <w:snapToGrid w:val="0"/>
        <w:spacing w:line="500" w:lineRule="exact"/>
        <w:ind w:firstLine="570"/>
        <w:rPr>
          <w:rFonts w:ascii="宋体" w:hAnsi="宋体" w:cs="宋体"/>
          <w:color w:val="auto"/>
          <w:sz w:val="24"/>
          <w:szCs w:val="28"/>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（附：被授权人身份证正反面复印件）</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right="480" w:firstLine="570"/>
        <w:jc w:val="right"/>
        <w:rPr>
          <w:rFonts w:ascii="宋体" w:hAnsi="宋体" w:cs="宋体"/>
          <w:color w:val="auto"/>
          <w:sz w:val="24"/>
          <w:highlight w:val="none"/>
        </w:rPr>
      </w:pPr>
      <w:r>
        <w:rPr>
          <w:rFonts w:hint="eastAsia" w:ascii="宋体" w:hAnsi="宋体" w:cs="宋体"/>
          <w:color w:val="auto"/>
          <w:sz w:val="24"/>
          <w:highlight w:val="none"/>
        </w:rPr>
        <w:t>（竞标人公章）</w:t>
      </w:r>
    </w:p>
    <w:p>
      <w:pPr>
        <w:tabs>
          <w:tab w:val="left" w:pos="6300"/>
        </w:tabs>
        <w:snapToGrid w:val="0"/>
        <w:spacing w:line="500" w:lineRule="exact"/>
        <w:ind w:right="480" w:firstLine="570"/>
        <w:jc w:val="right"/>
        <w:rPr>
          <w:rFonts w:ascii="宋体" w:hAnsi="宋体" w:cs="宋体"/>
          <w:color w:val="auto"/>
          <w:sz w:val="24"/>
          <w:highlight w:val="none"/>
        </w:rPr>
      </w:pPr>
      <w:r>
        <w:rPr>
          <w:rFonts w:hint="eastAsia" w:ascii="宋体" w:hAnsi="宋体" w:cs="宋体"/>
          <w:color w:val="auto"/>
          <w:sz w:val="24"/>
          <w:highlight w:val="none"/>
        </w:rPr>
        <w:t>年   月   日</w:t>
      </w:r>
    </w:p>
    <w:p>
      <w:pPr>
        <w:tabs>
          <w:tab w:val="left" w:pos="6300"/>
        </w:tabs>
        <w:snapToGrid w:val="0"/>
        <w:spacing w:line="500" w:lineRule="exact"/>
        <w:ind w:right="480" w:firstLine="570"/>
        <w:jc w:val="right"/>
        <w:rPr>
          <w:rFonts w:ascii="宋体" w:hAnsi="宋体" w:cs="宋体"/>
          <w:color w:val="auto"/>
          <w:sz w:val="24"/>
          <w:highlight w:val="none"/>
        </w:rPr>
      </w:pPr>
    </w:p>
    <w:p>
      <w:pPr>
        <w:tabs>
          <w:tab w:val="left" w:pos="6300"/>
        </w:tabs>
        <w:snapToGrid w:val="0"/>
        <w:spacing w:line="500" w:lineRule="exact"/>
        <w:ind w:right="480" w:firstLine="570"/>
        <w:jc w:val="left"/>
        <w:rPr>
          <w:rFonts w:ascii="宋体" w:hAnsi="宋体" w:cs="宋体"/>
          <w:color w:val="auto"/>
          <w:sz w:val="24"/>
          <w:highlight w:val="none"/>
        </w:rPr>
      </w:pPr>
      <w:r>
        <w:rPr>
          <w:rFonts w:hint="eastAsia" w:ascii="宋体" w:hAnsi="宋体" w:cs="宋体"/>
          <w:color w:val="auto"/>
          <w:sz w:val="24"/>
          <w:highlight w:val="none"/>
        </w:rPr>
        <w:t>注：</w:t>
      </w:r>
    </w:p>
    <w:p>
      <w:pPr>
        <w:tabs>
          <w:tab w:val="left" w:pos="6300"/>
        </w:tabs>
        <w:snapToGrid w:val="0"/>
        <w:spacing w:line="500" w:lineRule="exact"/>
        <w:ind w:right="480" w:firstLine="570"/>
        <w:jc w:val="left"/>
        <w:rPr>
          <w:rFonts w:ascii="宋体" w:hAnsi="宋体" w:cs="宋体"/>
          <w:color w:val="auto"/>
          <w:sz w:val="24"/>
          <w:highlight w:val="none"/>
        </w:rPr>
      </w:pPr>
      <w:r>
        <w:rPr>
          <w:rFonts w:hint="eastAsia" w:ascii="宋体" w:hAnsi="宋体" w:cs="宋体"/>
          <w:color w:val="auto"/>
          <w:sz w:val="24"/>
          <w:highlight w:val="none"/>
        </w:rPr>
        <w:t>若为法定代表人办理并签署响应文件的，不提供此文件。</w:t>
      </w:r>
    </w:p>
    <w:p>
      <w:pPr>
        <w:tabs>
          <w:tab w:val="left" w:pos="6300"/>
        </w:tabs>
        <w:snapToGrid w:val="0"/>
        <w:spacing w:line="500" w:lineRule="exact"/>
        <w:ind w:firstLine="570"/>
        <w:rPr>
          <w:rFonts w:ascii="宋体" w:hAnsi="宋体" w:cs="宋体"/>
          <w:color w:val="auto"/>
          <w:sz w:val="24"/>
          <w:szCs w:val="22"/>
          <w:highlight w:val="none"/>
        </w:rPr>
      </w:pPr>
      <w:r>
        <w:rPr>
          <w:rFonts w:hint="eastAsia" w:ascii="宋体" w:hAnsi="宋体" w:cs="宋体"/>
          <w:color w:val="auto"/>
          <w:highlight w:val="none"/>
        </w:rPr>
        <w:br w:type="column"/>
      </w:r>
      <w:r>
        <w:rPr>
          <w:rFonts w:hint="eastAsia" w:ascii="宋体" w:hAnsi="宋体" w:cs="宋体"/>
          <w:color w:val="auto"/>
          <w:sz w:val="24"/>
          <w:szCs w:val="22"/>
          <w:highlight w:val="none"/>
        </w:rPr>
        <w:t>（四）2020年或2021年度财务状况报告（表）或其基本开户银行出具的资信证明复印件，本年度新成立或成立不满一年的组织和自然人无法提供财务状况报告（表）的，可提供银行出具的资信证明复印件。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3220" w:firstLineChars="1150"/>
        <w:rPr>
          <w:rFonts w:ascii="宋体" w:hAnsi="宋体" w:cs="宋体"/>
          <w:color w:val="auto"/>
          <w:sz w:val="24"/>
          <w:szCs w:val="24"/>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（五）书面声明</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u w:val="single"/>
        </w:rPr>
      </w:pPr>
      <w:r>
        <w:rPr>
          <w:rFonts w:hint="eastAsia" w:ascii="宋体" w:hAnsi="宋体" w:cs="宋体"/>
          <w:color w:val="auto"/>
          <w:sz w:val="24"/>
          <w:szCs w:val="28"/>
          <w:highlight w:val="none"/>
        </w:rPr>
        <w:t>磋商项目名称</w:t>
      </w:r>
      <w:r>
        <w:rPr>
          <w:rFonts w:hint="eastAsia" w:ascii="宋体" w:hAnsi="宋体" w:cs="宋体"/>
          <w:color w:val="auto"/>
          <w:sz w:val="24"/>
          <w:highlight w:val="none"/>
        </w:rPr>
        <w:t>：</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致：（采购人名称）：</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“重大税收违法案件当事人名单”、中，也未列入中国政府采购网（www.ccgp.gov.cn）“政府采购严重违法失信行为记录名单”中，并随时接受采购人的检查验证，我方对以上声明负全部法律责任。</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特此声明。</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供应商可以将信用中国网站及中国政府采购网查询结果附后（查询时间为本项目采购公告发布之日起至提交响应文件截止时间前）。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1. 信用中国网站（www.creditchina.gov.cn）查询结果（提供查询结果网页打印件或截图，并加盖供应商公章）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1.1“失信被执行人”查询结果；</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1.2“重大税收违法案件当事人名单”查询结果；</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2. 中国政府采购网（www.ccgp.gov.cn）（提供查询结果网页打印件或截图，并加盖供应商公章）</w:t>
      </w:r>
    </w:p>
    <w:p>
      <w:pPr>
        <w:tabs>
          <w:tab w:val="left" w:pos="6300"/>
        </w:tabs>
        <w:snapToGrid w:val="0"/>
        <w:spacing w:line="500" w:lineRule="exact"/>
        <w:ind w:firstLine="570"/>
        <w:rPr>
          <w:rFonts w:ascii="宋体" w:hAnsi="宋体" w:cs="宋体"/>
          <w:color w:val="auto"/>
          <w:sz w:val="24"/>
          <w:highlight w:val="none"/>
        </w:rPr>
      </w:pPr>
      <w:r>
        <w:rPr>
          <w:rFonts w:hint="eastAsia" w:ascii="宋体" w:hAnsi="宋体" w:cs="宋体"/>
          <w:color w:val="auto"/>
          <w:sz w:val="24"/>
          <w:highlight w:val="none"/>
        </w:rPr>
        <w:t>“政府采购严重违法失信行为记录名单”查询结果。</w:t>
      </w:r>
    </w:p>
    <w:p>
      <w:pPr>
        <w:tabs>
          <w:tab w:val="left" w:pos="6300"/>
        </w:tabs>
        <w:snapToGrid w:val="0"/>
        <w:spacing w:line="500" w:lineRule="exact"/>
        <w:ind w:firstLine="570"/>
        <w:rPr>
          <w:rFonts w:ascii="宋体" w:hAnsi="宋体" w:cs="宋体"/>
          <w:color w:val="auto"/>
          <w:sz w:val="24"/>
          <w:highlight w:val="none"/>
        </w:rPr>
      </w:pPr>
    </w:p>
    <w:p>
      <w:pPr>
        <w:tabs>
          <w:tab w:val="left" w:pos="6300"/>
        </w:tabs>
        <w:snapToGrid w:val="0"/>
        <w:spacing w:line="500" w:lineRule="exact"/>
        <w:ind w:right="424" w:firstLine="570"/>
        <w:jc w:val="right"/>
        <w:rPr>
          <w:rFonts w:ascii="宋体" w:hAnsi="宋体" w:cs="宋体"/>
          <w:color w:val="auto"/>
          <w:sz w:val="24"/>
          <w:highlight w:val="none"/>
        </w:rPr>
      </w:pPr>
      <w:r>
        <w:rPr>
          <w:rFonts w:hint="eastAsia" w:ascii="宋体" w:hAnsi="宋体" w:cs="宋体"/>
          <w:color w:val="auto"/>
          <w:sz w:val="24"/>
          <w:highlight w:val="none"/>
        </w:rPr>
        <w:t>（供应商公章）</w:t>
      </w:r>
    </w:p>
    <w:p>
      <w:pPr>
        <w:tabs>
          <w:tab w:val="left" w:pos="6300"/>
        </w:tabs>
        <w:snapToGrid w:val="0"/>
        <w:spacing w:line="500" w:lineRule="exact"/>
        <w:ind w:right="480" w:firstLine="570"/>
        <w:jc w:val="right"/>
        <w:rPr>
          <w:rFonts w:ascii="宋体" w:hAnsi="宋体" w:cs="宋体"/>
          <w:color w:val="auto"/>
          <w:sz w:val="24"/>
          <w:highlight w:val="none"/>
        </w:rPr>
      </w:pPr>
      <w:r>
        <w:rPr>
          <w:rFonts w:hint="eastAsia" w:ascii="宋体" w:hAnsi="宋体" w:cs="宋体"/>
          <w:color w:val="auto"/>
          <w:sz w:val="24"/>
          <w:highlight w:val="none"/>
        </w:rPr>
        <w:t>年   月   日</w:t>
      </w:r>
    </w:p>
    <w:p>
      <w:pPr>
        <w:tabs>
          <w:tab w:val="left" w:pos="6300"/>
        </w:tabs>
        <w:snapToGrid w:val="0"/>
        <w:spacing w:line="500" w:lineRule="exact"/>
        <w:ind w:right="1680"/>
        <w:rPr>
          <w:rFonts w:ascii="宋体" w:hAnsi="宋体" w:cs="宋体"/>
          <w:color w:val="auto"/>
          <w:sz w:val="24"/>
          <w:highlight w:val="none"/>
        </w:rPr>
      </w:pPr>
    </w:p>
    <w:p>
      <w:pPr>
        <w:tabs>
          <w:tab w:val="left" w:pos="6300"/>
        </w:tabs>
        <w:snapToGrid w:val="0"/>
        <w:spacing w:line="500" w:lineRule="exact"/>
        <w:ind w:firstLine="570"/>
        <w:rPr>
          <w:rFonts w:ascii="宋体" w:hAnsi="宋体" w:cs="宋体"/>
          <w:color w:val="auto"/>
          <w:sz w:val="24"/>
          <w:szCs w:val="22"/>
          <w:highlight w:val="none"/>
        </w:rPr>
      </w:pPr>
      <w:r>
        <w:rPr>
          <w:rFonts w:hint="eastAsia" w:ascii="宋体" w:hAnsi="宋体" w:cs="宋体"/>
          <w:color w:val="auto"/>
          <w:highlight w:val="none"/>
        </w:rPr>
        <w:br w:type="page"/>
      </w:r>
      <w:r>
        <w:rPr>
          <w:rFonts w:hint="eastAsia" w:ascii="宋体" w:hAnsi="宋体" w:cs="宋体"/>
          <w:color w:val="auto"/>
          <w:sz w:val="24"/>
          <w:szCs w:val="22"/>
          <w:highlight w:val="none"/>
        </w:rPr>
        <w:t>（六）税务登记证（副本）复印件和社会保险缴纳证明材料</w:t>
      </w:r>
    </w:p>
    <w:p>
      <w:pPr>
        <w:tabs>
          <w:tab w:val="left" w:pos="6300"/>
        </w:tabs>
        <w:snapToGrid w:val="0"/>
        <w:spacing w:line="500" w:lineRule="exact"/>
        <w:ind w:firstLine="570"/>
        <w:rPr>
          <w:rFonts w:ascii="宋体" w:hAnsi="宋体" w:cs="宋体"/>
          <w:color w:val="auto"/>
          <w:sz w:val="24"/>
          <w:szCs w:val="22"/>
          <w:highlight w:val="none"/>
        </w:rPr>
      </w:pPr>
      <w:r>
        <w:rPr>
          <w:rFonts w:hint="eastAsia" w:ascii="宋体" w:hAnsi="宋体" w:cs="宋体"/>
          <w:color w:val="auto"/>
          <w:sz w:val="24"/>
          <w:szCs w:val="22"/>
          <w:highlight w:val="none"/>
        </w:rPr>
        <w:t>（七）特定资格条件证书或证明文件</w:t>
      </w:r>
    </w:p>
    <w:p>
      <w:pPr>
        <w:tabs>
          <w:tab w:val="left" w:pos="6300"/>
        </w:tabs>
        <w:snapToGrid w:val="0"/>
        <w:spacing w:line="500" w:lineRule="exact"/>
        <w:ind w:firstLine="570"/>
        <w:rPr>
          <w:rFonts w:ascii="宋体" w:hAnsi="宋体" w:cs="宋体"/>
          <w:color w:val="auto"/>
          <w:highlight w:val="none"/>
        </w:rPr>
      </w:pPr>
      <w:r>
        <w:rPr>
          <w:rFonts w:hint="eastAsia" w:ascii="宋体" w:hAnsi="宋体" w:cs="宋体"/>
          <w:color w:val="auto"/>
          <w:sz w:val="24"/>
          <w:szCs w:val="22"/>
          <w:highlight w:val="none"/>
        </w:rPr>
        <w:t>说明：供应商按“多证合一”登记制度办理营业执照的，税务登记证（副本）和社会保险登记证以供应商所提供的营业执照（副本）复印件为准。</w:t>
      </w:r>
    </w:p>
    <w:p>
      <w:pPr>
        <w:pStyle w:val="4"/>
        <w:spacing w:line="360" w:lineRule="auto"/>
        <w:rPr>
          <w:rFonts w:ascii="宋体" w:hAnsi="宋体" w:cs="宋体"/>
          <w:color w:val="auto"/>
          <w:sz w:val="24"/>
          <w:szCs w:val="24"/>
          <w:highlight w:val="none"/>
        </w:rPr>
      </w:pPr>
      <w:bookmarkStart w:id="87" w:name="_Toc14422"/>
      <w:r>
        <w:rPr>
          <w:rFonts w:hint="eastAsia" w:ascii="宋体" w:hAnsi="宋体" w:cs="宋体"/>
          <w:b w:val="0"/>
          <w:color w:val="auto"/>
          <w:sz w:val="28"/>
          <w:highlight w:val="none"/>
        </w:rPr>
        <w:br w:type="page"/>
      </w:r>
      <w:bookmarkStart w:id="88" w:name="_Toc54279016"/>
      <w:r>
        <w:rPr>
          <w:rFonts w:hint="eastAsia" w:ascii="宋体" w:hAnsi="宋体" w:cs="宋体"/>
          <w:color w:val="auto"/>
          <w:sz w:val="24"/>
          <w:szCs w:val="24"/>
          <w:highlight w:val="none"/>
        </w:rPr>
        <w:t>五、其他资料</w:t>
      </w:r>
      <w:bookmarkEnd w:id="87"/>
      <w:bookmarkEnd w:id="88"/>
    </w:p>
    <w:p>
      <w:pPr>
        <w:tabs>
          <w:tab w:val="left" w:pos="6300"/>
        </w:tabs>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（一）中小微企业声明函、监狱企业证明文件、残疾人福利性单位声明函</w:t>
      </w:r>
    </w:p>
    <w:p>
      <w:pPr>
        <w:tabs>
          <w:tab w:val="left" w:pos="6300"/>
        </w:tabs>
        <w:snapToGrid w:val="0"/>
        <w:spacing w:line="360" w:lineRule="auto"/>
        <w:ind w:firstLine="561"/>
        <w:rPr>
          <w:rFonts w:ascii="宋体" w:hAnsi="宋体" w:cs="宋体"/>
          <w:color w:val="auto"/>
          <w:sz w:val="24"/>
          <w:szCs w:val="24"/>
          <w:highlight w:val="none"/>
        </w:rPr>
      </w:pPr>
      <w:r>
        <w:rPr>
          <w:rFonts w:hint="eastAsia" w:ascii="宋体" w:hAnsi="宋体" w:cs="宋体"/>
          <w:color w:val="auto"/>
          <w:sz w:val="24"/>
          <w:szCs w:val="24"/>
          <w:highlight w:val="none"/>
        </w:rPr>
        <w:t>1.竞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561"/>
        <w:rPr>
          <w:rFonts w:ascii="宋体" w:hAnsi="宋体" w:cs="宋体"/>
          <w:color w:val="auto"/>
          <w:szCs w:val="28"/>
          <w:highlight w:val="none"/>
        </w:rPr>
      </w:pPr>
      <w:r>
        <w:rPr>
          <w:rFonts w:hint="eastAsia" w:ascii="宋体" w:hAnsi="宋体" w:cs="宋体"/>
          <w:color w:val="auto"/>
          <w:sz w:val="24"/>
          <w:szCs w:val="24"/>
          <w:highlight w:val="none"/>
        </w:rPr>
        <w:t>2.若竞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tabs>
          <w:tab w:val="left" w:pos="6300"/>
        </w:tabs>
        <w:snapToGrid w:val="0"/>
        <w:spacing w:line="360" w:lineRule="auto"/>
        <w:rPr>
          <w:rFonts w:ascii="宋体" w:hAnsi="宋体" w:cs="宋体"/>
          <w:color w:val="auto"/>
          <w:sz w:val="24"/>
          <w:szCs w:val="24"/>
          <w:highlight w:val="none"/>
        </w:rPr>
      </w:pPr>
    </w:p>
    <w:p>
      <w:pPr>
        <w:spacing w:line="540" w:lineRule="exact"/>
        <w:jc w:val="center"/>
        <w:rPr>
          <w:rFonts w:ascii="黑体" w:hAnsi="黑体" w:eastAsia="黑体"/>
          <w:color w:val="auto"/>
          <w:sz w:val="30"/>
          <w:szCs w:val="30"/>
          <w:highlight w:val="none"/>
        </w:rPr>
      </w:pPr>
      <w:r>
        <w:rPr>
          <w:rFonts w:hint="eastAsia" w:ascii="黑体" w:hAnsi="黑体" w:eastAsia="黑体"/>
          <w:color w:val="auto"/>
          <w:sz w:val="30"/>
          <w:szCs w:val="30"/>
          <w:highlight w:val="none"/>
        </w:rPr>
        <w:t xml:space="preserve">中小企业声明函 </w:t>
      </w:r>
    </w:p>
    <w:p>
      <w:pPr>
        <w:spacing w:line="540" w:lineRule="exact"/>
        <w:jc w:val="center"/>
        <w:rPr>
          <w:rFonts w:ascii="黑体" w:hAnsi="黑体" w:eastAsia="黑体"/>
          <w:color w:val="auto"/>
          <w:sz w:val="30"/>
          <w:szCs w:val="30"/>
          <w:highlight w:val="none"/>
        </w:rPr>
      </w:pP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本公司(联合体)郑重声明,根据《政府采购促进中小企业发展管理办法》(财库(2020)46号)的规定,本公司(联合体)参加</w:t>
      </w:r>
      <w:r>
        <w:rPr>
          <w:rFonts w:hint="eastAsia" w:ascii="方正仿宋_GBK" w:eastAsia="方正仿宋_GBK"/>
          <w:color w:val="auto"/>
          <w:sz w:val="24"/>
          <w:szCs w:val="24"/>
          <w:highlight w:val="none"/>
          <w:u w:val="single"/>
        </w:rPr>
        <w:t>(单位名称)</w:t>
      </w:r>
      <w:r>
        <w:rPr>
          <w:rFonts w:hint="eastAsia" w:ascii="方正仿宋_GBK" w:eastAsia="方正仿宋_GBK"/>
          <w:color w:val="auto"/>
          <w:sz w:val="24"/>
          <w:szCs w:val="24"/>
          <w:highlight w:val="none"/>
        </w:rPr>
        <w:t>的</w:t>
      </w:r>
      <w:r>
        <w:rPr>
          <w:rFonts w:hint="eastAsia" w:ascii="方正仿宋_GBK" w:eastAsia="方正仿宋_GBK"/>
          <w:color w:val="auto"/>
          <w:sz w:val="24"/>
          <w:szCs w:val="24"/>
          <w:highlight w:val="none"/>
          <w:u w:val="single"/>
        </w:rPr>
        <w:t>(项目名称)</w:t>
      </w:r>
      <w:r>
        <w:rPr>
          <w:rFonts w:hint="eastAsia" w:ascii="方正仿宋_GBK" w:eastAsia="方正仿宋_GBK"/>
          <w:color w:val="auto"/>
          <w:sz w:val="24"/>
          <w:szCs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1.</w:t>
      </w:r>
      <w:r>
        <w:rPr>
          <w:rFonts w:hint="eastAsia" w:ascii="方正仿宋_GBK" w:eastAsia="方正仿宋_GBK"/>
          <w:color w:val="auto"/>
          <w:sz w:val="24"/>
          <w:szCs w:val="24"/>
          <w:highlight w:val="none"/>
          <w:u w:val="single"/>
        </w:rPr>
        <w:t>(标的名称)</w:t>
      </w:r>
      <w:r>
        <w:rPr>
          <w:rFonts w:hint="eastAsia" w:ascii="方正仿宋_GBK" w:eastAsia="方正仿宋_GBK"/>
          <w:color w:val="auto"/>
          <w:sz w:val="24"/>
          <w:szCs w:val="24"/>
          <w:highlight w:val="none"/>
        </w:rPr>
        <w:t>,属于</w:t>
      </w:r>
      <w:r>
        <w:rPr>
          <w:rFonts w:hint="eastAsia" w:ascii="方正仿宋_GBK" w:eastAsia="方正仿宋_GBK"/>
          <w:color w:val="auto"/>
          <w:sz w:val="24"/>
          <w:szCs w:val="24"/>
          <w:highlight w:val="none"/>
          <w:u w:val="single"/>
        </w:rPr>
        <w:t>(采购文件中明确的所属行业</w:t>
      </w:r>
      <w:r>
        <w:rPr>
          <w:rFonts w:hint="eastAsia" w:ascii="方正仿宋_GBK" w:eastAsia="方正仿宋_GBK"/>
          <w:color w:val="auto"/>
          <w:sz w:val="24"/>
          <w:szCs w:val="24"/>
          <w:highlight w:val="none"/>
        </w:rPr>
        <w:t>)承建(承接)企业为（</w:t>
      </w:r>
      <w:r>
        <w:rPr>
          <w:rFonts w:hint="eastAsia" w:ascii="方正仿宋_GBK" w:eastAsia="方正仿宋_GBK"/>
          <w:color w:val="auto"/>
          <w:sz w:val="24"/>
          <w:szCs w:val="24"/>
          <w:highlight w:val="none"/>
          <w:u w:val="single"/>
        </w:rPr>
        <w:t>企业名称),</w:t>
      </w:r>
      <w:r>
        <w:rPr>
          <w:rFonts w:hint="eastAsia" w:ascii="方正仿宋_GBK" w:eastAsia="方正仿宋_GBK"/>
          <w:color w:val="auto"/>
          <w:sz w:val="24"/>
          <w:szCs w:val="24"/>
          <w:highlight w:val="none"/>
        </w:rPr>
        <w:t>从业人员人,营业收入为万元,资产总额为万元,属于(</w:t>
      </w:r>
      <w:r>
        <w:rPr>
          <w:rFonts w:hint="eastAsia" w:ascii="方正仿宋_GBK" w:eastAsia="方正仿宋_GBK"/>
          <w:color w:val="auto"/>
          <w:sz w:val="24"/>
          <w:szCs w:val="24"/>
          <w:highlight w:val="none"/>
          <w:u w:val="single"/>
        </w:rPr>
        <w:t>中型企业,小型企业,微型企业</w:t>
      </w:r>
      <w:r>
        <w:rPr>
          <w:rFonts w:hint="eastAsia" w:ascii="方正仿宋_GBK" w:eastAsia="方正仿宋_GBK"/>
          <w:color w:val="auto"/>
          <w:sz w:val="24"/>
          <w:szCs w:val="24"/>
          <w:highlight w:val="none"/>
        </w:rPr>
        <w:t>)</w:t>
      </w: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2.</w:t>
      </w:r>
      <w:r>
        <w:rPr>
          <w:rFonts w:hint="eastAsia" w:ascii="方正仿宋_GBK" w:eastAsia="方正仿宋_GBK"/>
          <w:color w:val="auto"/>
          <w:sz w:val="24"/>
          <w:szCs w:val="24"/>
          <w:highlight w:val="none"/>
          <w:u w:val="single"/>
        </w:rPr>
        <w:t>(标的名称)</w:t>
      </w:r>
      <w:r>
        <w:rPr>
          <w:rFonts w:hint="eastAsia" w:ascii="方正仿宋_GBK" w:eastAsia="方正仿宋_GBK"/>
          <w:color w:val="auto"/>
          <w:sz w:val="24"/>
          <w:szCs w:val="24"/>
          <w:highlight w:val="none"/>
        </w:rPr>
        <w:t>,属于</w:t>
      </w:r>
      <w:r>
        <w:rPr>
          <w:rFonts w:hint="eastAsia" w:ascii="方正仿宋_GBK" w:eastAsia="方正仿宋_GBK"/>
          <w:color w:val="auto"/>
          <w:sz w:val="24"/>
          <w:szCs w:val="24"/>
          <w:highlight w:val="none"/>
          <w:u w:val="single"/>
        </w:rPr>
        <w:t>(采购文件中明确的所属行业)；</w:t>
      </w:r>
      <w:r>
        <w:rPr>
          <w:rFonts w:hint="eastAsia" w:ascii="方正仿宋_GBK" w:eastAsia="方正仿宋_GBK"/>
          <w:color w:val="auto"/>
          <w:sz w:val="24"/>
          <w:szCs w:val="24"/>
          <w:highlight w:val="none"/>
        </w:rPr>
        <w:t>承建(承接)企业为</w:t>
      </w:r>
      <w:r>
        <w:rPr>
          <w:rFonts w:hint="eastAsia" w:ascii="方正仿宋_GBK" w:eastAsia="方正仿宋_GBK"/>
          <w:color w:val="auto"/>
          <w:sz w:val="24"/>
          <w:szCs w:val="24"/>
          <w:highlight w:val="none"/>
          <w:u w:val="single"/>
        </w:rPr>
        <w:t>（企业名称)</w:t>
      </w:r>
      <w:r>
        <w:rPr>
          <w:rFonts w:hint="eastAsia" w:ascii="方正仿宋_GBK" w:eastAsia="方正仿宋_GBK"/>
          <w:color w:val="auto"/>
          <w:sz w:val="24"/>
          <w:szCs w:val="24"/>
          <w:highlight w:val="none"/>
        </w:rPr>
        <w:t>,从业人员人,营业收入为万元,资产总额为万元,属于(</w:t>
      </w:r>
      <w:r>
        <w:rPr>
          <w:rFonts w:hint="eastAsia" w:ascii="方正仿宋_GBK" w:eastAsia="方正仿宋_GBK"/>
          <w:color w:val="auto"/>
          <w:sz w:val="24"/>
          <w:szCs w:val="24"/>
          <w:highlight w:val="none"/>
          <w:u w:val="single"/>
        </w:rPr>
        <w:t>中型企业小型企业、微型企业</w:t>
      </w:r>
      <w:r>
        <w:rPr>
          <w:rFonts w:hint="eastAsia" w:ascii="方正仿宋_GBK" w:eastAsia="方正仿宋_GBK"/>
          <w:color w:val="auto"/>
          <w:sz w:val="24"/>
          <w:szCs w:val="24"/>
          <w:highlight w:val="none"/>
        </w:rPr>
        <w:t>)</w:t>
      </w:r>
    </w:p>
    <w:p>
      <w:pPr>
        <w:spacing w:line="540" w:lineRule="exact"/>
        <w:ind w:firstLine="480" w:firstLineChars="200"/>
        <w:rPr>
          <w:rFonts w:ascii="方正仿宋_GBK" w:eastAsia="方正仿宋_GBK"/>
          <w:color w:val="auto"/>
          <w:sz w:val="24"/>
          <w:szCs w:val="24"/>
          <w:highlight w:val="none"/>
        </w:rPr>
      </w:pPr>
      <w:r>
        <w:rPr>
          <w:rFonts w:ascii="方正仿宋_GBK" w:eastAsia="方正仿宋_GBK"/>
          <w:color w:val="auto"/>
          <w:sz w:val="24"/>
          <w:szCs w:val="24"/>
          <w:highlight w:val="none"/>
        </w:rPr>
        <w:t>……</w:t>
      </w: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以上企业,不属于大企业的分支机构,不存在控股殷东为大企业的情形,也不存在与大企业的负责人为同一人的情形。</w:t>
      </w: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本企业对上述声明内容的真实性负责。如有虚假,将依法承担相应责任</w:t>
      </w:r>
    </w:p>
    <w:p>
      <w:pPr>
        <w:spacing w:line="540" w:lineRule="exact"/>
        <w:ind w:firstLine="3960" w:firstLineChars="1650"/>
        <w:rPr>
          <w:rFonts w:ascii="方正仿宋_GBK" w:eastAsia="方正仿宋_GBK"/>
          <w:color w:val="auto"/>
          <w:sz w:val="24"/>
          <w:szCs w:val="24"/>
          <w:highlight w:val="none"/>
        </w:rPr>
      </w:pPr>
    </w:p>
    <w:p>
      <w:pPr>
        <w:spacing w:line="540" w:lineRule="exact"/>
        <w:ind w:firstLine="3960" w:firstLineChars="165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企业名称(盖章):</w:t>
      </w:r>
    </w:p>
    <w:p>
      <w:pPr>
        <w:spacing w:line="540" w:lineRule="exact"/>
        <w:ind w:firstLine="3960" w:firstLineChars="165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日期：</w:t>
      </w:r>
    </w:p>
    <w:p>
      <w:pPr>
        <w:spacing w:line="540" w:lineRule="exact"/>
        <w:ind w:firstLine="480" w:firstLineChars="200"/>
        <w:rPr>
          <w:rFonts w:ascii="方正仿宋_GBK" w:eastAsia="方正仿宋_GBK"/>
          <w:color w:val="auto"/>
          <w:sz w:val="24"/>
          <w:szCs w:val="24"/>
          <w:highlight w:val="none"/>
        </w:rPr>
      </w:pPr>
    </w:p>
    <w:p>
      <w:pPr>
        <w:spacing w:line="540" w:lineRule="exact"/>
        <w:ind w:firstLine="480" w:firstLineChars="200"/>
        <w:rPr>
          <w:rFonts w:ascii="方正仿宋_GBK" w:eastAsia="方正仿宋_GBK"/>
          <w:color w:val="auto"/>
          <w:sz w:val="24"/>
          <w:szCs w:val="24"/>
          <w:highlight w:val="none"/>
        </w:rPr>
      </w:pPr>
    </w:p>
    <w:p>
      <w:pPr>
        <w:spacing w:line="54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从业人员、背业收入，资产总额填报上一年度数据。无上一年度数据的新成立企业可不填报。</w:t>
      </w: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方正仿宋_GBK" w:hAnsi="宋体" w:eastAsia="方正仿宋_GBK"/>
          <w:color w:val="auto"/>
          <w:sz w:val="24"/>
          <w:szCs w:val="24"/>
          <w:highlight w:val="none"/>
        </w:rPr>
      </w:pPr>
    </w:p>
    <w:p>
      <w:pPr>
        <w:tabs>
          <w:tab w:val="left" w:pos="6300"/>
        </w:tabs>
        <w:snapToGrid w:val="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注：各行业划型标准：</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（十六）其他未列明行业。从业人员300人以下的为中小微型企业。其中，从业人员100人及以上的为中型企业；从业人员10人及以上的为小型企业；从业人员10人以下的为微型企业。</w:t>
      </w:r>
    </w:p>
    <w:p>
      <w:pPr>
        <w:spacing w:line="400" w:lineRule="exact"/>
        <w:ind w:left="-10"/>
        <w:rPr>
          <w:rFonts w:ascii="仿宋" w:hAnsi="仿宋" w:eastAsia="仿宋" w:cs="仿宋"/>
          <w:color w:val="auto"/>
          <w:sz w:val="24"/>
          <w:szCs w:val="24"/>
          <w:highlight w:val="none"/>
        </w:rPr>
      </w:pPr>
    </w:p>
    <w:p>
      <w:pPr>
        <w:tabs>
          <w:tab w:val="left" w:pos="6300"/>
        </w:tabs>
        <w:snapToGrid w:val="0"/>
        <w:spacing w:line="500" w:lineRule="exact"/>
        <w:ind w:firstLine="480" w:firstLineChars="200"/>
        <w:jc w:val="center"/>
        <w:rPr>
          <w:rFonts w:ascii="宋体" w:hAnsi="宋体" w:cs="宋体"/>
          <w:color w:val="auto"/>
          <w:highlight w:val="none"/>
        </w:rPr>
      </w:pPr>
      <w:r>
        <w:rPr>
          <w:rFonts w:hint="eastAsia" w:ascii="宋体" w:hAnsi="宋体" w:cs="宋体"/>
          <w:color w:val="auto"/>
          <w:sz w:val="24"/>
          <w:szCs w:val="24"/>
          <w:highlight w:val="none"/>
        </w:rPr>
        <w:br w:type="page"/>
      </w:r>
      <w:r>
        <w:rPr>
          <w:rFonts w:hint="eastAsia" w:ascii="宋体" w:hAnsi="宋体" w:cs="宋体"/>
          <w:color w:val="auto"/>
          <w:highlight w:val="none"/>
        </w:rPr>
        <w:t>监狱企业证明文件</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宋体" w:hAnsi="宋体" w:cs="宋体"/>
          <w:color w:val="auto"/>
          <w:highlight w:val="none"/>
        </w:rPr>
      </w:pPr>
      <w:r>
        <w:rPr>
          <w:rFonts w:hint="eastAsia" w:ascii="宋体" w:hAnsi="宋体" w:cs="宋体"/>
          <w:color w:val="auto"/>
          <w:sz w:val="24"/>
          <w:highlight w:val="none"/>
        </w:rPr>
        <w:br w:type="page"/>
      </w:r>
      <w:r>
        <w:rPr>
          <w:rFonts w:hint="eastAsia" w:ascii="宋体" w:hAnsi="宋体" w:cs="宋体"/>
          <w:color w:val="auto"/>
          <w:highlight w:val="none"/>
        </w:rPr>
        <w:t>残疾人福利性单位声明函</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rPr>
      </w:pPr>
    </w:p>
    <w:p>
      <w:pPr>
        <w:tabs>
          <w:tab w:val="left" w:pos="6300"/>
        </w:tabs>
        <w:snapToGrid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供应商名称（盖章）：</w:t>
      </w:r>
    </w:p>
    <w:p>
      <w:pPr>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日  期：</w:t>
      </w: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highlight w:val="none"/>
        </w:rPr>
      </w:pPr>
    </w:p>
    <w:p>
      <w:pPr>
        <w:snapToGrid w:val="0"/>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br w:type="page"/>
      </w:r>
      <w:r>
        <w:rPr>
          <w:rFonts w:hint="eastAsia" w:ascii="宋体" w:hAnsi="宋体" w:cs="宋体"/>
          <w:color w:val="auto"/>
          <w:sz w:val="24"/>
          <w:szCs w:val="24"/>
          <w:highlight w:val="none"/>
        </w:rPr>
        <w:t>（二）其他与项目有关的资料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其他与项目有关的资料（自附）：供应商总体情况介绍、其他与本项目有关的资料等。</w:t>
      </w: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460" w:lineRule="exact"/>
        <w:ind w:firstLine="840" w:firstLineChars="300"/>
        <w:rPr>
          <w:rFonts w:ascii="宋体" w:hAnsi="宋体" w:cs="宋体"/>
          <w:color w:val="auto"/>
          <w:szCs w:val="22"/>
          <w:highlight w:val="none"/>
        </w:rPr>
      </w:pPr>
    </w:p>
    <w:p>
      <w:pPr>
        <w:spacing w:line="360" w:lineRule="auto"/>
        <w:rPr>
          <w:rFonts w:ascii="宋体" w:hAnsi="宋体" w:cs="宋体"/>
          <w:color w:val="auto"/>
          <w:sz w:val="24"/>
          <w:szCs w:val="24"/>
          <w:highlight w:val="none"/>
        </w:rPr>
      </w:pPr>
    </w:p>
    <w:p>
      <w:pPr>
        <w:spacing w:line="360" w:lineRule="auto"/>
        <w:ind w:firstLine="480" w:firstLineChars="200"/>
        <w:jc w:val="center"/>
        <w:rPr>
          <w:rFonts w:ascii="宋体" w:hAnsi="宋体" w:cs="宋体"/>
          <w:color w:val="auto"/>
          <w:sz w:val="24"/>
          <w:szCs w:val="24"/>
          <w:highlight w:val="none"/>
        </w:rPr>
      </w:pPr>
    </w:p>
    <w:p>
      <w:pPr>
        <w:spacing w:line="360" w:lineRule="auto"/>
        <w:ind w:firstLine="480" w:firstLineChars="200"/>
        <w:jc w:val="center"/>
        <w:rPr>
          <w:rFonts w:ascii="宋体" w:hAnsi="宋体" w:cs="宋体"/>
          <w:color w:val="auto"/>
          <w:highlight w:val="none"/>
        </w:rPr>
      </w:pPr>
      <w:r>
        <w:rPr>
          <w:rFonts w:hint="eastAsia" w:ascii="宋体" w:hAnsi="宋体" w:cs="宋体"/>
          <w:color w:val="auto"/>
          <w:sz w:val="24"/>
          <w:szCs w:val="24"/>
          <w:highlight w:val="none"/>
        </w:rPr>
        <w:t>（结束）</w:t>
      </w:r>
    </w:p>
    <w:p>
      <w:pPr>
        <w:rPr>
          <w:color w:val="auto"/>
          <w:highlight w:val="none"/>
        </w:rPr>
      </w:pPr>
    </w:p>
    <w:p>
      <w:pPr>
        <w:rPr>
          <w:color w:val="auto"/>
          <w:highlight w:val="none"/>
        </w:rPr>
      </w:pPr>
    </w:p>
    <w:p>
      <w:pPr>
        <w:rPr>
          <w:color w:val="auto"/>
          <w:highlight w:val="none"/>
        </w:rPr>
      </w:pPr>
    </w:p>
    <w:sectPr>
      <w:headerReference r:id="rId10"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5"/>
        <w:rFonts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- 3 -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p>
  <w:p>
    <w:pPr>
      <w:pStyle w:val="8"/>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- 7 -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- 43 -</w:t>
    </w:r>
    <w:r>
      <w:rPr>
        <w:rFonts w:ascii="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重庆建桥实业发展有限公司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B3295"/>
    <w:multiLevelType w:val="singleLevel"/>
    <w:tmpl w:val="BF2B3295"/>
    <w:lvl w:ilvl="0" w:tentative="0">
      <w:start w:val="2"/>
      <w:numFmt w:val="chineseCounting"/>
      <w:suff w:val="nothing"/>
      <w:lvlText w:val="（%1）"/>
      <w:lvlJc w:val="left"/>
      <w:rPr>
        <w:rFonts w:hint="eastAsia"/>
      </w:rPr>
    </w:lvl>
  </w:abstractNum>
  <w:abstractNum w:abstractNumId="1">
    <w:nsid w:val="085367C8"/>
    <w:multiLevelType w:val="singleLevel"/>
    <w:tmpl w:val="085367C8"/>
    <w:lvl w:ilvl="0" w:tentative="0">
      <w:start w:val="1"/>
      <w:numFmt w:val="decimal"/>
      <w:suff w:val="nothing"/>
      <w:lvlText w:val="%1、"/>
      <w:lvlJc w:val="left"/>
    </w:lvl>
  </w:abstractNum>
  <w:abstractNum w:abstractNumId="2">
    <w:nsid w:val="662E256C"/>
    <w:multiLevelType w:val="singleLevel"/>
    <w:tmpl w:val="662E256C"/>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NmYxNWY5YzM4NTYyMjU5Y2NhYTk2ZDk3MjgxMDAifQ=="/>
  </w:docVars>
  <w:rsids>
    <w:rsidRoot w:val="14703394"/>
    <w:rsid w:val="00003751"/>
    <w:rsid w:val="007462C7"/>
    <w:rsid w:val="007B06ED"/>
    <w:rsid w:val="008021FB"/>
    <w:rsid w:val="00A878AB"/>
    <w:rsid w:val="00BC3774"/>
    <w:rsid w:val="00C761F7"/>
    <w:rsid w:val="00CA411F"/>
    <w:rsid w:val="00E83BC3"/>
    <w:rsid w:val="01304FDD"/>
    <w:rsid w:val="0137667F"/>
    <w:rsid w:val="01F91D03"/>
    <w:rsid w:val="02FF06E8"/>
    <w:rsid w:val="04945507"/>
    <w:rsid w:val="04FA75D0"/>
    <w:rsid w:val="05032600"/>
    <w:rsid w:val="05495EB8"/>
    <w:rsid w:val="055851C6"/>
    <w:rsid w:val="05900535"/>
    <w:rsid w:val="05AA653C"/>
    <w:rsid w:val="05C77597"/>
    <w:rsid w:val="05CE2BDE"/>
    <w:rsid w:val="05F8322D"/>
    <w:rsid w:val="06BE2E9A"/>
    <w:rsid w:val="070832EA"/>
    <w:rsid w:val="07916F80"/>
    <w:rsid w:val="0858592D"/>
    <w:rsid w:val="086A3512"/>
    <w:rsid w:val="08866241"/>
    <w:rsid w:val="098D5CCD"/>
    <w:rsid w:val="0B476AF2"/>
    <w:rsid w:val="0B694342"/>
    <w:rsid w:val="0BF11EF1"/>
    <w:rsid w:val="0DFA2F21"/>
    <w:rsid w:val="0E1C731E"/>
    <w:rsid w:val="0EC432D3"/>
    <w:rsid w:val="109E189F"/>
    <w:rsid w:val="10C37EC6"/>
    <w:rsid w:val="11863678"/>
    <w:rsid w:val="127424DE"/>
    <w:rsid w:val="132C5169"/>
    <w:rsid w:val="135C2718"/>
    <w:rsid w:val="14703394"/>
    <w:rsid w:val="148A1CAC"/>
    <w:rsid w:val="14E07D12"/>
    <w:rsid w:val="15E10A89"/>
    <w:rsid w:val="16287F9B"/>
    <w:rsid w:val="164A26B5"/>
    <w:rsid w:val="1679694B"/>
    <w:rsid w:val="17440860"/>
    <w:rsid w:val="17B3630A"/>
    <w:rsid w:val="193A40DA"/>
    <w:rsid w:val="19ED4C08"/>
    <w:rsid w:val="1AFB6A8A"/>
    <w:rsid w:val="1AFD0825"/>
    <w:rsid w:val="1B922A95"/>
    <w:rsid w:val="1D8A0EE0"/>
    <w:rsid w:val="1F2A72A2"/>
    <w:rsid w:val="1FA40640"/>
    <w:rsid w:val="1FC50E8F"/>
    <w:rsid w:val="1FF816EF"/>
    <w:rsid w:val="2073013F"/>
    <w:rsid w:val="218922A6"/>
    <w:rsid w:val="23260D19"/>
    <w:rsid w:val="239306D5"/>
    <w:rsid w:val="23A60D6C"/>
    <w:rsid w:val="23C3388A"/>
    <w:rsid w:val="24AD3FCD"/>
    <w:rsid w:val="24D9755C"/>
    <w:rsid w:val="25D05108"/>
    <w:rsid w:val="261B23AF"/>
    <w:rsid w:val="26281D64"/>
    <w:rsid w:val="264B3307"/>
    <w:rsid w:val="26E57310"/>
    <w:rsid w:val="275B2349"/>
    <w:rsid w:val="27647B14"/>
    <w:rsid w:val="27EA47A0"/>
    <w:rsid w:val="28032512"/>
    <w:rsid w:val="28100E75"/>
    <w:rsid w:val="28B948F7"/>
    <w:rsid w:val="29404842"/>
    <w:rsid w:val="29B37473"/>
    <w:rsid w:val="2AEB08D9"/>
    <w:rsid w:val="2BDD73DC"/>
    <w:rsid w:val="2C2045FC"/>
    <w:rsid w:val="2C355E38"/>
    <w:rsid w:val="2D7B71EF"/>
    <w:rsid w:val="2DB96526"/>
    <w:rsid w:val="2EC33812"/>
    <w:rsid w:val="2ECC1FEA"/>
    <w:rsid w:val="2ECF5AB0"/>
    <w:rsid w:val="2FD64B31"/>
    <w:rsid w:val="302B7DAF"/>
    <w:rsid w:val="313121D3"/>
    <w:rsid w:val="31502B0D"/>
    <w:rsid w:val="33493FB2"/>
    <w:rsid w:val="33E07126"/>
    <w:rsid w:val="343B21AF"/>
    <w:rsid w:val="348D507F"/>
    <w:rsid w:val="34C15824"/>
    <w:rsid w:val="351F191A"/>
    <w:rsid w:val="35D37D00"/>
    <w:rsid w:val="35EC70C0"/>
    <w:rsid w:val="360D5BCB"/>
    <w:rsid w:val="368F3959"/>
    <w:rsid w:val="36C36CE6"/>
    <w:rsid w:val="379434F2"/>
    <w:rsid w:val="37FB0B40"/>
    <w:rsid w:val="38A572F9"/>
    <w:rsid w:val="38F927C1"/>
    <w:rsid w:val="39C01BD4"/>
    <w:rsid w:val="39EA1767"/>
    <w:rsid w:val="3A7B18A5"/>
    <w:rsid w:val="3B3B6D46"/>
    <w:rsid w:val="3B75359D"/>
    <w:rsid w:val="3BA608D2"/>
    <w:rsid w:val="3C142DC4"/>
    <w:rsid w:val="3D164261"/>
    <w:rsid w:val="3D1D0938"/>
    <w:rsid w:val="3D360A63"/>
    <w:rsid w:val="3D394991"/>
    <w:rsid w:val="3D396159"/>
    <w:rsid w:val="3EB66EC1"/>
    <w:rsid w:val="3FE33B80"/>
    <w:rsid w:val="401C4930"/>
    <w:rsid w:val="42566DC6"/>
    <w:rsid w:val="42BC0898"/>
    <w:rsid w:val="42F174B4"/>
    <w:rsid w:val="43557484"/>
    <w:rsid w:val="436210A2"/>
    <w:rsid w:val="4391364D"/>
    <w:rsid w:val="43BF2EBF"/>
    <w:rsid w:val="44E42D5A"/>
    <w:rsid w:val="452C483D"/>
    <w:rsid w:val="460430B2"/>
    <w:rsid w:val="4620092C"/>
    <w:rsid w:val="46617B0F"/>
    <w:rsid w:val="468C1D64"/>
    <w:rsid w:val="4708359B"/>
    <w:rsid w:val="47646C89"/>
    <w:rsid w:val="47D170EE"/>
    <w:rsid w:val="4865188F"/>
    <w:rsid w:val="495D193F"/>
    <w:rsid w:val="496153BF"/>
    <w:rsid w:val="4B5216C4"/>
    <w:rsid w:val="4B5B4990"/>
    <w:rsid w:val="4BF01871"/>
    <w:rsid w:val="4C5A7B0A"/>
    <w:rsid w:val="4C86527C"/>
    <w:rsid w:val="4CEE64BD"/>
    <w:rsid w:val="4D4E118C"/>
    <w:rsid w:val="4DAC2AAF"/>
    <w:rsid w:val="4E9D5F64"/>
    <w:rsid w:val="4EE64BE7"/>
    <w:rsid w:val="4EF10ED3"/>
    <w:rsid w:val="4FC07507"/>
    <w:rsid w:val="500F3D6F"/>
    <w:rsid w:val="51236C37"/>
    <w:rsid w:val="51622EDD"/>
    <w:rsid w:val="51911B46"/>
    <w:rsid w:val="51995120"/>
    <w:rsid w:val="521F3EBE"/>
    <w:rsid w:val="52DB4BFC"/>
    <w:rsid w:val="546774E5"/>
    <w:rsid w:val="54745D28"/>
    <w:rsid w:val="549D2437"/>
    <w:rsid w:val="54C004FC"/>
    <w:rsid w:val="54C0233A"/>
    <w:rsid w:val="54E954BF"/>
    <w:rsid w:val="55013BC4"/>
    <w:rsid w:val="55E51B31"/>
    <w:rsid w:val="56991FC4"/>
    <w:rsid w:val="57475B47"/>
    <w:rsid w:val="576E6917"/>
    <w:rsid w:val="578436CA"/>
    <w:rsid w:val="57C07F70"/>
    <w:rsid w:val="57EB5CAB"/>
    <w:rsid w:val="585607B0"/>
    <w:rsid w:val="588971D9"/>
    <w:rsid w:val="58C0443E"/>
    <w:rsid w:val="5AB671E7"/>
    <w:rsid w:val="5AC7524F"/>
    <w:rsid w:val="5AC8406F"/>
    <w:rsid w:val="5ACC2138"/>
    <w:rsid w:val="5B1E79D7"/>
    <w:rsid w:val="5CFB3E1C"/>
    <w:rsid w:val="5D255C21"/>
    <w:rsid w:val="5D5361C0"/>
    <w:rsid w:val="5F346455"/>
    <w:rsid w:val="5FC9064E"/>
    <w:rsid w:val="604E6400"/>
    <w:rsid w:val="62866C48"/>
    <w:rsid w:val="631F47EF"/>
    <w:rsid w:val="6389447C"/>
    <w:rsid w:val="638A3E13"/>
    <w:rsid w:val="64786476"/>
    <w:rsid w:val="64787654"/>
    <w:rsid w:val="65365405"/>
    <w:rsid w:val="6556072C"/>
    <w:rsid w:val="65CB4D1F"/>
    <w:rsid w:val="662E04F6"/>
    <w:rsid w:val="66B81F94"/>
    <w:rsid w:val="66B975B3"/>
    <w:rsid w:val="678C1209"/>
    <w:rsid w:val="67A1437F"/>
    <w:rsid w:val="67C353CC"/>
    <w:rsid w:val="683D1479"/>
    <w:rsid w:val="68C45540"/>
    <w:rsid w:val="692777FF"/>
    <w:rsid w:val="69523C3A"/>
    <w:rsid w:val="699724C7"/>
    <w:rsid w:val="6AD6551B"/>
    <w:rsid w:val="6AE92879"/>
    <w:rsid w:val="6B32733D"/>
    <w:rsid w:val="6C225995"/>
    <w:rsid w:val="6C43212A"/>
    <w:rsid w:val="6C4579C8"/>
    <w:rsid w:val="6CA21F3D"/>
    <w:rsid w:val="6CC549A1"/>
    <w:rsid w:val="6D537D6A"/>
    <w:rsid w:val="6D8771F5"/>
    <w:rsid w:val="6EE50A5C"/>
    <w:rsid w:val="6FA83909"/>
    <w:rsid w:val="6FC65304"/>
    <w:rsid w:val="718D4964"/>
    <w:rsid w:val="730A1964"/>
    <w:rsid w:val="73317105"/>
    <w:rsid w:val="73F71AC8"/>
    <w:rsid w:val="7427080A"/>
    <w:rsid w:val="746D6B55"/>
    <w:rsid w:val="75835B8A"/>
    <w:rsid w:val="75E47D15"/>
    <w:rsid w:val="76242DF9"/>
    <w:rsid w:val="76B51DE1"/>
    <w:rsid w:val="77610D29"/>
    <w:rsid w:val="77D70AA1"/>
    <w:rsid w:val="78C14EF2"/>
    <w:rsid w:val="796C5EC9"/>
    <w:rsid w:val="7AB32B86"/>
    <w:rsid w:val="7B937AC9"/>
    <w:rsid w:val="7CFF6183"/>
    <w:rsid w:val="7DE27016"/>
    <w:rsid w:val="7E096CD0"/>
    <w:rsid w:val="7E0C0660"/>
    <w:rsid w:val="7EC9128A"/>
    <w:rsid w:val="7FF97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4">
    <w:name w:val="heading 3"/>
    <w:basedOn w:val="1"/>
    <w:next w:val="1"/>
    <w:qFormat/>
    <w:uiPriority w:val="0"/>
    <w:pPr>
      <w:keepNext/>
      <w:keepLines/>
      <w:spacing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toc 3"/>
    <w:basedOn w:val="1"/>
    <w:next w:val="1"/>
    <w:qFormat/>
    <w:uiPriority w:val="39"/>
    <w:pPr>
      <w:ind w:left="840" w:leftChars="400"/>
    </w:pPr>
  </w:style>
  <w:style w:type="paragraph" w:styleId="6">
    <w:name w:val="Plain Text"/>
    <w:basedOn w:val="1"/>
    <w:qFormat/>
    <w:uiPriority w:val="0"/>
    <w:rPr>
      <w:rFonts w:ascii="宋体" w:hAnsi="Courier New"/>
      <w:sz w:val="21"/>
    </w:rPr>
  </w:style>
  <w:style w:type="paragraph" w:styleId="7">
    <w:name w:val="Date"/>
    <w:basedOn w:val="1"/>
    <w:next w:val="1"/>
    <w:qFormat/>
    <w:uiPriority w:val="0"/>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39"/>
    <w:pPr>
      <w:spacing w:before="120" w:after="120"/>
      <w:jc w:val="left"/>
    </w:pPr>
    <w:rPr>
      <w:caps/>
      <w:sz w:val="20"/>
    </w:rPr>
  </w:style>
  <w:style w:type="paragraph" w:styleId="11">
    <w:name w:val="toc 2"/>
    <w:basedOn w:val="1"/>
    <w:next w:val="1"/>
    <w:qFormat/>
    <w:uiPriority w:val="39"/>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3542</Words>
  <Characters>20191</Characters>
  <Lines>168</Lines>
  <Paragraphs>47</Paragraphs>
  <TotalTime>0</TotalTime>
  <ScaleCrop>false</ScaleCrop>
  <LinksUpToDate>false</LinksUpToDate>
  <CharactersWithSpaces>23686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2022-04-14T07:01:00Z</dcterms:created>
  <dc:creator>admin</dc:creator>
  <cp:lastModifiedBy>Administrator</cp:lastModifiedBy>
  <dcterms:modified xsi:type="dcterms:W3CDTF">2023-04-18T08:04:46Z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1C04D9EA25644DC7829B593A1AD1BE39</vt:lpwstr>
  </property>
</Properties>
</file>