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olor w:val="auto"/>
          <w:spacing w:val="80"/>
          <w:sz w:val="112"/>
          <w:szCs w:val="112"/>
          <w:highlight w:val="none"/>
        </w:rPr>
      </w:pPr>
      <w:r>
        <w:rPr>
          <w:rFonts w:hint="eastAsia" w:ascii="黑体" w:hAnsi="黑体" w:eastAsia="黑体"/>
          <w:color w:val="auto"/>
          <w:spacing w:val="80"/>
          <w:sz w:val="112"/>
          <w:szCs w:val="112"/>
          <w:highlight w:val="none"/>
        </w:rPr>
        <w:t xml:space="preserve"> 采购文件</w:t>
      </w: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jc w:val="center"/>
        <w:rPr>
          <w:rFonts w:ascii="黑体" w:hAnsi="黑体" w:eastAsia="黑体"/>
          <w:color w:val="auto"/>
          <w:sz w:val="32"/>
          <w:highlight w:val="none"/>
        </w:rPr>
      </w:pPr>
    </w:p>
    <w:p>
      <w:pPr>
        <w:spacing w:line="700" w:lineRule="exact"/>
        <w:ind w:left="2517" w:leftChars="256" w:hanging="1800" w:hangingChars="500"/>
        <w:rPr>
          <w:rFonts w:ascii="黑体" w:hAnsi="黑体" w:eastAsia="黑体"/>
          <w:color w:val="auto"/>
          <w:sz w:val="36"/>
          <w:szCs w:val="30"/>
          <w:highlight w:val="none"/>
          <w:u w:val="single"/>
        </w:rPr>
      </w:pPr>
      <w:r>
        <w:rPr>
          <w:rFonts w:hint="eastAsia" w:ascii="黑体" w:hAnsi="黑体" w:eastAsia="黑体"/>
          <w:color w:val="auto"/>
          <w:sz w:val="36"/>
          <w:szCs w:val="30"/>
          <w:highlight w:val="none"/>
        </w:rPr>
        <w:t>项目名称：大渡口区</w:t>
      </w:r>
      <w:r>
        <w:rPr>
          <w:rFonts w:hint="eastAsia" w:ascii="黑体" w:hAnsi="黑体" w:eastAsia="黑体"/>
          <w:color w:val="auto"/>
          <w:sz w:val="36"/>
          <w:szCs w:val="30"/>
          <w:highlight w:val="none"/>
          <w:lang w:eastAsia="zh-CN"/>
        </w:rPr>
        <w:t>跳磴</w:t>
      </w:r>
      <w:r>
        <w:rPr>
          <w:rFonts w:hint="eastAsia" w:ascii="黑体" w:hAnsi="黑体" w:eastAsia="黑体"/>
          <w:color w:val="auto"/>
          <w:sz w:val="36"/>
          <w:szCs w:val="30"/>
          <w:highlight w:val="none"/>
        </w:rPr>
        <w:t>镇生态小镇项目附属农村居住用房安全性鉴定服务单位采购</w:t>
      </w:r>
    </w:p>
    <w:p>
      <w:pPr>
        <w:spacing w:line="700" w:lineRule="exact"/>
        <w:jc w:val="center"/>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rPr>
          <w:rFonts w:ascii="黑体" w:hAnsi="黑体" w:eastAsia="黑体"/>
          <w:b/>
          <w:color w:val="auto"/>
          <w:sz w:val="30"/>
          <w:szCs w:val="30"/>
          <w:highlight w:val="none"/>
        </w:rPr>
      </w:pPr>
    </w:p>
    <w:p>
      <w:pPr>
        <w:spacing w:line="700" w:lineRule="exact"/>
        <w:ind w:left="1434" w:leftChars="512"/>
        <w:rPr>
          <w:rFonts w:ascii="黑体" w:hAnsi="黑体" w:eastAsia="黑体"/>
          <w:color w:val="auto"/>
          <w:sz w:val="36"/>
          <w:szCs w:val="30"/>
          <w:highlight w:val="none"/>
        </w:rPr>
      </w:pPr>
      <w:r>
        <w:rPr>
          <w:rFonts w:hint="eastAsia" w:ascii="黑体" w:hAnsi="黑体" w:eastAsia="黑体"/>
          <w:color w:val="auto"/>
          <w:sz w:val="36"/>
          <w:szCs w:val="30"/>
          <w:highlight w:val="none"/>
        </w:rPr>
        <w:t>采   购   人：重庆建桥实业发展有限公司</w:t>
      </w:r>
    </w:p>
    <w:p>
      <w:pPr>
        <w:spacing w:line="700" w:lineRule="exact"/>
        <w:ind w:left="1434" w:leftChars="512"/>
        <w:rPr>
          <w:rFonts w:ascii="黑体" w:hAnsi="黑体" w:eastAsia="黑体"/>
          <w:color w:val="auto"/>
          <w:sz w:val="36"/>
          <w:szCs w:val="30"/>
          <w:highlight w:val="none"/>
        </w:rPr>
      </w:pPr>
    </w:p>
    <w:p>
      <w:pPr>
        <w:spacing w:line="700" w:lineRule="exact"/>
        <w:ind w:firstLine="1749" w:firstLineChars="486"/>
        <w:rPr>
          <w:rFonts w:ascii="黑体" w:hAnsi="黑体" w:eastAsia="黑体"/>
          <w:color w:val="auto"/>
          <w:sz w:val="36"/>
          <w:szCs w:val="30"/>
          <w:highlight w:val="none"/>
        </w:rPr>
      </w:pPr>
    </w:p>
    <w:p>
      <w:pPr>
        <w:spacing w:line="700" w:lineRule="exact"/>
        <w:jc w:val="center"/>
        <w:rPr>
          <w:rFonts w:ascii="黑体" w:hAnsi="黑体" w:eastAsia="黑体"/>
          <w:color w:val="auto"/>
          <w:sz w:val="36"/>
          <w:szCs w:val="30"/>
          <w:highlight w:val="none"/>
        </w:rPr>
      </w:pPr>
      <w:r>
        <w:rPr>
          <w:rFonts w:hint="eastAsia" w:ascii="黑体" w:hAnsi="黑体" w:eastAsia="黑体"/>
          <w:color w:val="auto"/>
          <w:sz w:val="36"/>
          <w:szCs w:val="30"/>
          <w:highlight w:val="none"/>
        </w:rPr>
        <w:t>二〇二三年一月</w:t>
      </w:r>
    </w:p>
    <w:p>
      <w:pPr>
        <w:spacing w:line="700" w:lineRule="exact"/>
        <w:ind w:firstLine="1440" w:firstLineChars="400"/>
        <w:jc w:val="center"/>
        <w:rPr>
          <w:rFonts w:ascii="黑体" w:hAnsi="黑体" w:eastAsia="黑体"/>
          <w:color w:val="auto"/>
          <w:sz w:val="36"/>
          <w:szCs w:val="30"/>
          <w:highlight w:val="none"/>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pStyle w:val="3"/>
        <w:spacing w:line="360" w:lineRule="auto"/>
        <w:jc w:val="center"/>
        <w:rPr>
          <w:rFonts w:ascii="宋体" w:hAnsi="宋体"/>
          <w:color w:val="auto"/>
          <w:sz w:val="24"/>
          <w:szCs w:val="24"/>
          <w:highlight w:val="none"/>
        </w:rPr>
      </w:pPr>
      <w:bookmarkStart w:id="0" w:name="_Toc6379"/>
      <w:bookmarkStart w:id="1" w:name="_Toc12789052"/>
      <w:bookmarkStart w:id="2" w:name="_Toc25107"/>
      <w:bookmarkStart w:id="3" w:name="_Toc11641050"/>
      <w:bookmarkStart w:id="4" w:name="_Toc5586"/>
      <w:r>
        <w:rPr>
          <w:rFonts w:hint="eastAsia" w:ascii="宋体" w:hAnsi="宋体" w:eastAsia="宋体"/>
          <w:color w:val="auto"/>
          <w:sz w:val="36"/>
          <w:szCs w:val="30"/>
          <w:highlight w:val="none"/>
        </w:rPr>
        <w:t>第一篇  采购邀请书</w:t>
      </w:r>
      <w:bookmarkEnd w:id="0"/>
      <w:bookmarkEnd w:id="1"/>
      <w:bookmarkEnd w:id="2"/>
      <w:bookmarkEnd w:id="3"/>
      <w:bookmarkEnd w:id="4"/>
    </w:p>
    <w:p>
      <w:pPr>
        <w:pStyle w:val="4"/>
        <w:spacing w:before="0" w:after="0" w:line="360" w:lineRule="auto"/>
        <w:rPr>
          <w:rFonts w:ascii="宋体" w:hAnsi="宋体" w:cs="宋体"/>
          <w:color w:val="auto"/>
          <w:sz w:val="24"/>
          <w:szCs w:val="24"/>
          <w:highlight w:val="none"/>
        </w:rPr>
      </w:pPr>
      <w:bookmarkStart w:id="5" w:name="_Toc28491"/>
      <w:bookmarkStart w:id="6" w:name="_Toc16"/>
      <w:bookmarkStart w:id="7" w:name="_Toc313893526"/>
      <w:bookmarkStart w:id="8" w:name="_Toc18183"/>
      <w:bookmarkStart w:id="9" w:name="_Toc317775175"/>
      <w:r>
        <w:rPr>
          <w:rFonts w:hint="eastAsia" w:ascii="宋体" w:hAnsi="宋体" w:cs="宋体"/>
          <w:color w:val="auto"/>
          <w:sz w:val="24"/>
          <w:szCs w:val="24"/>
          <w:highlight w:val="none"/>
        </w:rPr>
        <w:t>一、磋商</w:t>
      </w:r>
      <w:r>
        <w:rPr>
          <w:rFonts w:ascii="宋体" w:hAnsi="宋体" w:cs="宋体"/>
          <w:color w:val="auto"/>
          <w:sz w:val="24"/>
          <w:szCs w:val="24"/>
          <w:highlight w:val="none"/>
        </w:rPr>
        <w:t>采购</w:t>
      </w:r>
      <w:r>
        <w:rPr>
          <w:rFonts w:hint="eastAsia" w:ascii="宋体" w:hAnsi="宋体" w:cs="宋体"/>
          <w:color w:val="auto"/>
          <w:sz w:val="24"/>
          <w:szCs w:val="24"/>
          <w:highlight w:val="none"/>
        </w:rPr>
        <w:t>内容</w:t>
      </w:r>
      <w:bookmarkEnd w:id="5"/>
      <w:bookmarkEnd w:id="6"/>
      <w:bookmarkEnd w:id="7"/>
      <w:bookmarkEnd w:id="8"/>
      <w:bookmarkEnd w:id="9"/>
    </w:p>
    <w:tbl>
      <w:tblPr>
        <w:tblStyle w:val="14"/>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2914"/>
        <w:gridCol w:w="1340"/>
        <w:gridCol w:w="1017"/>
        <w:gridCol w:w="133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3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分包号</w:t>
            </w:r>
          </w:p>
        </w:tc>
        <w:tc>
          <w:tcPr>
            <w:tcW w:w="2914"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分包名称</w:t>
            </w:r>
          </w:p>
        </w:tc>
        <w:tc>
          <w:tcPr>
            <w:tcW w:w="1340" w:type="dxa"/>
            <w:tcBorders>
              <w:top w:val="single" w:color="auto" w:sz="4" w:space="0"/>
              <w:left w:val="single" w:color="auto" w:sz="4" w:space="0"/>
              <w:right w:val="single" w:color="auto" w:sz="4" w:space="0"/>
            </w:tcBorders>
            <w:vAlign w:val="center"/>
          </w:tcPr>
          <w:p>
            <w:pPr>
              <w:widowControl/>
              <w:spacing w:line="360" w:lineRule="auto"/>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总价采购</w:t>
            </w:r>
          </w:p>
          <w:p>
            <w:pPr>
              <w:widowControl/>
              <w:spacing w:line="360" w:lineRule="auto"/>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限价</w:t>
            </w:r>
          </w:p>
          <w:p>
            <w:pPr>
              <w:spacing w:line="360" w:lineRule="auto"/>
              <w:jc w:val="center"/>
              <w:rPr>
                <w:rFonts w:ascii="宋体" w:hAnsi="宋体"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（元）</w:t>
            </w:r>
          </w:p>
        </w:tc>
        <w:tc>
          <w:tcPr>
            <w:tcW w:w="1017" w:type="dxa"/>
            <w:tcBorders>
              <w:top w:val="single" w:color="auto" w:sz="4" w:space="0"/>
              <w:left w:val="single" w:color="auto" w:sz="4" w:space="0"/>
              <w:right w:val="single" w:color="auto" w:sz="4" w:space="0"/>
            </w:tcBorders>
            <w:vAlign w:val="center"/>
          </w:tcPr>
          <w:p>
            <w:pPr>
              <w:spacing w:line="360" w:lineRule="auto"/>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单价采购限价（元/平方米）</w:t>
            </w:r>
          </w:p>
        </w:tc>
        <w:tc>
          <w:tcPr>
            <w:tcW w:w="1337" w:type="dxa"/>
            <w:tcBorders>
              <w:top w:val="single" w:color="auto" w:sz="4" w:space="0"/>
              <w:left w:val="single" w:color="auto" w:sz="4" w:space="0"/>
              <w:right w:val="single" w:color="auto" w:sz="4" w:space="0"/>
            </w:tcBorders>
            <w:vAlign w:val="center"/>
          </w:tcPr>
          <w:p>
            <w:pPr>
              <w:spacing w:line="360" w:lineRule="auto"/>
              <w:jc w:val="center"/>
              <w:rPr>
                <w:color w:val="auto"/>
                <w:highlight w:val="none"/>
              </w:rPr>
            </w:pPr>
            <w:r>
              <w:rPr>
                <w:rFonts w:hint="eastAsia" w:ascii="方正仿宋_GBK" w:hAnsi="宋体" w:eastAsia="方正仿宋_GBK" w:cs="宋体"/>
                <w:b/>
                <w:bCs/>
                <w:color w:val="auto"/>
                <w:kern w:val="0"/>
                <w:sz w:val="21"/>
                <w:szCs w:val="24"/>
                <w:highlight w:val="none"/>
              </w:rPr>
              <w:t>成交数量</w:t>
            </w:r>
          </w:p>
          <w:p>
            <w:pPr>
              <w:spacing w:line="360" w:lineRule="auto"/>
              <w:jc w:val="center"/>
              <w:rPr>
                <w:color w:val="auto"/>
                <w:highlight w:val="none"/>
              </w:rPr>
            </w:pPr>
            <w:r>
              <w:rPr>
                <w:rFonts w:hint="eastAsia" w:ascii="方正仿宋_GBK" w:hAnsi="宋体" w:eastAsia="方正仿宋_GBK" w:cs="宋体"/>
                <w:b/>
                <w:bCs/>
                <w:color w:val="auto"/>
                <w:kern w:val="0"/>
                <w:sz w:val="21"/>
                <w:szCs w:val="24"/>
                <w:highlight w:val="none"/>
              </w:rPr>
              <w:t>（名）</w:t>
            </w:r>
          </w:p>
        </w:tc>
        <w:tc>
          <w:tcPr>
            <w:tcW w:w="1327" w:type="dxa"/>
            <w:tcBorders>
              <w:top w:val="single" w:color="auto" w:sz="4" w:space="0"/>
              <w:left w:val="single" w:color="auto" w:sz="4" w:space="0"/>
              <w:right w:val="single" w:color="auto" w:sz="4" w:space="0"/>
            </w:tcBorders>
            <w:vAlign w:val="center"/>
          </w:tcPr>
          <w:p>
            <w:pPr>
              <w:spacing w:line="360" w:lineRule="auto"/>
              <w:jc w:val="center"/>
              <w:rPr>
                <w:rFonts w:ascii="方正仿宋_GBK" w:hAnsi="宋体" w:eastAsia="方正仿宋_GBK" w:cs="宋体"/>
                <w:b/>
                <w:bCs/>
                <w:color w:val="auto"/>
                <w:kern w:val="0"/>
                <w:sz w:val="21"/>
                <w:szCs w:val="24"/>
                <w:highlight w:val="none"/>
              </w:rPr>
            </w:pPr>
            <w:r>
              <w:rPr>
                <w:rFonts w:hint="eastAsia" w:ascii="方正仿宋_GBK" w:hAnsi="宋体" w:eastAsia="方正仿宋_GBK"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3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21"/>
                <w:szCs w:val="24"/>
                <w:highlight w:val="none"/>
              </w:rPr>
            </w:pPr>
            <w:bookmarkStart w:id="10" w:name="_Hlk344477914"/>
            <w:r>
              <w:rPr>
                <w:rFonts w:hint="eastAsia" w:ascii="方正仿宋_GBK" w:hAnsi="宋体" w:eastAsia="方正仿宋_GBK" w:cs="宋体"/>
                <w:color w:val="auto"/>
                <w:kern w:val="0"/>
                <w:sz w:val="21"/>
                <w:szCs w:val="24"/>
                <w:highlight w:val="none"/>
              </w:rPr>
              <w:t>1</w:t>
            </w:r>
          </w:p>
        </w:tc>
        <w:tc>
          <w:tcPr>
            <w:tcW w:w="2914"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kern w:val="0"/>
                <w:sz w:val="21"/>
                <w:szCs w:val="24"/>
                <w:highlight w:val="none"/>
              </w:rPr>
            </w:pPr>
            <w:r>
              <w:rPr>
                <w:rFonts w:hint="eastAsia" w:ascii="宋体" w:hAnsi="宋体" w:cs="宋体"/>
                <w:color w:val="auto"/>
                <w:sz w:val="24"/>
                <w:szCs w:val="24"/>
                <w:highlight w:val="none"/>
              </w:rPr>
              <w:t>大渡口区</w:t>
            </w:r>
            <w:r>
              <w:rPr>
                <w:rFonts w:hint="eastAsia" w:ascii="宋体" w:hAnsi="宋体" w:cs="宋体"/>
                <w:color w:val="auto"/>
                <w:sz w:val="24"/>
                <w:szCs w:val="24"/>
                <w:highlight w:val="none"/>
                <w:lang w:eastAsia="zh-CN"/>
              </w:rPr>
              <w:t>跳磴</w:t>
            </w:r>
            <w:r>
              <w:rPr>
                <w:rFonts w:hint="eastAsia" w:ascii="宋体" w:hAnsi="宋体" w:cs="宋体"/>
                <w:color w:val="auto"/>
                <w:sz w:val="24"/>
                <w:szCs w:val="24"/>
                <w:highlight w:val="none"/>
              </w:rPr>
              <w:t>镇生态小镇项目附属农村居住用房安全性鉴定服务采购</w:t>
            </w:r>
          </w:p>
        </w:tc>
        <w:tc>
          <w:tcPr>
            <w:tcW w:w="134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410000</w:t>
            </w:r>
          </w:p>
        </w:tc>
        <w:tc>
          <w:tcPr>
            <w:tcW w:w="101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1337" w:type="dxa"/>
            <w:tcBorders>
              <w:top w:val="single" w:color="auto" w:sz="4" w:space="0"/>
              <w:left w:val="single" w:color="auto" w:sz="4" w:space="0"/>
              <w:right w:val="single" w:color="auto" w:sz="4" w:space="0"/>
            </w:tcBorders>
            <w:vAlign w:val="center"/>
          </w:tcPr>
          <w:p>
            <w:pPr>
              <w:widowControl/>
              <w:spacing w:line="360" w:lineRule="auto"/>
              <w:jc w:val="center"/>
              <w:rPr>
                <w:color w:val="auto"/>
                <w:highlight w:val="none"/>
              </w:rPr>
            </w:pPr>
            <w:r>
              <w:rPr>
                <w:rFonts w:hint="eastAsia" w:ascii="宋体" w:hAnsi="宋体" w:cs="宋体"/>
                <w:color w:val="auto"/>
                <w:sz w:val="24"/>
                <w:szCs w:val="24"/>
                <w:highlight w:val="none"/>
              </w:rPr>
              <w:t>1</w:t>
            </w:r>
          </w:p>
        </w:tc>
        <w:tc>
          <w:tcPr>
            <w:tcW w:w="1327"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其他未列明的行业</w:t>
            </w:r>
          </w:p>
        </w:tc>
      </w:tr>
      <w:bookmarkEnd w:id="10"/>
    </w:tbl>
    <w:p>
      <w:pPr>
        <w:pStyle w:val="4"/>
        <w:spacing w:before="0" w:after="0" w:line="360" w:lineRule="auto"/>
        <w:rPr>
          <w:rFonts w:ascii="宋体" w:hAnsi="宋体" w:cs="宋体"/>
          <w:color w:val="auto"/>
          <w:sz w:val="24"/>
          <w:szCs w:val="24"/>
          <w:highlight w:val="none"/>
        </w:rPr>
      </w:pPr>
      <w:bookmarkStart w:id="11" w:name="_Toc21827"/>
      <w:bookmarkStart w:id="12" w:name="_Toc5354"/>
      <w:bookmarkStart w:id="13" w:name="_Toc12950"/>
      <w:bookmarkStart w:id="14" w:name="_Toc373860293"/>
      <w:bookmarkStart w:id="15" w:name="_Toc317775178"/>
      <w:r>
        <w:rPr>
          <w:rFonts w:hint="eastAsia" w:ascii="宋体" w:hAnsi="宋体" w:cs="宋体"/>
          <w:color w:val="auto"/>
          <w:sz w:val="24"/>
          <w:szCs w:val="24"/>
          <w:highlight w:val="none"/>
        </w:rPr>
        <w:t>二、资金来源</w:t>
      </w:r>
      <w:bookmarkEnd w:id="11"/>
      <w:bookmarkEnd w:id="12"/>
      <w:bookmarkEnd w:id="13"/>
    </w:p>
    <w:p>
      <w:pPr>
        <w:spacing w:line="360" w:lineRule="auto"/>
        <w:ind w:firstLine="480" w:firstLineChars="200"/>
        <w:rPr>
          <w:rFonts w:ascii="宋体" w:hAnsi="宋体"/>
          <w:color w:val="auto"/>
          <w:sz w:val="24"/>
          <w:szCs w:val="24"/>
          <w:highlight w:val="none"/>
        </w:rPr>
      </w:pPr>
      <w:r>
        <w:rPr>
          <w:rFonts w:hint="eastAsia" w:ascii="宋体" w:hAnsi="宋体" w:cs="宋体"/>
          <w:color w:val="auto"/>
          <w:sz w:val="24"/>
          <w:szCs w:val="24"/>
          <w:highlight w:val="none"/>
        </w:rPr>
        <w:t>自筹资金。</w:t>
      </w:r>
    </w:p>
    <w:p>
      <w:pPr>
        <w:pStyle w:val="4"/>
        <w:spacing w:before="0" w:after="0" w:line="360" w:lineRule="auto"/>
        <w:rPr>
          <w:rFonts w:ascii="宋体" w:hAnsi="宋体" w:cs="宋体"/>
          <w:color w:val="auto"/>
          <w:sz w:val="24"/>
          <w:szCs w:val="24"/>
          <w:highlight w:val="none"/>
        </w:rPr>
      </w:pPr>
      <w:bookmarkStart w:id="16" w:name="_Toc2374"/>
      <w:bookmarkStart w:id="17" w:name="_Toc21524"/>
      <w:bookmarkStart w:id="18" w:name="_Toc4191"/>
      <w:r>
        <w:rPr>
          <w:rFonts w:hint="eastAsia" w:ascii="宋体" w:hAnsi="宋体" w:cs="宋体"/>
          <w:color w:val="auto"/>
          <w:sz w:val="24"/>
          <w:szCs w:val="24"/>
          <w:highlight w:val="none"/>
        </w:rPr>
        <w:t>三、磋商资格</w:t>
      </w:r>
      <w:bookmarkEnd w:id="16"/>
      <w:bookmarkEnd w:id="17"/>
      <w:bookmarkEnd w:id="18"/>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磋商供应商是指向采购人提供货物、工程或者服务的法人、其他组织或者自然人。以下简称供应商。合格的供应商应符合政府采购法第二十二条规定的基本条件。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（一）一般资质条件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spacing w:line="360" w:lineRule="auto"/>
        <w:ind w:firstLine="480" w:firstLineChars="200"/>
        <w:rPr>
          <w:rFonts w:ascii="宋体" w:hAnsi="宋体" w:cs="宋体"/>
          <w:bCs/>
          <w:color w:val="auto"/>
          <w:sz w:val="24"/>
          <w:szCs w:val="24"/>
          <w:highlight w:val="none"/>
        </w:rPr>
      </w:pPr>
      <w:bookmarkStart w:id="19" w:name="_Toc24076"/>
      <w:bookmarkStart w:id="20" w:name="_Toc6120"/>
      <w:bookmarkStart w:id="21" w:name="_Toc7332"/>
      <w:r>
        <w:rPr>
          <w:rFonts w:hint="eastAsia" w:ascii="宋体" w:hAnsi="宋体" w:cs="宋体"/>
          <w:bCs/>
          <w:color w:val="auto"/>
          <w:sz w:val="24"/>
          <w:szCs w:val="24"/>
          <w:highlight w:val="none"/>
        </w:rPr>
        <w:t>1.具备省级、直辖市及以上质量技术监督部门颁发的计量认证证书（CMA）和省级、直辖市及以上建设行政主管部门颁发的建设工程量检测机构资质证书（必须包括见证取样检测、地基基础工程检测、主体结构工程现场检测、钢结构工程检测4个类别）。</w:t>
      </w:r>
    </w:p>
    <w:p>
      <w:pPr>
        <w:pStyle w:val="2"/>
        <w:rPr>
          <w:color w:val="auto"/>
          <w:highlight w:val="none"/>
        </w:rPr>
      </w:pPr>
      <w:r>
        <w:rPr>
          <w:rFonts w:hint="eastAsia" w:ascii="宋体" w:hAnsi="宋体" w:cs="宋体"/>
          <w:bCs/>
          <w:color w:val="auto"/>
          <w:szCs w:val="24"/>
          <w:highlight w:val="none"/>
        </w:rPr>
        <w:t>（提供证书复印件并加盖投标单位公章）</w:t>
      </w:r>
    </w:p>
    <w:p>
      <w:pPr>
        <w:pStyle w:val="2"/>
        <w:rPr>
          <w:rFonts w:ascii="宋体" w:hAnsi="宋体" w:cs="宋体"/>
          <w:bCs/>
          <w:color w:val="auto"/>
          <w:szCs w:val="24"/>
          <w:highlight w:val="none"/>
        </w:rPr>
      </w:pPr>
      <w:r>
        <w:rPr>
          <w:rFonts w:hint="eastAsia" w:ascii="宋体" w:hAnsi="宋体" w:cs="宋体"/>
          <w:bCs/>
          <w:color w:val="auto"/>
          <w:szCs w:val="24"/>
          <w:highlight w:val="none"/>
        </w:rPr>
        <w:t>2.人员要求</w:t>
      </w:r>
    </w:p>
    <w:p>
      <w:pPr>
        <w:pStyle w:val="2"/>
        <w:rPr>
          <w:rFonts w:ascii="宋体" w:hAnsi="宋体" w:cs="宋体"/>
          <w:bCs/>
          <w:color w:val="auto"/>
          <w:szCs w:val="24"/>
          <w:highlight w:val="none"/>
        </w:rPr>
      </w:pPr>
      <w:r>
        <w:rPr>
          <w:rFonts w:hint="eastAsia" w:ascii="宋体" w:hAnsi="宋体" w:cs="宋体"/>
          <w:bCs/>
          <w:color w:val="auto"/>
          <w:szCs w:val="24"/>
          <w:highlight w:val="none"/>
        </w:rPr>
        <w:t>（1）项目负责人</w:t>
      </w:r>
    </w:p>
    <w:p>
      <w:pPr>
        <w:pStyle w:val="2"/>
        <w:rPr>
          <w:rFonts w:asciiTheme="minorEastAsia" w:hAnsiTheme="minorEastAsia" w:eastAsiaTheme="minorEastAsia" w:cstheme="minorEastAsia"/>
          <w:color w:val="auto"/>
          <w:szCs w:val="24"/>
          <w:highlight w:val="none"/>
        </w:rPr>
      </w:pPr>
      <w:r>
        <w:rPr>
          <w:rFonts w:hint="eastAsia" w:ascii="宋体" w:hAnsi="宋体" w:cs="宋体"/>
          <w:bCs/>
          <w:color w:val="auto"/>
          <w:szCs w:val="24"/>
          <w:highlight w:val="none"/>
        </w:rPr>
        <w:t>1人。须为投标单位人员，</w:t>
      </w:r>
      <w:r>
        <w:rPr>
          <w:rFonts w:hint="eastAsia" w:ascii="宋体" w:hAnsi="宋体" w:cs="宋体"/>
          <w:bCs/>
          <w:color w:val="auto"/>
          <w:szCs w:val="24"/>
          <w:highlight w:val="none"/>
          <w:lang w:val="en-US" w:eastAsia="zh-CN"/>
        </w:rPr>
        <w:t>工程师及以上职称</w:t>
      </w:r>
      <w:r>
        <w:rPr>
          <w:rFonts w:hint="eastAsia" w:ascii="宋体" w:hAnsi="宋体" w:cs="宋体"/>
          <w:bCs/>
          <w:color w:val="auto"/>
          <w:szCs w:val="24"/>
          <w:highlight w:val="none"/>
        </w:rPr>
        <w:t>并同时</w:t>
      </w:r>
      <w:r>
        <w:rPr>
          <w:rFonts w:hint="eastAsia" w:asciiTheme="minorEastAsia" w:hAnsiTheme="minorEastAsia" w:eastAsiaTheme="minorEastAsia" w:cstheme="minorEastAsia"/>
          <w:color w:val="auto"/>
          <w:szCs w:val="24"/>
          <w:highlight w:val="none"/>
        </w:rPr>
        <w:t>具备主体结构工程现场检测、地基基础工程检测、钢结构工程检测证书。</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（提供投标单位为其缴纳的2022 年10月至 2022 年12月社保证明复印件，以及人员证书复印件，并加盖投标单位公章）</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（2）技术负责人</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1人。</w:t>
      </w:r>
      <w:r>
        <w:rPr>
          <w:rFonts w:hint="eastAsia" w:ascii="宋体" w:hAnsi="宋体" w:cs="宋体"/>
          <w:bCs/>
          <w:color w:val="auto"/>
          <w:szCs w:val="24"/>
          <w:highlight w:val="none"/>
        </w:rPr>
        <w:t>须为投标单位人员，</w:t>
      </w:r>
      <w:r>
        <w:rPr>
          <w:rFonts w:hint="eastAsia" w:ascii="宋体" w:hAnsi="宋体" w:cs="宋体"/>
          <w:bCs/>
          <w:color w:val="auto"/>
          <w:szCs w:val="24"/>
          <w:highlight w:val="none"/>
          <w:lang w:val="en-US" w:eastAsia="zh-CN"/>
        </w:rPr>
        <w:t>工程师及以上</w:t>
      </w:r>
      <w:r>
        <w:rPr>
          <w:rFonts w:hint="eastAsia" w:ascii="宋体" w:hAnsi="宋体" w:cs="宋体"/>
          <w:bCs/>
          <w:color w:val="auto"/>
          <w:szCs w:val="24"/>
          <w:highlight w:val="none"/>
        </w:rPr>
        <w:t>并同时</w:t>
      </w:r>
      <w:r>
        <w:rPr>
          <w:rFonts w:hint="eastAsia" w:asciiTheme="minorEastAsia" w:hAnsiTheme="minorEastAsia" w:eastAsiaTheme="minorEastAsia" w:cstheme="minorEastAsia"/>
          <w:color w:val="auto"/>
          <w:szCs w:val="24"/>
          <w:highlight w:val="none"/>
        </w:rPr>
        <w:t>具备主体结构工程现场检测、地基基础工程检测、钢结构工程检测证书。</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（提供投标单位为其缴纳的2022 年10月至 2022 年12月社保证明复印件，以及人员证书复印件，并加盖投标单位公章）</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（3）现场检测人员</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除项目负责人和技术负责人外至少5人。</w:t>
      </w:r>
      <w:r>
        <w:rPr>
          <w:rFonts w:hint="eastAsia" w:ascii="宋体" w:hAnsi="宋体" w:cs="宋体"/>
          <w:bCs/>
          <w:color w:val="auto"/>
          <w:szCs w:val="24"/>
          <w:highlight w:val="none"/>
        </w:rPr>
        <w:t>须为投标单位人员，并</w:t>
      </w:r>
      <w:r>
        <w:rPr>
          <w:rFonts w:hint="eastAsia" w:asciiTheme="minorEastAsia" w:hAnsiTheme="minorEastAsia" w:eastAsiaTheme="minorEastAsia" w:cstheme="minorEastAsia"/>
          <w:color w:val="auto"/>
          <w:szCs w:val="24"/>
          <w:highlight w:val="none"/>
        </w:rPr>
        <w:t>具备主体结构工程现场检测、地基基础工程检测（审核）、钢结构工程检测（审核）证书之一。</w:t>
      </w:r>
    </w:p>
    <w:p>
      <w:pPr>
        <w:pStyle w:val="2"/>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（提供投标单位为其缴纳的2022 年10月至 2022 年12月社保证明复印件，以及人员证书复印件，并加盖投标单位公章）</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四、磋商有关说明</w:t>
      </w:r>
      <w:bookmarkEnd w:id="14"/>
      <w:bookmarkEnd w:id="19"/>
      <w:bookmarkEnd w:id="20"/>
      <w:bookmarkEnd w:id="2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（一）凡有意参加磋商的供应商，请于公告发布之日（2023年1月</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日）起至报名截止时间之前，在建桥工业园（http://www.jqgyy.com/）下载查看本项目需求文件以及变更公告等磋商前公布的所有项目资料，无论供应商下载查看与否，均视为已知晓所有磋商实质性要求内容。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（二）供应商须满足以下三种要件，其响应文件才被接受：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（四）响应文件递交时间：2023年1月</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：00-</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截止时间：2023年1月</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:30</w:t>
      </w:r>
    </w:p>
    <w:p>
      <w:pPr>
        <w:numPr>
          <w:ilvl w:val="0"/>
          <w:numId w:val="1"/>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磋商开始时间：2023年1月</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:30</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竞标人从单位基本银行账户在2023年1月</w:t>
      </w:r>
      <w:r>
        <w:rPr>
          <w:rFonts w:hint="eastAsia" w:ascii="宋体" w:hAnsi="宋体" w:cs="宋体"/>
          <w:color w:val="auto"/>
          <w:sz w:val="24"/>
          <w:szCs w:val="24"/>
          <w:highlight w:val="none"/>
          <w:lang w:val="en-US" w:eastAsia="zh-CN"/>
        </w:rPr>
        <w:t>18</w:t>
      </w:r>
      <w:r>
        <w:rPr>
          <w:rFonts w:hint="eastAsia" w:ascii="宋体" w:hAnsi="宋体" w:cs="宋体"/>
          <w:color w:val="auto"/>
          <w:sz w:val="24"/>
          <w:szCs w:val="24"/>
          <w:highlight w:val="none"/>
        </w:rPr>
        <w:t>日17时00分（北京时间）前（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2、竞标保证金的金额：人民币5000元（大写：伍仟元整）。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保证金联系人：李老师；      咨询电话：023-68955002</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六、履约保证金</w:t>
      </w:r>
    </w:p>
    <w:p>
      <w:pPr>
        <w:spacing w:line="360" w:lineRule="auto"/>
        <w:ind w:firstLine="480" w:firstLineChars="200"/>
        <w:rPr>
          <w:rFonts w:ascii="宋体" w:hAnsi="宋体" w:cs="宋体"/>
          <w:color w:val="auto"/>
          <w:sz w:val="24"/>
          <w:szCs w:val="24"/>
          <w:highlight w:val="none"/>
        </w:rPr>
      </w:pPr>
      <w:bookmarkStart w:id="22" w:name="_Toc5809"/>
      <w:bookmarkStart w:id="23" w:name="_Toc13780"/>
      <w:bookmarkStart w:id="24" w:name="_Toc25598"/>
      <w:r>
        <w:rPr>
          <w:rFonts w:hint="eastAsia" w:ascii="宋体" w:hAnsi="宋体" w:cs="宋体"/>
          <w:color w:val="auto"/>
          <w:sz w:val="24"/>
          <w:szCs w:val="24"/>
          <w:highlight w:val="none"/>
        </w:rPr>
        <w:t>履约保证金金额为：项目成交金额的5%。</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成交人应当在合同签订之前将履约保证金汇入采购人指定账户（注明项目名称），缴纳方式请与采购人联系。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在本项目服务期满后一个月内无息退还。</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七、</w:t>
      </w:r>
      <w:bookmarkEnd w:id="15"/>
      <w:r>
        <w:rPr>
          <w:rFonts w:hint="eastAsia" w:ascii="宋体" w:hAnsi="宋体" w:cs="宋体"/>
          <w:color w:val="auto"/>
          <w:sz w:val="24"/>
          <w:szCs w:val="24"/>
          <w:highlight w:val="none"/>
        </w:rPr>
        <w:t>其它有关规定</w:t>
      </w:r>
      <w:bookmarkEnd w:id="22"/>
      <w:bookmarkEnd w:id="23"/>
      <w:bookmarkEnd w:id="2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（一）单位负责人为同一人或者存在直接控股、管理关系的不同供应商，不得参加同一合同项下的政府采购活动，否则均为无效磋商。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（二）为采购项目提供整体设计、规范编制或者项目管理、监理、检测等服务的供应商，不得再参加该采购项目的其他采购活动，否则均为无效磋商。</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（三）超过响应文件截止时间递交的响应文件，恕不接收。</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（四）磋商费用：无论磋商结果如何，供应商参与本项目磋商的所有费用均应由供应商自行承担。</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（五）本项目不接受联合体参与磋商。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八、采购项目需落实的政府采购政策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六篇中其他应提供的资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（三）按照《关于促进残疾人就业政府采购政策的通知》（财库〔2017〕141号）的规定，落实支持残疾人福利性单位发展政策。</w:t>
      </w:r>
    </w:p>
    <w:p>
      <w:pPr>
        <w:pStyle w:val="4"/>
        <w:spacing w:before="0" w:after="0" w:line="360" w:lineRule="auto"/>
        <w:rPr>
          <w:rFonts w:ascii="宋体" w:hAnsi="宋体" w:cs="宋体"/>
          <w:color w:val="auto"/>
          <w:sz w:val="24"/>
          <w:szCs w:val="24"/>
          <w:highlight w:val="none"/>
        </w:rPr>
      </w:pPr>
      <w:bookmarkStart w:id="25" w:name="_Toc22795"/>
      <w:bookmarkStart w:id="26" w:name="_Toc23096"/>
      <w:bookmarkStart w:id="27" w:name="_Toc17016"/>
      <w:r>
        <w:rPr>
          <w:rFonts w:hint="eastAsia" w:ascii="宋体" w:hAnsi="宋体" w:cs="宋体"/>
          <w:color w:val="auto"/>
          <w:sz w:val="24"/>
          <w:szCs w:val="24"/>
          <w:highlight w:val="none"/>
        </w:rPr>
        <w:t>九、联系方式</w:t>
      </w:r>
      <w:bookmarkEnd w:id="25"/>
      <w:bookmarkEnd w:id="26"/>
      <w:bookmarkEnd w:id="2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采购人：重庆建桥实业发展有限公司</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联系人：李老师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  话：023-68955002</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地  址：重庆市大渡口区田西路中冶熙城商街1号楼1楼</w:t>
      </w:r>
    </w:p>
    <w:p>
      <w:pPr>
        <w:snapToGrid w:val="0"/>
        <w:spacing w:line="360" w:lineRule="auto"/>
        <w:ind w:firstLine="480" w:firstLineChars="200"/>
        <w:rPr>
          <w:rFonts w:ascii="黑体" w:hAnsi="黑体" w:eastAsia="黑体"/>
          <w:color w:val="auto"/>
          <w:sz w:val="24"/>
          <w:szCs w:val="24"/>
          <w:highlight w:val="none"/>
        </w:rPr>
      </w:pPr>
    </w:p>
    <w:p>
      <w:pPr>
        <w:snapToGrid w:val="0"/>
        <w:spacing w:line="360" w:lineRule="auto"/>
        <w:ind w:firstLine="480" w:firstLineChars="200"/>
        <w:rPr>
          <w:rFonts w:ascii="宋体" w:hAnsi="宋体"/>
          <w:color w:val="auto"/>
          <w:sz w:val="24"/>
          <w:szCs w:val="24"/>
          <w:highlight w:val="none"/>
        </w:rPr>
      </w:pPr>
    </w:p>
    <w:p>
      <w:pPr>
        <w:snapToGrid w:val="0"/>
        <w:ind w:firstLine="480" w:firstLineChars="200"/>
        <w:rPr>
          <w:rFonts w:ascii="黑体" w:hAnsi="黑体" w:eastAsia="黑体"/>
          <w:color w:val="auto"/>
          <w:sz w:val="24"/>
          <w:szCs w:val="24"/>
          <w:highlight w:val="none"/>
        </w:rPr>
      </w:pPr>
    </w:p>
    <w:p>
      <w:pPr>
        <w:snapToGrid w:val="0"/>
        <w:spacing w:line="360" w:lineRule="auto"/>
        <w:ind w:firstLine="482" w:firstLineChars="200"/>
        <w:rPr>
          <w:rFonts w:ascii="黑体" w:hAnsi="黑体" w:eastAsia="黑体"/>
          <w:b/>
          <w:color w:val="auto"/>
          <w:sz w:val="24"/>
          <w:szCs w:val="24"/>
          <w:highlight w:val="none"/>
        </w:rPr>
        <w:sectPr>
          <w:headerReference r:id="rId7" w:type="default"/>
          <w:footerReference r:id="rId8" w:type="default"/>
          <w:pgSz w:w="11907" w:h="16840"/>
          <w:pgMar w:top="1134" w:right="1418" w:bottom="1134" w:left="1418" w:header="964" w:footer="992" w:gutter="0"/>
          <w:pgNumType w:fmt="numberInDash" w:start="1"/>
          <w:cols w:space="720" w:num="1"/>
          <w:docGrid w:linePitch="312" w:charSpace="0"/>
        </w:sectPr>
      </w:pPr>
    </w:p>
    <w:p>
      <w:pPr>
        <w:pStyle w:val="3"/>
        <w:spacing w:before="0" w:after="0" w:line="312" w:lineRule="auto"/>
        <w:jc w:val="center"/>
        <w:rPr>
          <w:rFonts w:ascii="宋体" w:hAnsi="宋体" w:eastAsia="宋体" w:cs="宋体"/>
          <w:color w:val="auto"/>
          <w:sz w:val="36"/>
          <w:szCs w:val="30"/>
          <w:highlight w:val="none"/>
        </w:rPr>
      </w:pPr>
      <w:bookmarkStart w:id="28" w:name="_Toc20524"/>
      <w:bookmarkStart w:id="29" w:name="_Toc7521"/>
      <w:bookmarkStart w:id="30" w:name="_Toc19947"/>
      <w:r>
        <w:rPr>
          <w:rFonts w:hint="eastAsia" w:ascii="宋体" w:hAnsi="宋体" w:eastAsia="宋体" w:cs="宋体"/>
          <w:color w:val="auto"/>
          <w:sz w:val="36"/>
          <w:szCs w:val="30"/>
          <w:highlight w:val="none"/>
        </w:rPr>
        <w:t>第二篇  采购服务需求</w:t>
      </w:r>
      <w:bookmarkEnd w:id="28"/>
      <w:bookmarkEnd w:id="29"/>
      <w:bookmarkEnd w:id="30"/>
      <w:bookmarkStart w:id="31" w:name="_Toc12789058"/>
    </w:p>
    <w:p>
      <w:pPr>
        <w:pStyle w:val="4"/>
        <w:spacing w:before="0" w:after="0" w:line="312" w:lineRule="auto"/>
        <w:rPr>
          <w:rFonts w:ascii="宋体" w:hAnsi="宋体" w:cs="宋体"/>
          <w:color w:val="auto"/>
          <w:sz w:val="24"/>
          <w:szCs w:val="24"/>
          <w:highlight w:val="none"/>
        </w:rPr>
      </w:pPr>
      <w:bookmarkStart w:id="32" w:name="_Toc22268"/>
      <w:bookmarkStart w:id="33" w:name="_Toc2484"/>
      <w:bookmarkStart w:id="34" w:name="_Toc15391"/>
      <w:bookmarkStart w:id="35" w:name="_Toc8713"/>
      <w:bookmarkStart w:id="36" w:name="_Toc16238"/>
      <w:bookmarkStart w:id="37" w:name="_Toc1342"/>
      <w:bookmarkStart w:id="38" w:name="_Toc23236"/>
      <w:bookmarkStart w:id="39" w:name="_Toc6890"/>
      <w:bookmarkStart w:id="40" w:name="_Toc9707"/>
      <w:bookmarkStart w:id="41" w:name="_Toc24170"/>
      <w:r>
        <w:rPr>
          <w:rFonts w:hint="eastAsia" w:ascii="宋体" w:hAnsi="宋体" w:cs="宋体"/>
          <w:color w:val="auto"/>
          <w:sz w:val="24"/>
          <w:szCs w:val="24"/>
          <w:highlight w:val="none"/>
        </w:rPr>
        <w:t>一、</w:t>
      </w:r>
      <w:bookmarkEnd w:id="32"/>
      <w:bookmarkEnd w:id="33"/>
      <w:bookmarkEnd w:id="34"/>
      <w:bookmarkEnd w:id="35"/>
      <w:bookmarkEnd w:id="36"/>
      <w:bookmarkEnd w:id="37"/>
      <w:bookmarkEnd w:id="38"/>
      <w:bookmarkStart w:id="42" w:name="_Toc25157"/>
      <w:bookmarkStart w:id="43" w:name="_Toc28835"/>
      <w:bookmarkStart w:id="44" w:name="_Toc25797"/>
      <w:bookmarkStart w:id="45" w:name="_Toc31212"/>
      <w:bookmarkStart w:id="46" w:name="_Toc26795"/>
      <w:bookmarkStart w:id="47" w:name="_Toc10310"/>
      <w:bookmarkStart w:id="48" w:name="_Toc648"/>
      <w:r>
        <w:rPr>
          <w:rFonts w:hint="eastAsia" w:ascii="宋体" w:hAnsi="宋体" w:cs="宋体"/>
          <w:color w:val="auto"/>
          <w:sz w:val="24"/>
          <w:szCs w:val="24"/>
          <w:highlight w:val="none"/>
        </w:rPr>
        <w:t>项目需求</w:t>
      </w:r>
      <w:bookmarkEnd w:id="42"/>
      <w:bookmarkEnd w:id="43"/>
      <w:bookmarkEnd w:id="44"/>
      <w:bookmarkEnd w:id="45"/>
      <w:bookmarkEnd w:id="46"/>
      <w:bookmarkEnd w:id="47"/>
      <w:bookmarkEnd w:id="48"/>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1、服务地点：大渡口区</w:t>
      </w:r>
      <w:r>
        <w:rPr>
          <w:rFonts w:hint="eastAsia" w:ascii="宋体" w:hAnsi="宋体" w:cs="宋体"/>
          <w:color w:val="auto"/>
          <w:sz w:val="24"/>
          <w:szCs w:val="24"/>
          <w:highlight w:val="none"/>
          <w:lang w:eastAsia="zh-CN"/>
        </w:rPr>
        <w:t>跳磴</w:t>
      </w:r>
      <w:r>
        <w:rPr>
          <w:rFonts w:hint="eastAsia" w:ascii="宋体" w:hAnsi="宋体" w:cs="宋体"/>
          <w:color w:val="auto"/>
          <w:sz w:val="24"/>
          <w:szCs w:val="24"/>
          <w:highlight w:val="none"/>
        </w:rPr>
        <w:t>镇。</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2、建设规模：跳磴镇生态小镇项目计划整治区域共计 61 栋建筑，项目用地面积约为:50012.19 平方米(约 75 亩)，建筑总面积约41000平方米，外立面改造面积约 40813.37 平方米。</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3、服务范围：对跳磴镇生态小镇项目整治区域内的房屋实施现场结构鉴定，出具安全性鉴定报告；并根据跳磴镇生态小镇方案提出结构改造建议和意见。</w:t>
      </w:r>
    </w:p>
    <w:p>
      <w:pPr>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2"/>
        <w:rPr>
          <w:rFonts w:ascii="宋体" w:hAnsi="宋体" w:cs="宋体"/>
          <w:color w:val="auto"/>
          <w:sz w:val="36"/>
          <w:szCs w:val="30"/>
          <w:highlight w:val="none"/>
        </w:rPr>
      </w:pPr>
    </w:p>
    <w:p>
      <w:pPr>
        <w:pStyle w:val="3"/>
        <w:spacing w:before="0" w:after="0" w:line="312" w:lineRule="auto"/>
        <w:jc w:val="center"/>
        <w:rPr>
          <w:rFonts w:ascii="宋体" w:hAnsi="宋体" w:eastAsia="宋体" w:cs="宋体"/>
          <w:b w:val="0"/>
          <w:color w:val="auto"/>
          <w:sz w:val="36"/>
          <w:szCs w:val="30"/>
          <w:highlight w:val="none"/>
        </w:rPr>
      </w:pPr>
      <w:r>
        <w:rPr>
          <w:rFonts w:hint="eastAsia" w:ascii="宋体" w:hAnsi="宋体" w:eastAsia="宋体" w:cs="宋体"/>
          <w:color w:val="auto"/>
          <w:sz w:val="36"/>
          <w:szCs w:val="30"/>
          <w:highlight w:val="none"/>
        </w:rPr>
        <w:t>第三篇  采购商务需求</w:t>
      </w:r>
      <w:bookmarkEnd w:id="31"/>
      <w:bookmarkEnd w:id="39"/>
      <w:bookmarkEnd w:id="40"/>
      <w:bookmarkEnd w:id="41"/>
    </w:p>
    <w:p>
      <w:pPr>
        <w:pStyle w:val="4"/>
        <w:spacing w:before="0" w:after="0" w:line="312" w:lineRule="auto"/>
        <w:rPr>
          <w:rFonts w:ascii="宋体" w:hAnsi="宋体" w:cs="宋体"/>
          <w:color w:val="auto"/>
          <w:sz w:val="24"/>
          <w:szCs w:val="24"/>
          <w:highlight w:val="none"/>
        </w:rPr>
      </w:pPr>
      <w:bookmarkStart w:id="49" w:name="_Toc15767"/>
      <w:bookmarkStart w:id="50" w:name="_Toc28985"/>
      <w:bookmarkStart w:id="51" w:name="_Toc18657"/>
      <w:bookmarkStart w:id="52" w:name="_Toc521399410"/>
      <w:bookmarkStart w:id="53" w:name="_Toc344475120"/>
      <w:r>
        <w:rPr>
          <w:rFonts w:hint="eastAsia" w:ascii="宋体" w:hAnsi="宋体" w:cs="宋体"/>
          <w:color w:val="auto"/>
          <w:sz w:val="24"/>
          <w:szCs w:val="24"/>
          <w:highlight w:val="none"/>
        </w:rPr>
        <w:t>一、服务期、地点及验收方式</w:t>
      </w:r>
      <w:bookmarkEnd w:id="49"/>
      <w:bookmarkEnd w:id="50"/>
      <w:bookmarkEnd w:id="51"/>
      <w:bookmarkEnd w:id="52"/>
      <w:bookmarkEnd w:id="53"/>
    </w:p>
    <w:p>
      <w:pPr>
        <w:pStyle w:val="9"/>
        <w:spacing w:line="360" w:lineRule="auto"/>
        <w:ind w:firstLine="360" w:firstLineChars="150"/>
        <w:rPr>
          <w:rFonts w:ascii="黑体" w:hAnsi="黑体" w:eastAsia="黑体"/>
          <w:color w:val="auto"/>
          <w:sz w:val="24"/>
          <w:szCs w:val="24"/>
          <w:highlight w:val="none"/>
        </w:rPr>
      </w:pPr>
      <w:bookmarkStart w:id="54" w:name="_Toc27155"/>
      <w:bookmarkStart w:id="55" w:name="_Toc344475122"/>
      <w:bookmarkStart w:id="56" w:name="_Toc4253"/>
      <w:bookmarkStart w:id="57" w:name="_Toc521399411"/>
      <w:bookmarkStart w:id="58" w:name="_Toc22834"/>
      <w:r>
        <w:rPr>
          <w:rFonts w:hint="eastAsia" w:ascii="黑体" w:hAnsi="黑体" w:eastAsia="黑体"/>
          <w:color w:val="auto"/>
          <w:sz w:val="24"/>
          <w:szCs w:val="24"/>
          <w:highlight w:val="none"/>
        </w:rPr>
        <w:t>（一）服务期</w:t>
      </w:r>
    </w:p>
    <w:p>
      <w:pPr>
        <w:pStyle w:val="9"/>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合同签订之日有效，具体开始时间以甲方通知为准，服务期60日历天。</w:t>
      </w:r>
    </w:p>
    <w:p>
      <w:pPr>
        <w:pStyle w:val="9"/>
        <w:spacing w:line="360" w:lineRule="auto"/>
        <w:ind w:firstLine="360" w:firstLineChars="150"/>
        <w:rPr>
          <w:rFonts w:ascii="黑体" w:hAnsi="黑体" w:eastAsia="黑体"/>
          <w:color w:val="auto"/>
          <w:sz w:val="24"/>
          <w:szCs w:val="24"/>
          <w:highlight w:val="none"/>
        </w:rPr>
      </w:pPr>
      <w:r>
        <w:rPr>
          <w:rFonts w:hint="eastAsia" w:ascii="黑体" w:hAnsi="黑体" w:eastAsia="黑体"/>
          <w:color w:val="auto"/>
          <w:sz w:val="24"/>
          <w:szCs w:val="24"/>
          <w:highlight w:val="none"/>
        </w:rPr>
        <w:t>（二）服务地点</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服务地点：详见第二篇。</w:t>
      </w:r>
    </w:p>
    <w:p>
      <w:pPr>
        <w:spacing w:line="360" w:lineRule="auto"/>
        <w:ind w:firstLine="480" w:firstLineChars="200"/>
        <w:rPr>
          <w:rFonts w:ascii="黑体" w:hAnsi="黑体" w:eastAsia="黑体"/>
          <w:color w:val="auto"/>
          <w:sz w:val="24"/>
          <w:szCs w:val="24"/>
          <w:highlight w:val="none"/>
        </w:rPr>
      </w:pPr>
      <w:r>
        <w:rPr>
          <w:rFonts w:hint="eastAsia" w:ascii="黑体" w:hAnsi="黑体" w:eastAsia="黑体"/>
          <w:color w:val="auto"/>
          <w:sz w:val="24"/>
          <w:szCs w:val="24"/>
          <w:highlight w:val="none"/>
        </w:rPr>
        <w:t>（三）验收方式：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1、由采购人自行验收；向采购人提交符合国家现行有关行业标准的安全性鉴定报告，且对其报告的真实性、准确性负责。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2、竞标人提供的服务未达到竞争性磋商文件规定要求，且对采购人造成损失的，由竞标人承担一切责任，并赔偿所造成的损失。</w:t>
      </w:r>
    </w:p>
    <w:p>
      <w:pPr>
        <w:pStyle w:val="4"/>
        <w:spacing w:before="0" w:after="0" w:line="360" w:lineRule="auto"/>
        <w:rPr>
          <w:rFonts w:ascii="方正仿宋_GBK" w:hAnsi="宋体" w:eastAsia="方正仿宋_GBK"/>
          <w:color w:val="auto"/>
          <w:sz w:val="24"/>
          <w:szCs w:val="24"/>
          <w:highlight w:val="none"/>
        </w:rPr>
      </w:pPr>
      <w:r>
        <w:rPr>
          <w:rFonts w:hint="eastAsia" w:ascii="宋体" w:hAnsi="宋体" w:cs="宋体"/>
          <w:color w:val="auto"/>
          <w:sz w:val="24"/>
          <w:szCs w:val="24"/>
          <w:highlight w:val="none"/>
        </w:rPr>
        <w:t>二、报价要求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1、本项目报价为</w:t>
      </w:r>
      <w:bookmarkEnd w:id="54"/>
      <w:bookmarkEnd w:id="55"/>
      <w:bookmarkEnd w:id="56"/>
      <w:bookmarkEnd w:id="57"/>
      <w:bookmarkEnd w:id="58"/>
      <w:bookmarkStart w:id="59" w:name="_Toc23879"/>
      <w:bookmarkStart w:id="60" w:name="_Toc25895"/>
      <w:bookmarkStart w:id="61" w:name="_Toc344475123"/>
      <w:bookmarkStart w:id="62" w:name="_Toc21021"/>
      <w:bookmarkStart w:id="63" w:name="_Toc521399412"/>
      <w:r>
        <w:rPr>
          <w:rFonts w:hint="eastAsia" w:ascii="宋体" w:hAnsi="宋体" w:cs="宋体"/>
          <w:color w:val="auto"/>
          <w:sz w:val="24"/>
          <w:szCs w:val="24"/>
          <w:highlight w:val="none"/>
        </w:rPr>
        <w:t>采用全费用综合单价包干，该费用包含但不限于完成本项目所需的人工、材料、资料费、评审费、专家费、利润、税金等一切费用。</w:t>
      </w:r>
    </w:p>
    <w:p>
      <w:pPr>
        <w:pStyle w:val="2"/>
        <w:ind w:firstLine="0"/>
        <w:rPr>
          <w:color w:val="auto"/>
          <w:highlight w:val="none"/>
        </w:rPr>
      </w:pPr>
      <w:r>
        <w:rPr>
          <w:rFonts w:hint="eastAsia"/>
          <w:color w:val="auto"/>
          <w:highlight w:val="none"/>
        </w:rPr>
        <w:t xml:space="preserve">    2、本项目竞标人的竞标总报价及单价均不得高于总价最高限价及单价最高限价，超过最高限价的报价视为废标。</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三、结算方式及付款方式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1、结算方式：成交单价×建筑总面积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（1）、成交单价以现场二次报价为准。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（2）、建筑总面积以成交人出具的经甲方认可的检测或鉴定报告为准。</w:t>
      </w:r>
    </w:p>
    <w:p>
      <w:pPr>
        <w:pStyle w:val="2"/>
        <w:rPr>
          <w:rFonts w:ascii="宋体" w:hAnsi="宋体" w:cs="宋体"/>
          <w:color w:val="auto"/>
          <w:szCs w:val="24"/>
          <w:highlight w:val="none"/>
        </w:rPr>
      </w:pPr>
      <w:r>
        <w:rPr>
          <w:rFonts w:hint="eastAsia" w:ascii="宋体" w:hAnsi="宋体" w:cs="宋体"/>
          <w:color w:val="auto"/>
          <w:szCs w:val="24"/>
          <w:highlight w:val="none"/>
        </w:rPr>
        <w:t>（3）、结算金额超过410000元的，按410000元结算。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2、对项目包含所有房屋进行现场结构鉴定并分别出具安全性鉴定报告后一个月内支付至结算金额的100%，付款前，供应商需提供等额、真实、有效的增值税专用发票。</w:t>
      </w: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四、知识产权</w:t>
      </w:r>
      <w:bookmarkEnd w:id="59"/>
      <w:bookmarkEnd w:id="60"/>
      <w:bookmarkEnd w:id="61"/>
      <w:bookmarkEnd w:id="62"/>
      <w:bookmarkEnd w:id="63"/>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4"/>
        <w:spacing w:before="0" w:after="0" w:line="312" w:lineRule="auto"/>
        <w:rPr>
          <w:rFonts w:ascii="宋体" w:hAnsi="宋体" w:cs="宋体"/>
          <w:color w:val="auto"/>
          <w:sz w:val="24"/>
          <w:szCs w:val="24"/>
          <w:highlight w:val="none"/>
        </w:rPr>
      </w:pPr>
      <w:bookmarkStart w:id="64" w:name="_Toc521399413"/>
      <w:bookmarkStart w:id="65" w:name="_Toc30749"/>
      <w:bookmarkStart w:id="66" w:name="_Toc1403"/>
      <w:bookmarkStart w:id="67" w:name="_Toc986"/>
      <w:r>
        <w:rPr>
          <w:rFonts w:hint="eastAsia" w:ascii="宋体" w:hAnsi="宋体" w:cs="宋体"/>
          <w:color w:val="auto"/>
          <w:sz w:val="24"/>
          <w:szCs w:val="24"/>
          <w:highlight w:val="none"/>
        </w:rPr>
        <w:t>五、</w:t>
      </w:r>
      <w:bookmarkStart w:id="68" w:name="_Toc344475125"/>
      <w:r>
        <w:rPr>
          <w:rFonts w:hint="eastAsia" w:ascii="宋体" w:hAnsi="宋体" w:cs="宋体"/>
          <w:color w:val="auto"/>
          <w:sz w:val="24"/>
          <w:szCs w:val="24"/>
          <w:highlight w:val="none"/>
        </w:rPr>
        <w:t>其他</w:t>
      </w:r>
      <w:bookmarkEnd w:id="64"/>
      <w:bookmarkEnd w:id="65"/>
      <w:bookmarkEnd w:id="66"/>
      <w:bookmarkEnd w:id="67"/>
    </w:p>
    <w:bookmarkEnd w:id="68"/>
    <w:p>
      <w:pPr>
        <w:spacing w:line="312" w:lineRule="auto"/>
        <w:ind w:firstLine="480" w:firstLineChars="200"/>
        <w:rPr>
          <w:rFonts w:ascii="宋体" w:hAnsi="宋体" w:cs="宋体"/>
          <w:color w:val="auto"/>
          <w:sz w:val="24"/>
          <w:szCs w:val="24"/>
          <w:highlight w:val="none"/>
        </w:rPr>
      </w:pPr>
      <w:bookmarkStart w:id="69" w:name="_Toc30266"/>
      <w:bookmarkStart w:id="70" w:name="_Toc521399414"/>
      <w:bookmarkStart w:id="71" w:name="_Toc4632"/>
      <w:bookmarkStart w:id="72" w:name="_Toc23064"/>
      <w:r>
        <w:rPr>
          <w:rFonts w:hint="eastAsia" w:ascii="宋体" w:hAnsi="宋体" w:cs="宋体"/>
          <w:color w:val="auto"/>
          <w:sz w:val="24"/>
          <w:szCs w:val="24"/>
          <w:highlight w:val="none"/>
        </w:rPr>
        <w:t>（一）竞标人必须在响应文件中对以上条款和服务承诺明确列出，承诺内容必须达到本篇及竞争性磋商文件其他条款的要求。</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（二）其他未尽事宜由供需双方在采购合同中详细约定。</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（三）根据中华人民共和国政府采购实施条例第十八条：除单一来源采购项目外，为采购项目提供整体设计、规范编制或者项目管理、监理、检测等服务的供应商，不得参加该采购项目的其他采购活动。</w:t>
      </w: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六、质量保证及售后服务</w:t>
      </w:r>
      <w:bookmarkEnd w:id="69"/>
      <w:bookmarkEnd w:id="70"/>
      <w:bookmarkEnd w:id="71"/>
      <w:bookmarkEnd w:id="72"/>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达到国家现行规范及验收合格标准。</w:t>
      </w:r>
    </w:p>
    <w:p>
      <w:pPr>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pStyle w:val="2"/>
        <w:rPr>
          <w:color w:val="auto"/>
          <w:highlight w:val="none"/>
          <w:u w:val="single"/>
        </w:rPr>
      </w:pPr>
    </w:p>
    <w:p>
      <w:pPr>
        <w:snapToGrid w:val="0"/>
        <w:spacing w:line="312" w:lineRule="auto"/>
        <w:ind w:firstLine="360" w:firstLineChars="150"/>
        <w:rPr>
          <w:rFonts w:ascii="宋体" w:hAnsi="宋体" w:cs="宋体"/>
          <w:color w:val="auto"/>
          <w:sz w:val="24"/>
          <w:szCs w:val="24"/>
          <w:highlight w:val="none"/>
        </w:rPr>
      </w:pPr>
    </w:p>
    <w:p>
      <w:pPr>
        <w:pStyle w:val="3"/>
        <w:spacing w:before="0" w:after="0" w:line="312" w:lineRule="auto"/>
        <w:rPr>
          <w:rFonts w:ascii="宋体" w:hAnsi="宋体" w:eastAsia="宋体" w:cs="宋体"/>
          <w:bCs/>
          <w:color w:val="auto"/>
          <w:sz w:val="36"/>
          <w:szCs w:val="30"/>
          <w:highlight w:val="none"/>
        </w:rPr>
      </w:pPr>
      <w:bookmarkStart w:id="73" w:name="_Toc27244"/>
      <w:bookmarkStart w:id="74" w:name="_Toc27969"/>
      <w:bookmarkStart w:id="75" w:name="_Toc5086"/>
      <w:r>
        <w:rPr>
          <w:rFonts w:hint="eastAsia" w:ascii="宋体" w:hAnsi="宋体" w:eastAsia="宋体" w:cs="宋体"/>
          <w:bCs/>
          <w:color w:val="auto"/>
          <w:sz w:val="36"/>
          <w:szCs w:val="30"/>
          <w:highlight w:val="none"/>
        </w:rPr>
        <w:t>第四篇 磋商程序及方法、评审标准、无效响应和</w:t>
      </w:r>
      <w:r>
        <w:rPr>
          <w:rFonts w:hint="eastAsia" w:ascii="宋体" w:hAnsi="宋体" w:eastAsia="宋体" w:cs="宋体"/>
          <w:bCs/>
          <w:color w:val="auto"/>
          <w:sz w:val="36"/>
          <w:szCs w:val="36"/>
          <w:highlight w:val="none"/>
        </w:rPr>
        <w:t>采购终止</w:t>
      </w:r>
      <w:bookmarkEnd w:id="73"/>
      <w:bookmarkEnd w:id="74"/>
      <w:bookmarkEnd w:id="75"/>
    </w:p>
    <w:p>
      <w:pPr>
        <w:pStyle w:val="4"/>
        <w:spacing w:before="0" w:after="0" w:line="312" w:lineRule="auto"/>
        <w:rPr>
          <w:rFonts w:ascii="宋体" w:hAnsi="宋体" w:cs="宋体"/>
          <w:color w:val="auto"/>
          <w:sz w:val="24"/>
          <w:szCs w:val="24"/>
          <w:highlight w:val="none"/>
        </w:rPr>
      </w:pPr>
      <w:bookmarkStart w:id="76" w:name="_Toc15209"/>
      <w:bookmarkStart w:id="77" w:name="_Toc16377"/>
      <w:bookmarkStart w:id="78" w:name="_Toc10110"/>
      <w:r>
        <w:rPr>
          <w:rFonts w:hint="eastAsia" w:ascii="宋体" w:hAnsi="宋体" w:cs="宋体"/>
          <w:color w:val="auto"/>
          <w:sz w:val="24"/>
          <w:szCs w:val="24"/>
          <w:highlight w:val="none"/>
        </w:rPr>
        <w:t>一、磋商程序及方法</w:t>
      </w:r>
      <w:bookmarkEnd w:id="76"/>
      <w:bookmarkEnd w:id="77"/>
      <w:bookmarkEnd w:id="78"/>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（一）磋商按磋商文件规定的时间和地点进行，供应商须有法定代表人或其授权代表参加并签到。</w:t>
      </w:r>
      <w:r>
        <w:rPr>
          <w:rFonts w:hint="eastAsia" w:ascii="方正仿宋_GBK" w:hAnsi="宋体" w:eastAsia="方正仿宋_GBK"/>
          <w:b/>
          <w:color w:val="auto"/>
          <w:szCs w:val="28"/>
          <w:highlight w:val="none"/>
        </w:rPr>
        <w:t>法定代表人或其授权代表须提供身份证原件核验身份，如无身份证原件核验身份的，无权行使相应权利</w:t>
      </w:r>
      <w:r>
        <w:rPr>
          <w:rFonts w:hint="eastAsia" w:ascii="方正仿宋_GBK" w:hAnsi="宋体" w:eastAsia="方正仿宋_GBK"/>
          <w:color w:val="auto"/>
          <w:sz w:val="24"/>
          <w:szCs w:val="24"/>
          <w:highlight w:val="none"/>
        </w:rPr>
        <w:t>。</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资格性检查。依据法律法规和磋商采购文件的规定，对响应文件中的资格证明进行审查，以确定供应商是否具备磋商资格1。资格性检查资料表如下：</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42"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p>
            <w:pPr>
              <w:jc w:val="center"/>
              <w:rPr>
                <w:rFonts w:ascii="宋体" w:hAnsi="宋体" w:cs="宋体"/>
                <w:color w:val="auto"/>
                <w:sz w:val="21"/>
                <w:szCs w:val="21"/>
                <w:highlight w:val="none"/>
              </w:rPr>
            </w:pPr>
          </w:p>
        </w:tc>
        <w:tc>
          <w:tcPr>
            <w:tcW w:w="709"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供应商法人营业执照（副本）或事业单位法人证书（副本）或个体工商户营业执照、组织机构代码证复印件（注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 xml:space="preserve">）； </w:t>
            </w:r>
          </w:p>
          <w:p>
            <w:pPr>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42" w:type="dxa"/>
            <w:vMerge w:val="restart"/>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ascii="宋体" w:hAnsi="宋体" w:cs="宋体"/>
                <w:color w:val="auto"/>
                <w:kern w:val="0"/>
                <w:sz w:val="21"/>
                <w:szCs w:val="21"/>
                <w:highlight w:val="none"/>
              </w:rPr>
              <w:fldChar w:fldCharType="begin"/>
            </w:r>
            <w:r>
              <w:rPr>
                <w:rFonts w:hint="eastAsia" w:ascii="宋体" w:hAnsi="宋体" w:cs="宋体"/>
                <w:color w:val="auto"/>
                <w:kern w:val="0"/>
                <w:sz w:val="21"/>
                <w:szCs w:val="21"/>
                <w:highlight w:val="none"/>
              </w:rPr>
              <w:instrText xml:space="preserve">eq \o\ac(</w:instrText>
            </w:r>
            <w:r>
              <w:rPr>
                <w:rFonts w:hint="eastAsia" w:ascii="宋体" w:hAnsi="宋体" w:cs="宋体"/>
                <w:color w:val="auto"/>
                <w:kern w:val="0"/>
                <w:position w:val="-4"/>
                <w:sz w:val="31"/>
                <w:szCs w:val="21"/>
                <w:highlight w:val="none"/>
              </w:rPr>
              <w:instrText xml:space="preserve">○</w:instrText>
            </w:r>
            <w:r>
              <w:rPr>
                <w:rFonts w:hint="eastAsia" w:ascii="宋体" w:hAnsi="宋体" w:cs="宋体"/>
                <w:color w:val="auto"/>
                <w:kern w:val="0"/>
                <w:sz w:val="21"/>
                <w:szCs w:val="21"/>
                <w:highlight w:val="none"/>
              </w:rPr>
              <w:instrText xml:space="preserve">,2)</w:instrText>
            </w:r>
            <w:r>
              <w:rPr>
                <w:rFonts w:ascii="宋体" w:hAnsi="宋体" w:cs="宋体"/>
                <w:color w:val="auto"/>
                <w:kern w:val="0"/>
                <w:sz w:val="21"/>
                <w:szCs w:val="21"/>
                <w:highlight w:val="none"/>
              </w:rPr>
              <w:fldChar w:fldCharType="end"/>
            </w:r>
            <w:r>
              <w:rPr>
                <w:rFonts w:hint="eastAsia" w:ascii="宋体" w:hAnsi="宋体" w:cs="宋体"/>
                <w:color w:val="auto"/>
                <w:sz w:val="21"/>
                <w:szCs w:val="21"/>
                <w:highlight w:val="none"/>
              </w:rPr>
              <w:t>）</w:t>
            </w:r>
          </w:p>
        </w:tc>
        <w:tc>
          <w:tcPr>
            <w:tcW w:w="3542" w:type="dxa"/>
            <w:vMerge w:val="continue"/>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Merge w:val="continue"/>
            <w:vAlign w:val="center"/>
          </w:tcPr>
          <w:p>
            <w:pPr>
              <w:rPr>
                <w:rFonts w:ascii="宋体" w:hAnsi="宋体" w:cs="宋体"/>
                <w:color w:val="auto"/>
                <w:sz w:val="21"/>
                <w:szCs w:val="21"/>
                <w:highlight w:val="none"/>
                <w:lang w:val="zh-CN"/>
              </w:rPr>
            </w:pPr>
          </w:p>
        </w:tc>
        <w:tc>
          <w:tcPr>
            <w:tcW w:w="467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42" w:type="dxa"/>
            <w:vAlign w:val="center"/>
          </w:tcPr>
          <w:p>
            <w:pP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highlight w:val="none"/>
              </w:rPr>
            </w:pPr>
          </w:p>
        </w:tc>
        <w:tc>
          <w:tcPr>
            <w:tcW w:w="709" w:type="dxa"/>
            <w:vAlign w:val="center"/>
          </w:tcPr>
          <w:p>
            <w:pPr>
              <w:tabs>
                <w:tab w:val="left" w:pos="1494"/>
              </w:tabs>
              <w:rPr>
                <w:rFonts w:ascii="宋体" w:hAnsi="宋体" w:cs="宋体"/>
                <w:color w:val="auto"/>
                <w:sz w:val="21"/>
                <w:szCs w:val="21"/>
                <w:highlight w:val="none"/>
              </w:rPr>
            </w:pPr>
          </w:p>
        </w:tc>
        <w:tc>
          <w:tcPr>
            <w:tcW w:w="4679" w:type="dxa"/>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（7）特定资格条件</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vAlign w:val="center"/>
          </w:tcPr>
          <w:p>
            <w:pPr>
              <w:tabs>
                <w:tab w:val="left" w:pos="1494"/>
              </w:tabs>
              <w:rPr>
                <w:rFonts w:ascii="宋体" w:hAnsi="宋体" w:cs="宋体"/>
                <w:color w:val="auto"/>
                <w:sz w:val="21"/>
                <w:szCs w:val="21"/>
                <w:highlight w:val="none"/>
              </w:rPr>
            </w:pPr>
            <w:r>
              <w:rPr>
                <w:rFonts w:hint="eastAsia" w:ascii="宋体" w:hAnsi="宋体" w:cs="宋体"/>
                <w:color w:val="auto"/>
                <w:sz w:val="21"/>
                <w:szCs w:val="21"/>
                <w:highlight w:val="none"/>
              </w:rPr>
              <w:t>落实政府采购政策需满足的资格要求</w:t>
            </w:r>
          </w:p>
        </w:tc>
        <w:tc>
          <w:tcPr>
            <w:tcW w:w="3542"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按“第一篇三、供应商资格要求（二）落实政府采购政策需满足的资格要求”的要求提交（如果有）。</w:t>
            </w:r>
          </w:p>
        </w:tc>
      </w:tr>
    </w:tbl>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：供应商按“三证合一”登记制度办理营业执照的，组织机构代码证和税务登记证（副本）以供应商所提供的营业执照（副本）复印件为准。</w:t>
      </w:r>
    </w:p>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r>
        <w:rPr>
          <w:rFonts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eq \o\ac(○,2)</w:instrText>
      </w:r>
      <w:r>
        <w:rPr>
          <w:rFonts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2、符合性检查。依据磋商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文件的规定，从响应文件的有效性、完整性和对磋商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文件的响应程度进行审查，以确定是否对磋商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文件的实质性要求作出响应。符合性检查资料表如下：</w:t>
      </w:r>
    </w:p>
    <w:tbl>
      <w:tblPr>
        <w:tblStyle w:val="1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vAlign w:val="center"/>
          </w:tcPr>
          <w:p>
            <w:pPr>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vAlign w:val="center"/>
          </w:tcPr>
          <w:p>
            <w:pPr>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法定代表人身份证明及授权委托书有效，符合磋商采购文件规定的格式，签字或盖章齐全。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只能在采购预算范围内报价，</w:t>
            </w: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vMerge w:val="restart"/>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文件正、副本数量符合磋商采购文件要求。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kern w:val="0"/>
                <w:sz w:val="21"/>
                <w:szCs w:val="21"/>
                <w:highlight w:val="none"/>
              </w:rPr>
            </w:pPr>
          </w:p>
        </w:tc>
        <w:tc>
          <w:tcPr>
            <w:tcW w:w="1984"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文件内容</w:t>
            </w:r>
          </w:p>
        </w:tc>
        <w:tc>
          <w:tcPr>
            <w:tcW w:w="5409" w:type="dxa"/>
            <w:vAlign w:val="center"/>
          </w:tcPr>
          <w:p>
            <w:pPr>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75" w:type="dxa"/>
            <w:vMerge w:val="restart"/>
            <w:vAlign w:val="center"/>
          </w:tcPr>
          <w:p>
            <w:pPr>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vAlign w:val="center"/>
          </w:tcPr>
          <w:p>
            <w:pPr>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磋商</w:t>
            </w:r>
            <w:r>
              <w:rPr>
                <w:rFonts w:ascii="宋体" w:hAnsi="宋体" w:cs="宋体"/>
                <w:color w:val="auto"/>
                <w:kern w:val="0"/>
                <w:sz w:val="21"/>
                <w:szCs w:val="21"/>
                <w:highlight w:val="none"/>
              </w:rPr>
              <w:t>采购</w:t>
            </w:r>
            <w:r>
              <w:rPr>
                <w:rFonts w:hint="eastAsia" w:ascii="宋体" w:hAnsi="宋体" w:cs="宋体"/>
                <w:color w:val="auto"/>
                <w:kern w:val="0"/>
                <w:sz w:val="21"/>
                <w:szCs w:val="21"/>
                <w:highlight w:val="none"/>
              </w:rPr>
              <w:t>文件的响应程度审查</w:t>
            </w: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vAlign w:val="center"/>
          </w:tcPr>
          <w:p>
            <w:pPr>
              <w:pStyle w:val="8"/>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满足对磋商采购文件第二、三篇规定的磋商内容，并作出响应。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vAlign w:val="center"/>
          </w:tcPr>
          <w:p>
            <w:pPr>
              <w:jc w:val="center"/>
              <w:rPr>
                <w:rFonts w:ascii="宋体" w:hAnsi="宋体" w:cs="宋体"/>
                <w:color w:val="auto"/>
                <w:kern w:val="0"/>
                <w:sz w:val="21"/>
                <w:szCs w:val="21"/>
                <w:highlight w:val="none"/>
              </w:rPr>
            </w:pPr>
          </w:p>
        </w:tc>
        <w:tc>
          <w:tcPr>
            <w:tcW w:w="1560" w:type="dxa"/>
            <w:vMerge w:val="continue"/>
            <w:vAlign w:val="center"/>
          </w:tcPr>
          <w:p>
            <w:pPr>
              <w:rPr>
                <w:rFonts w:ascii="宋体" w:hAnsi="宋体" w:cs="宋体"/>
                <w:color w:val="auto"/>
                <w:sz w:val="21"/>
                <w:szCs w:val="21"/>
                <w:highlight w:val="none"/>
                <w:lang w:val="zh-CN"/>
              </w:rPr>
            </w:pPr>
          </w:p>
        </w:tc>
        <w:tc>
          <w:tcPr>
            <w:tcW w:w="1984"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vAlign w:val="center"/>
          </w:tcPr>
          <w:p>
            <w:pPr>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（五）在磋商过程中磋商的任何一方不得向他人透露与磋商有关的技术资料、价格或其他信息。</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（六）在磋商过程中，磋商小组可以根据竞磋商采购文件和磋商情况实质性变动采购需求中的技术、服务要求以及合同草案条款，但不得变动磋商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文件中的其他内容。实质性变动的内容，须经采购人代表确认。对磋商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文件作出的实质性变动是磋商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文件的有效组成部分，磋商小组应当及时以书面形式同时通知所有参加磋商的供应商。</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312"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（八）</w:t>
      </w:r>
      <w:r>
        <w:rPr>
          <w:rFonts w:hint="eastAsia" w:ascii="宋体" w:hAnsi="宋体" w:cs="宋体"/>
          <w:color w:val="auto"/>
          <w:kern w:val="0"/>
          <w:sz w:val="24"/>
          <w:szCs w:val="24"/>
          <w:highlight w:val="none"/>
        </w:rPr>
        <w:t>磋商结束后，磋商小组要求所有参加正式磋商的</w:t>
      </w:r>
      <w:r>
        <w:rPr>
          <w:rFonts w:hint="eastAsia" w:ascii="宋体" w:hAnsi="宋体" w:cs="宋体"/>
          <w:color w:val="auto"/>
          <w:sz w:val="24"/>
          <w:szCs w:val="24"/>
          <w:highlight w:val="none"/>
        </w:rPr>
        <w:t>供应商</w:t>
      </w:r>
      <w:r>
        <w:rPr>
          <w:rFonts w:hint="eastAsia" w:ascii="宋体" w:hAnsi="宋体" w:cs="宋体"/>
          <w:color w:val="auto"/>
          <w:kern w:val="0"/>
          <w:sz w:val="24"/>
          <w:szCs w:val="24"/>
          <w:highlight w:val="none"/>
        </w:rPr>
        <w:t>在规定时间内同时书面提交最后报价及有关承诺（由法定代表人或其授权代表现场填写《最后报价表》并按手印提交）。已提交响应文件但未在规定时间内进行最后报价的供应商，视为放弃最后报价，以供应商响应文件中的报价为准；若第二次报价高于报价文件报价，则视为无效报价，不能成为成交候选人。</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w:t>
      </w:r>
      <w:r>
        <w:rPr>
          <w:rFonts w:hint="eastAsia" w:ascii="宋体" w:hAnsi="宋体" w:cs="宋体"/>
          <w:color w:val="auto"/>
          <w:kern w:val="0"/>
          <w:sz w:val="24"/>
          <w:szCs w:val="24"/>
          <w:highlight w:val="none"/>
        </w:rPr>
        <w:t>（含有效书面承诺）</w:t>
      </w:r>
      <w:r>
        <w:rPr>
          <w:rFonts w:hint="eastAsia" w:ascii="宋体" w:hAnsi="宋体" w:cs="宋体"/>
          <w:color w:val="auto"/>
          <w:sz w:val="24"/>
          <w:szCs w:val="24"/>
          <w:highlight w:val="none"/>
        </w:rPr>
        <w:t>进行综合评分。</w:t>
      </w:r>
      <w:r>
        <w:rPr>
          <w:rFonts w:hint="eastAsia" w:ascii="宋体" w:hAnsi="宋体" w:cs="宋体"/>
          <w:color w:val="auto"/>
          <w:kern w:val="0"/>
          <w:sz w:val="24"/>
          <w:szCs w:val="24"/>
          <w:highlight w:val="none"/>
        </w:rPr>
        <w:t>综合评分法，是指响应文件满足磋商</w:t>
      </w:r>
      <w:r>
        <w:rPr>
          <w:rFonts w:ascii="宋体" w:hAnsi="宋体" w:cs="宋体"/>
          <w:color w:val="auto"/>
          <w:kern w:val="0"/>
          <w:sz w:val="24"/>
          <w:szCs w:val="24"/>
          <w:highlight w:val="none"/>
        </w:rPr>
        <w:t>采购</w:t>
      </w:r>
      <w:r>
        <w:rPr>
          <w:rFonts w:hint="eastAsia" w:ascii="宋体" w:hAnsi="宋体" w:cs="宋体"/>
          <w:color w:val="auto"/>
          <w:kern w:val="0"/>
          <w:sz w:val="24"/>
          <w:szCs w:val="24"/>
          <w:highlight w:val="none"/>
        </w:rPr>
        <w:t>文件全部实质性要求且按照评审因素的量化指标评审得分最高的供应商为成交候选供应商的评审方法。供应商总得分为价格、商务、技术等评定因素分别按照相应权重值计算分项得分后相加，满分为100分</w:t>
      </w:r>
      <w:r>
        <w:rPr>
          <w:rFonts w:hint="eastAsia" w:ascii="宋体" w:hAnsi="宋体" w:cs="宋体"/>
          <w:color w:val="auto"/>
          <w:sz w:val="24"/>
          <w:szCs w:val="24"/>
          <w:highlight w:val="none"/>
        </w:rPr>
        <w:t>。（详见评审标准）。</w:t>
      </w:r>
    </w:p>
    <w:p>
      <w:pPr>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w:t>
      </w:r>
      <w:r>
        <w:rPr>
          <w:rFonts w:hint="eastAsia" w:ascii="宋体" w:hAnsi="宋体" w:cs="宋体"/>
          <w:color w:val="auto"/>
          <w:kern w:val="0"/>
          <w:sz w:val="24"/>
          <w:szCs w:val="24"/>
          <w:highlight w:val="none"/>
        </w:rPr>
        <w:t>实质性响应</w:t>
      </w:r>
      <w:r>
        <w:rPr>
          <w:rFonts w:hint="eastAsia" w:ascii="宋体" w:hAnsi="宋体" w:cs="宋体"/>
          <w:color w:val="auto"/>
          <w:sz w:val="24"/>
          <w:szCs w:val="24"/>
          <w:highlight w:val="none"/>
        </w:rPr>
        <w:t>文件进行评价、打分，然后汇总每个供应商每项评分因素的得分，并根据综合评分情况按照评审得分由高到低顺序推荐成交候选供应商，并编写评审报告。若供应商的评审得分相同的，按照最后报价由低到高的顺序排列推荐。评审得分且最后报价相同的，按照服务指标优劣顺序排列推荐。（提示：请慎重考虑是否推荐服务部分得分为0分的供应商成为成交候选供应商，应在竞争性磋商文件中对该种情况的处理方式予以明确。）</w:t>
      </w:r>
    </w:p>
    <w:p>
      <w:pPr>
        <w:spacing w:line="312" w:lineRule="auto"/>
        <w:rPr>
          <w:rFonts w:ascii="宋体" w:hAnsi="宋体" w:cs="宋体"/>
          <w:color w:val="auto"/>
          <w:sz w:val="24"/>
          <w:szCs w:val="24"/>
          <w:highlight w:val="none"/>
        </w:rPr>
      </w:pPr>
      <w:r>
        <w:rPr>
          <w:rFonts w:hint="eastAsia" w:ascii="宋体" w:hAnsi="宋体" w:cs="宋体"/>
          <w:b/>
          <w:bCs/>
          <w:color w:val="auto"/>
          <w:sz w:val="24"/>
          <w:szCs w:val="24"/>
          <w:highlight w:val="none"/>
        </w:rPr>
        <w:t>二、评审标准</w:t>
      </w:r>
    </w:p>
    <w:tbl>
      <w:tblPr>
        <w:tblStyle w:val="14"/>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432"/>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61" w:type="dxa"/>
            <w:noWrap/>
            <w:vAlign w:val="center"/>
          </w:tcPr>
          <w:p>
            <w:pPr>
              <w:spacing w:line="400" w:lineRule="exact"/>
              <w:jc w:val="center"/>
              <w:rPr>
                <w:rFonts w:ascii="宋体" w:hAnsi="宋体" w:cs="宋体"/>
                <w:b/>
                <w:color w:val="auto"/>
                <w:sz w:val="24"/>
                <w:highlight w:val="none"/>
              </w:rPr>
            </w:pPr>
            <w:bookmarkStart w:id="79" w:name="_Toc23540"/>
            <w:bookmarkStart w:id="80" w:name="_Toc24050"/>
            <w:bookmarkStart w:id="81" w:name="_Toc29019"/>
            <w:bookmarkStart w:id="82" w:name="_Toc102227320"/>
            <w:bookmarkStart w:id="83" w:name="_Toc342913394"/>
            <w:r>
              <w:rPr>
                <w:rFonts w:hint="eastAsia" w:ascii="宋体" w:hAnsi="宋体" w:cs="宋体"/>
                <w:b/>
                <w:color w:val="auto"/>
                <w:sz w:val="24"/>
                <w:highlight w:val="none"/>
              </w:rPr>
              <w:t>序号</w:t>
            </w:r>
          </w:p>
        </w:tc>
        <w:tc>
          <w:tcPr>
            <w:tcW w:w="1432"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评分权重</w:t>
            </w:r>
          </w:p>
        </w:tc>
        <w:tc>
          <w:tcPr>
            <w:tcW w:w="1761"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分值</w:t>
            </w:r>
          </w:p>
        </w:tc>
        <w:tc>
          <w:tcPr>
            <w:tcW w:w="3640"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评分标准</w:t>
            </w:r>
          </w:p>
        </w:tc>
        <w:tc>
          <w:tcPr>
            <w:tcW w:w="2446" w:type="dxa"/>
            <w:noWrap/>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561"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432"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投标报价（15%）</w:t>
            </w:r>
          </w:p>
        </w:tc>
        <w:tc>
          <w:tcPr>
            <w:tcW w:w="1761" w:type="dxa"/>
            <w:noWrap/>
            <w:vAlign w:val="center"/>
          </w:tcPr>
          <w:p>
            <w:pPr>
              <w:spacing w:line="40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15分</w:t>
            </w:r>
          </w:p>
        </w:tc>
        <w:tc>
          <w:tcPr>
            <w:tcW w:w="3640"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有效的投标报价中的最低价为评标基准价，按照下列公式计算每个投标人的投标价格得分。</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投标报价得分＝（评标基准价/投标报价）×价格权重×100，得数保留至小数点后两位。</w:t>
            </w:r>
          </w:p>
        </w:tc>
        <w:tc>
          <w:tcPr>
            <w:tcW w:w="2446"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561" w:type="dxa"/>
            <w:vMerge w:val="restart"/>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432" w:type="dxa"/>
            <w:vMerge w:val="restart"/>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商务部分（50%）</w:t>
            </w:r>
          </w:p>
        </w:tc>
        <w:tc>
          <w:tcPr>
            <w:tcW w:w="1761" w:type="dxa"/>
            <w:noWrap/>
            <w:vAlign w:val="center"/>
          </w:tcPr>
          <w:p>
            <w:pPr>
              <w:spacing w:line="40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业绩</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c>
          <w:tcPr>
            <w:tcW w:w="3640"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1.提供的业绩满足下列要求，每满足一个得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分，本项最高得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自2019年1月1日起至投标截止日止（以合同签订时间为准），自建房安全性检测鉴定业绩。</w:t>
            </w:r>
          </w:p>
        </w:tc>
        <w:tc>
          <w:tcPr>
            <w:tcW w:w="2446"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提供业绩的投标人须在响应文件商务评分部分提供该业绩的合同协议书复印件。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561"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1432"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1761" w:type="dxa"/>
            <w:noWrap/>
            <w:vAlign w:val="center"/>
          </w:tcPr>
          <w:p>
            <w:pPr>
              <w:spacing w:line="400" w:lineRule="exact"/>
              <w:jc w:val="center"/>
              <w:rPr>
                <w:rFonts w:asciiTheme="minorEastAsia" w:hAnsiTheme="minorEastAsia" w:eastAsiaTheme="minorEastAsia" w:cstheme="minorEastAsia"/>
                <w:color w:val="auto"/>
                <w:sz w:val="24"/>
                <w:szCs w:val="24"/>
                <w:highlight w:val="none"/>
              </w:rPr>
            </w:pPr>
          </w:p>
          <w:p>
            <w:pPr>
              <w:spacing w:line="400" w:lineRule="exact"/>
              <w:jc w:val="center"/>
              <w:rPr>
                <w:rFonts w:asciiTheme="minorEastAsia" w:hAnsiTheme="minorEastAsia" w:eastAsiaTheme="minorEastAsia" w:cstheme="minorEastAsia"/>
                <w:color w:val="auto"/>
                <w:sz w:val="24"/>
                <w:szCs w:val="24"/>
                <w:highlight w:val="none"/>
              </w:rPr>
            </w:pPr>
          </w:p>
          <w:p>
            <w:pPr>
              <w:spacing w:line="400" w:lineRule="exact"/>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人员</w:t>
            </w:r>
            <w:r>
              <w:rPr>
                <w:rFonts w:hint="eastAsia" w:asciiTheme="minorEastAsia" w:hAnsiTheme="minorEastAsia" w:eastAsiaTheme="minorEastAsia" w:cstheme="minorEastAsia"/>
                <w:color w:val="auto"/>
                <w:sz w:val="24"/>
                <w:szCs w:val="24"/>
                <w:highlight w:val="none"/>
                <w:lang w:val="en-US" w:eastAsia="zh-CN"/>
              </w:rPr>
              <w:t>45</w:t>
            </w:r>
            <w:r>
              <w:rPr>
                <w:rFonts w:hint="eastAsia" w:asciiTheme="minorEastAsia" w:hAnsiTheme="minorEastAsia" w:eastAsiaTheme="minorEastAsia" w:cstheme="minorEastAsia"/>
                <w:color w:val="auto"/>
                <w:sz w:val="24"/>
                <w:szCs w:val="24"/>
                <w:highlight w:val="none"/>
              </w:rPr>
              <w:t>分</w:t>
            </w:r>
          </w:p>
        </w:tc>
        <w:tc>
          <w:tcPr>
            <w:tcW w:w="3640" w:type="dxa"/>
            <w:noWrap/>
            <w:vAlign w:val="center"/>
          </w:tcPr>
          <w:p>
            <w:pPr>
              <w:spacing w:line="400" w:lineRule="exact"/>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2.1在满足特定资格条件的基础上，现场检测人员每增加1人，得1分，最高得5分。</w:t>
            </w:r>
            <w:r>
              <w:rPr>
                <w:rFonts w:hint="eastAsia" w:asciiTheme="minorEastAsia" w:hAnsiTheme="minorEastAsia" w:eastAsiaTheme="minorEastAsia" w:cstheme="minorEastAsia"/>
                <w:color w:val="auto"/>
                <w:sz w:val="24"/>
                <w:szCs w:val="24"/>
                <w:highlight w:val="none"/>
                <w:lang w:eastAsia="zh-CN"/>
              </w:rPr>
              <w:t>如现场检测人员为工程师及以上职称且同时具备主体结构工程现场检测、地基基础工程检测（审核）、钢结构工程检测（审核）证书，每1人，得</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分，最高得10分。</w:t>
            </w:r>
            <w:r>
              <w:rPr>
                <w:rFonts w:hint="eastAsia" w:asciiTheme="minorEastAsia" w:hAnsiTheme="minorEastAsia" w:eastAsiaTheme="minorEastAsia" w:cstheme="minorEastAsia"/>
                <w:color w:val="auto"/>
                <w:kern w:val="2"/>
                <w:sz w:val="24"/>
                <w:szCs w:val="24"/>
                <w:highlight w:val="none"/>
                <w:lang w:val="en-US" w:eastAsia="zh-CN" w:bidi="ar-SA"/>
              </w:rPr>
              <w:t>本项最高得15分。</w:t>
            </w:r>
          </w:p>
          <w:p>
            <w:pPr>
              <w:spacing w:line="40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（提供有效的检测证书复印件、职称证复印件、社保缴纳证明材料）</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2.2项目负责人：</w:t>
            </w:r>
          </w:p>
          <w:p>
            <w:pPr>
              <w:spacing w:line="40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项目负责人具备建设工程质量鉴定证书得5分，同时具备注册土木工程师（岩土）和一级注册结构工程师的得10分，</w:t>
            </w:r>
            <w:r>
              <w:rPr>
                <w:rFonts w:hint="eastAsia" w:asciiTheme="minorEastAsia" w:hAnsiTheme="minorEastAsia" w:eastAsiaTheme="minorEastAsia" w:cstheme="minorEastAsia"/>
                <w:color w:val="auto"/>
                <w:sz w:val="24"/>
                <w:szCs w:val="24"/>
                <w:highlight w:val="none"/>
                <w:lang w:eastAsia="zh-CN"/>
              </w:rPr>
              <w:t>本项</w:t>
            </w:r>
            <w:r>
              <w:rPr>
                <w:rFonts w:hint="eastAsia" w:asciiTheme="minorEastAsia" w:hAnsiTheme="minorEastAsia" w:eastAsiaTheme="minorEastAsia" w:cstheme="minorEastAsia"/>
                <w:color w:val="auto"/>
                <w:sz w:val="24"/>
                <w:szCs w:val="24"/>
                <w:highlight w:val="none"/>
              </w:rPr>
              <w:t>最高得15分。</w:t>
            </w:r>
          </w:p>
          <w:p>
            <w:pPr>
              <w:spacing w:line="4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2.3技术负责人：</w:t>
            </w:r>
          </w:p>
          <w:p>
            <w:pPr>
              <w:spacing w:line="400" w:lineRule="exact"/>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技术负责人</w:t>
            </w:r>
            <w:r>
              <w:rPr>
                <w:rFonts w:hint="eastAsia" w:asciiTheme="minorEastAsia" w:hAnsiTheme="minorEastAsia" w:eastAsiaTheme="minorEastAsia" w:cstheme="minorEastAsia"/>
                <w:color w:val="auto"/>
                <w:sz w:val="24"/>
                <w:szCs w:val="24"/>
                <w:highlight w:val="none"/>
                <w:lang w:val="en-US" w:eastAsia="zh-CN"/>
              </w:rPr>
              <w:t>具备</w:t>
            </w:r>
            <w:r>
              <w:rPr>
                <w:rFonts w:hint="eastAsia" w:asciiTheme="minorEastAsia" w:hAnsiTheme="minorEastAsia" w:eastAsiaTheme="minorEastAsia" w:cstheme="minorEastAsia"/>
                <w:color w:val="auto"/>
                <w:sz w:val="24"/>
                <w:szCs w:val="24"/>
                <w:highlight w:val="none"/>
              </w:rPr>
              <w:t>高级工程师</w:t>
            </w:r>
            <w:r>
              <w:rPr>
                <w:rFonts w:hint="eastAsia" w:asciiTheme="minorEastAsia" w:hAnsiTheme="minorEastAsia" w:eastAsiaTheme="minorEastAsia" w:cstheme="minorEastAsia"/>
                <w:color w:val="auto"/>
                <w:sz w:val="24"/>
                <w:szCs w:val="24"/>
                <w:highlight w:val="none"/>
                <w:lang w:val="en-US" w:eastAsia="zh-CN"/>
              </w:rPr>
              <w:t>职称</w:t>
            </w:r>
            <w:r>
              <w:rPr>
                <w:rFonts w:hint="eastAsia" w:asciiTheme="minorEastAsia" w:hAnsiTheme="minorEastAsia" w:eastAsiaTheme="minorEastAsia" w:cstheme="minorEastAsia"/>
                <w:color w:val="auto"/>
                <w:sz w:val="24"/>
                <w:szCs w:val="24"/>
                <w:highlight w:val="none"/>
              </w:rPr>
              <w:t>得5分，同时具备注册土木工程师（岩土）和一级注册结构工程师的得10分，</w:t>
            </w:r>
            <w:r>
              <w:rPr>
                <w:rFonts w:hint="eastAsia" w:asciiTheme="minorEastAsia" w:hAnsiTheme="minorEastAsia" w:eastAsiaTheme="minorEastAsia" w:cstheme="minorEastAsia"/>
                <w:color w:val="auto"/>
                <w:sz w:val="24"/>
                <w:szCs w:val="24"/>
                <w:highlight w:val="none"/>
                <w:lang w:eastAsia="zh-CN"/>
              </w:rPr>
              <w:t>本项</w:t>
            </w:r>
            <w:r>
              <w:rPr>
                <w:rFonts w:hint="eastAsia" w:asciiTheme="minorEastAsia" w:hAnsiTheme="minorEastAsia" w:eastAsiaTheme="minorEastAsia" w:cstheme="minorEastAsia"/>
                <w:color w:val="auto"/>
                <w:sz w:val="24"/>
                <w:szCs w:val="24"/>
                <w:highlight w:val="none"/>
              </w:rPr>
              <w:t>最高得15分。</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2.4本项人员资质最高得4</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p>
        </w:tc>
        <w:tc>
          <w:tcPr>
            <w:tcW w:w="2446" w:type="dxa"/>
            <w:noWrap/>
            <w:vAlign w:val="center"/>
          </w:tcPr>
          <w:p>
            <w:pPr>
              <w:spacing w:line="400" w:lineRule="exact"/>
              <w:rPr>
                <w:rFonts w:asciiTheme="minorEastAsia" w:hAnsiTheme="minorEastAsia" w:eastAsiaTheme="minorEastAsia" w:cstheme="minorEastAsia"/>
                <w:color w:val="auto"/>
                <w:sz w:val="24"/>
                <w:szCs w:val="24"/>
                <w:highlight w:val="none"/>
              </w:rPr>
            </w:pP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提供人员注册证、检测证、职称证、投标人为其缴纳的养老保险证明材料。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atLeast"/>
          <w:jc w:val="center"/>
        </w:trPr>
        <w:tc>
          <w:tcPr>
            <w:tcW w:w="561"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1432"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7847" w:type="dxa"/>
            <w:gridSpan w:val="3"/>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特别说明：</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（1）上述要求所须提交的相关证明材料复印件均应加盖投标单位法人章并装入响应文件商务评分部分中。</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投标人须自行承诺其提供的上述相关证明材料真实有效，不存在弄虚作假情形（格式自拟）。采购人在合同签订前均有权对竞标人提供的资料（如合同等相关证明材料）进行核实，若发现弄虚作假，取消其中选资格，投标人承担因此造成的相关责任并赔偿相应损失。</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（3）本采购文件中所要求的人员养老保险证明要求如下：</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①社会单位提供养老保险证明，事业单位提供养老保险证明或行政主管部门在编证明。</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②采购文件中对养老保险的要求为：各现场检测人员、项目负责人、项目技术负责人的连续养老保险证明期限须包含</w:t>
            </w:r>
            <w:r>
              <w:rPr>
                <w:rFonts w:hint="eastAsia" w:asciiTheme="minorEastAsia" w:hAnsiTheme="minorEastAsia" w:eastAsiaTheme="minorEastAsia" w:cstheme="minorEastAsia"/>
                <w:b/>
                <w:bCs/>
                <w:color w:val="auto"/>
                <w:sz w:val="24"/>
                <w:szCs w:val="24"/>
                <w:highlight w:val="none"/>
                <w:u w:val="single"/>
              </w:rPr>
              <w:t xml:space="preserve"> 2022 年10月至 2022 年12月</w:t>
            </w:r>
            <w:r>
              <w:rPr>
                <w:rFonts w:hint="eastAsia" w:asciiTheme="minorEastAsia" w:hAnsiTheme="minorEastAsia" w:eastAsiaTheme="minorEastAsia" w:cstheme="minorEastAsia"/>
                <w:color w:val="auto"/>
                <w:sz w:val="24"/>
                <w:szCs w:val="24"/>
                <w:highlight w:val="none"/>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7" w:hRule="atLeast"/>
          <w:jc w:val="center"/>
        </w:trPr>
        <w:tc>
          <w:tcPr>
            <w:tcW w:w="561" w:type="dxa"/>
            <w:vMerge w:val="restart"/>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432" w:type="dxa"/>
            <w:vMerge w:val="restart"/>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技术部分</w:t>
            </w:r>
          </w:p>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w:t>
            </w:r>
          </w:p>
        </w:tc>
        <w:tc>
          <w:tcPr>
            <w:tcW w:w="1761"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检测方案（20分）</w:t>
            </w:r>
          </w:p>
        </w:tc>
        <w:tc>
          <w:tcPr>
            <w:tcW w:w="6086" w:type="dxa"/>
            <w:gridSpan w:val="2"/>
            <w:noWrap/>
            <w:vAlign w:val="center"/>
          </w:tcPr>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bookmarkStart w:id="84" w:name="RANGE!D15"/>
            <w:r>
              <w:rPr>
                <w:rFonts w:hint="eastAsia" w:asciiTheme="minorEastAsia" w:hAnsiTheme="minorEastAsia" w:eastAsiaTheme="minorEastAsia" w:cstheme="minorEastAsia"/>
                <w:color w:val="auto"/>
                <w:sz w:val="24"/>
                <w:szCs w:val="24"/>
                <w:highlight w:val="none"/>
              </w:rPr>
              <w:t>有检测技术方案、检测程序、检测大纲，针对性非常强，检测目标非常明确，检测方法非常合理，检测流程非常清晰，检测项目齐全，且非常适合本项目情况的，得20分。</w:t>
            </w:r>
            <w:bookmarkEnd w:id="84"/>
          </w:p>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2、有检测技术方案、检测程序、检测大纲，有一定针对性，检测方法合理，检测项目较齐全，且适合本项目情况的，得15分。</w:t>
            </w:r>
          </w:p>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3、有检测技术方案、检测程序、检测大纲，针对性较差，检测方法合理行较差，检测项目较齐全，且基本适合本项目情况的，得10分。</w:t>
            </w:r>
          </w:p>
          <w:p>
            <w:pPr>
              <w:widowControl/>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4、缺乏实质性检测技术方案的，得0分。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jc w:val="center"/>
        </w:trPr>
        <w:tc>
          <w:tcPr>
            <w:tcW w:w="561"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1432" w:type="dxa"/>
            <w:vMerge w:val="continue"/>
            <w:noWrap/>
            <w:vAlign w:val="center"/>
          </w:tcPr>
          <w:p>
            <w:pPr>
              <w:spacing w:line="400" w:lineRule="exact"/>
              <w:rPr>
                <w:rFonts w:asciiTheme="minorEastAsia" w:hAnsiTheme="minorEastAsia" w:eastAsiaTheme="minorEastAsia" w:cstheme="minorEastAsia"/>
                <w:color w:val="auto"/>
                <w:sz w:val="24"/>
                <w:szCs w:val="24"/>
                <w:highlight w:val="none"/>
              </w:rPr>
            </w:pPr>
          </w:p>
        </w:tc>
        <w:tc>
          <w:tcPr>
            <w:tcW w:w="1761" w:type="dxa"/>
            <w:noWrap/>
            <w:vAlign w:val="center"/>
          </w:tcPr>
          <w:p>
            <w:pPr>
              <w:spacing w:line="400" w:lineRule="exac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质量、工期承诺及保证措施（15分）</w:t>
            </w:r>
          </w:p>
        </w:tc>
        <w:tc>
          <w:tcPr>
            <w:tcW w:w="6086" w:type="dxa"/>
            <w:gridSpan w:val="2"/>
            <w:noWrap/>
            <w:vAlign w:val="center"/>
          </w:tcPr>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1、质量、工期承诺满足招标要求，且有具体的违约责任承诺，对有检测质量、工期保证措施阐述，且措施得力，得15分。</w:t>
            </w:r>
          </w:p>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2、质量、工期承诺满足招标要求，且有具体的违约责任承诺，质量、工期保证措施达到要求，但存在一些问题的，得10分。</w:t>
            </w:r>
          </w:p>
          <w:p>
            <w:pPr>
              <w:spacing w:line="240" w:lineRule="atLeas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3、质量、工期承诺不满足招标要求，有违约责任承诺，不具体的，得0分。</w:t>
            </w:r>
          </w:p>
        </w:tc>
      </w:tr>
    </w:tbl>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1、投标人为非联合体投标的，对小微型企业给予6%的扣除，以扣除后的报价参与评审。</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三、无效响应</w:t>
      </w:r>
      <w:bookmarkEnd w:id="79"/>
      <w:bookmarkEnd w:id="80"/>
      <w:bookmarkEnd w:id="81"/>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供应商发生以下条款情况之一者，视为无效响应，其响应文件将被拒绝：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bookmarkStart w:id="85" w:name="_Toc23907"/>
      <w:bookmarkStart w:id="86" w:name="_Toc30355"/>
      <w:bookmarkStart w:id="87" w:name="_Toc25841"/>
      <w:r>
        <w:rPr>
          <w:rFonts w:hint="eastAsia" w:ascii="宋体" w:hAnsi="宋体" w:cs="宋体"/>
          <w:color w:val="auto"/>
          <w:sz w:val="24"/>
          <w:szCs w:val="24"/>
          <w:highlight w:val="none"/>
        </w:rPr>
        <w:t>（一）供应商不符合规定的资格条件的；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（二）供应商的法定代表人（或其授权代表）或自然人未参加磋商；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（三）供应商所提交的响应文件不按“第七篇响应文件编制要求”要求签署或盖章；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（四）供应商的最后报价超过采购预算或最高限价的；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（五）法定代表人为同一个人的两个及两个以上法人，母公司、全资子公司及其控股公司，在同一包采购中同时参与磋商；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（六）单位负责人为同一人或者存在直接控股、管理关系的不同供应商，参加同一合同项下的政府采购活动的；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（七）为采购项目提供整体设计、规范编制或者项目管理、监理、检测等服务的供应商，再参加该采购项目的其他采购活动；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（八）供应商磋商有效期不满足竞争性磋商文件要求的；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（九）供应商响应文件内容有与国家现行法律法规相违背的内容，或附有采购人无法接受的条件；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（十）法律、法规和竞争性磋商文件规定的其他无效情形。</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82"/>
      <w:bookmarkEnd w:id="83"/>
      <w:r>
        <w:rPr>
          <w:rFonts w:hint="eastAsia" w:ascii="宋体" w:hAnsi="宋体" w:cs="宋体"/>
          <w:color w:val="auto"/>
          <w:sz w:val="24"/>
          <w:szCs w:val="24"/>
          <w:highlight w:val="none"/>
        </w:rPr>
        <w:t>采购终止</w:t>
      </w:r>
      <w:bookmarkEnd w:id="85"/>
      <w:bookmarkEnd w:id="86"/>
      <w:bookmarkEnd w:id="87"/>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出现下列情形之一的，采购人应当终止磋商</w:t>
      </w:r>
      <w:r>
        <w:rPr>
          <w:rFonts w:ascii="宋体" w:hAnsi="宋体" w:cs="宋体"/>
          <w:color w:val="auto"/>
          <w:sz w:val="24"/>
          <w:szCs w:val="24"/>
          <w:highlight w:val="none"/>
        </w:rPr>
        <w:t>采购</w:t>
      </w:r>
      <w:r>
        <w:rPr>
          <w:rFonts w:hint="eastAsia" w:ascii="宋体" w:hAnsi="宋体" w:cs="宋体"/>
          <w:color w:val="auto"/>
          <w:sz w:val="24"/>
          <w:szCs w:val="24"/>
          <w:highlight w:val="none"/>
        </w:rPr>
        <w:t>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（一）因情况变化，不再符合规定的磋商</w:t>
      </w:r>
      <w:r>
        <w:rPr>
          <w:rFonts w:ascii="宋体" w:hAnsi="宋体" w:cs="宋体"/>
          <w:color w:val="auto"/>
          <w:sz w:val="24"/>
          <w:szCs w:val="24"/>
          <w:highlight w:val="none"/>
        </w:rPr>
        <w:t>采购</w:t>
      </w:r>
      <w:r>
        <w:rPr>
          <w:rFonts w:hint="eastAsia" w:ascii="宋体" w:hAnsi="宋体" w:cs="宋体"/>
          <w:color w:val="auto"/>
          <w:sz w:val="24"/>
          <w:szCs w:val="24"/>
          <w:highlight w:val="none"/>
        </w:rPr>
        <w:t>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12" w:lineRule="auto"/>
        <w:ind w:firstLine="465"/>
        <w:rPr>
          <w:rFonts w:ascii="宋体" w:hAnsi="宋体" w:cs="宋体"/>
          <w:color w:val="auto"/>
          <w:sz w:val="24"/>
          <w:szCs w:val="24"/>
          <w:highlight w:val="none"/>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color w:val="auto"/>
          <w:szCs w:val="30"/>
          <w:highlight w:val="none"/>
        </w:rPr>
      </w:pPr>
      <w:bookmarkStart w:id="88" w:name="_Toc25636"/>
      <w:bookmarkStart w:id="89" w:name="_Toc25652"/>
      <w:bookmarkStart w:id="90" w:name="_Toc21400"/>
      <w:bookmarkStart w:id="91" w:name="_Toc102227313"/>
      <w:r>
        <w:rPr>
          <w:rFonts w:hint="eastAsia" w:ascii="宋体" w:hAnsi="宋体" w:eastAsia="宋体" w:cs="宋体"/>
          <w:bCs/>
          <w:color w:val="auto"/>
          <w:sz w:val="36"/>
          <w:szCs w:val="30"/>
          <w:highlight w:val="none"/>
        </w:rPr>
        <w:t>第五篇  供应商须知</w:t>
      </w:r>
      <w:bookmarkEnd w:id="88"/>
      <w:bookmarkEnd w:id="89"/>
      <w:bookmarkEnd w:id="90"/>
      <w:bookmarkEnd w:id="91"/>
    </w:p>
    <w:p>
      <w:pPr>
        <w:pStyle w:val="4"/>
        <w:spacing w:before="0" w:after="0" w:line="360" w:lineRule="auto"/>
        <w:rPr>
          <w:rFonts w:ascii="宋体" w:hAnsi="宋体" w:cs="宋体"/>
          <w:color w:val="auto"/>
          <w:sz w:val="24"/>
          <w:szCs w:val="24"/>
          <w:highlight w:val="none"/>
        </w:rPr>
      </w:pPr>
      <w:bookmarkStart w:id="92" w:name="_Toc342913389"/>
      <w:bookmarkStart w:id="93" w:name="_Toc465"/>
      <w:bookmarkStart w:id="94" w:name="_Toc24338"/>
      <w:bookmarkStart w:id="95" w:name="_Toc18058"/>
      <w:r>
        <w:rPr>
          <w:rFonts w:hint="eastAsia" w:ascii="宋体" w:hAnsi="宋体" w:cs="宋体"/>
          <w:color w:val="auto"/>
          <w:sz w:val="24"/>
          <w:szCs w:val="24"/>
          <w:highlight w:val="none"/>
        </w:rPr>
        <w:t>一、磋商费用</w:t>
      </w:r>
      <w:bookmarkEnd w:id="92"/>
      <w:bookmarkEnd w:id="93"/>
      <w:bookmarkEnd w:id="94"/>
      <w:bookmarkEnd w:id="95"/>
    </w:p>
    <w:p>
      <w:pPr>
        <w:pStyle w:val="1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360" w:lineRule="auto"/>
        <w:rPr>
          <w:rFonts w:ascii="宋体" w:hAnsi="宋体" w:cs="宋体"/>
          <w:color w:val="auto"/>
          <w:sz w:val="24"/>
          <w:szCs w:val="24"/>
          <w:highlight w:val="none"/>
        </w:rPr>
      </w:pPr>
      <w:bookmarkStart w:id="96" w:name="_Toc9574"/>
      <w:bookmarkStart w:id="97" w:name="_Toc29852"/>
      <w:bookmarkStart w:id="98" w:name="_Toc342913391"/>
      <w:bookmarkStart w:id="99" w:name="_Toc889"/>
      <w:r>
        <w:rPr>
          <w:rFonts w:hint="eastAsia" w:ascii="宋体" w:hAnsi="宋体" w:cs="宋体"/>
          <w:color w:val="auto"/>
          <w:sz w:val="24"/>
          <w:szCs w:val="24"/>
          <w:highlight w:val="none"/>
        </w:rPr>
        <w:t>二、磋商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w:t>
      </w:r>
      <w:bookmarkEnd w:id="96"/>
      <w:bookmarkEnd w:id="97"/>
      <w:bookmarkEnd w:id="98"/>
      <w:bookmarkEnd w:id="99"/>
    </w:p>
    <w:p>
      <w:pPr>
        <w:pStyle w:val="4"/>
        <w:spacing w:before="0" w:after="0" w:line="360" w:lineRule="auto"/>
        <w:ind w:firstLine="480" w:firstLineChars="200"/>
        <w:rPr>
          <w:rFonts w:ascii="宋体" w:hAnsi="宋体" w:cs="宋体"/>
          <w:b w:val="0"/>
          <w:color w:val="auto"/>
          <w:sz w:val="24"/>
          <w:szCs w:val="24"/>
          <w:highlight w:val="none"/>
        </w:rPr>
      </w:pPr>
      <w:bookmarkStart w:id="100" w:name="_Toc1269"/>
      <w:bookmarkStart w:id="101" w:name="_Toc102227318"/>
      <w:bookmarkStart w:id="102" w:name="_Toc179714297"/>
      <w:bookmarkStart w:id="103" w:name="_Toc16134"/>
      <w:bookmarkStart w:id="104" w:name="_Toc342913392"/>
      <w:bookmarkStart w:id="105" w:name="_Toc19161"/>
      <w:r>
        <w:rPr>
          <w:rFonts w:hint="eastAsia" w:ascii="宋体" w:hAnsi="宋体" w:cs="宋体"/>
          <w:b w:val="0"/>
          <w:color w:val="auto"/>
          <w:sz w:val="24"/>
          <w:szCs w:val="24"/>
          <w:highlight w:val="none"/>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（二）采购人所作的一切有效的书面通知、修改及补充，都是竞争性磋商文件不可分割的部分。</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（三）竞争性磋商文件的解释</w:t>
      </w:r>
    </w:p>
    <w:p>
      <w:pPr>
        <w:pStyle w:val="4"/>
        <w:spacing w:before="0" w:after="0" w:line="360"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三、磋商要求</w:t>
      </w:r>
      <w:bookmarkEnd w:id="100"/>
      <w:bookmarkEnd w:id="101"/>
      <w:bookmarkEnd w:id="102"/>
      <w:bookmarkEnd w:id="103"/>
      <w:bookmarkEnd w:id="104"/>
      <w:bookmarkEnd w:id="105"/>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bookmarkStart w:id="106" w:name="_Toc18360"/>
      <w:bookmarkStart w:id="107" w:name="_Toc13950"/>
      <w:bookmarkStart w:id="108" w:name="_Toc1096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（二）磋商有效期：响应文件及有关承诺文件有效期为提交响应文件截止时间起90天。</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（三）修正错误</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（四）提交响应文件的份数和签署</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2.响应文件按竞争性磋商文件“第七篇响应文件编制要求”要求签署或盖章。</w:t>
      </w:r>
    </w:p>
    <w:p>
      <w:pPr>
        <w:pStyle w:val="4"/>
        <w:spacing w:before="0" w:after="0" w:line="360" w:lineRule="auto"/>
        <w:ind w:firstLine="240" w:firstLineChars="100"/>
        <w:rPr>
          <w:rFonts w:ascii="宋体" w:hAnsi="宋体" w:cs="宋体"/>
          <w:b w:val="0"/>
          <w:color w:val="auto"/>
          <w:sz w:val="24"/>
          <w:szCs w:val="24"/>
          <w:highlight w:val="none"/>
        </w:rPr>
      </w:pPr>
      <w:r>
        <w:rPr>
          <w:rFonts w:hint="eastAsia" w:ascii="宋体" w:hAnsi="宋体" w:cs="宋体"/>
          <w:b w:val="0"/>
          <w:color w:val="auto"/>
          <w:sz w:val="24"/>
          <w:szCs w:val="24"/>
          <w:highlight w:val="none"/>
        </w:rPr>
        <w:t>（五）响应文件的递交</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（六）供应商参与人员</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各个供应商应当派1-2名代表参与磋商，至少1人应为法定代表人（或其授权代表）或自然人（供应商为自然人）。</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四、成交供应商的确认和变更</w:t>
      </w:r>
      <w:bookmarkEnd w:id="106"/>
      <w:bookmarkEnd w:id="107"/>
      <w:bookmarkEnd w:id="108"/>
    </w:p>
    <w:p>
      <w:pPr>
        <w:pStyle w:val="4"/>
        <w:spacing w:before="0" w:after="0" w:line="360" w:lineRule="auto"/>
        <w:ind w:firstLine="480" w:firstLineChars="200"/>
        <w:rPr>
          <w:rFonts w:ascii="宋体" w:hAnsi="宋体" w:cs="宋体"/>
          <w:b w:val="0"/>
          <w:color w:val="auto"/>
          <w:sz w:val="24"/>
          <w:szCs w:val="24"/>
          <w:highlight w:val="none"/>
        </w:rPr>
      </w:pPr>
      <w:bookmarkStart w:id="109" w:name="_Toc16678"/>
      <w:bookmarkStart w:id="110" w:name="_Toc12171"/>
      <w:bookmarkStart w:id="111" w:name="_Toc342913395"/>
      <w:bookmarkStart w:id="112" w:name="_Toc102227321"/>
      <w:bookmarkStart w:id="113" w:name="_Toc9338"/>
      <w:r>
        <w:rPr>
          <w:rFonts w:hint="eastAsia" w:ascii="宋体" w:hAnsi="宋体" w:cs="宋体"/>
          <w:b w:val="0"/>
          <w:color w:val="auto"/>
          <w:sz w:val="24"/>
          <w:szCs w:val="24"/>
          <w:highlight w:val="none"/>
        </w:rPr>
        <w:t>（一）成交供应商的确认</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采购人收到评审报告后，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（二）成交供应商的变更</w:t>
      </w:r>
    </w:p>
    <w:p>
      <w:pPr>
        <w:pStyle w:val="4"/>
        <w:spacing w:before="0" w:after="0" w:line="360" w:lineRule="auto"/>
        <w:ind w:firstLine="480" w:firstLineChars="200"/>
        <w:rPr>
          <w:rFonts w:ascii="宋体" w:hAnsi="宋体" w:cs="宋体"/>
          <w:b w:val="0"/>
          <w:color w:val="auto"/>
          <w:sz w:val="24"/>
          <w:szCs w:val="24"/>
          <w:highlight w:val="none"/>
        </w:rPr>
      </w:pPr>
      <w:r>
        <w:rPr>
          <w:rFonts w:hint="eastAsia" w:ascii="宋体" w:hAnsi="宋体" w:cs="宋体"/>
          <w:b w:val="0"/>
          <w:color w:val="auto"/>
          <w:sz w:val="24"/>
          <w:szCs w:val="24"/>
          <w:highlight w:val="none"/>
        </w:rPr>
        <w:t>成交供应商拒绝与采购人签订合同的，采购人可以按照评标报告推荐的成交候选供应商顺序，确定排名下一位的候选人为成交供应商，也可以重新开展采购活动。</w:t>
      </w:r>
    </w:p>
    <w:p>
      <w:pPr>
        <w:pStyle w:val="4"/>
        <w:spacing w:before="0"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五、成交通知</w:t>
      </w:r>
      <w:bookmarkEnd w:id="109"/>
      <w:bookmarkEnd w:id="110"/>
      <w:bookmarkEnd w:id="111"/>
      <w:bookmarkEnd w:id="112"/>
      <w:bookmarkEnd w:id="11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4"/>
        <w:spacing w:before="0" w:after="0" w:line="360" w:lineRule="auto"/>
        <w:rPr>
          <w:rFonts w:ascii="宋体" w:hAnsi="宋体" w:cs="宋体"/>
          <w:color w:val="auto"/>
          <w:sz w:val="24"/>
          <w:szCs w:val="24"/>
          <w:highlight w:val="none"/>
        </w:rPr>
      </w:pPr>
      <w:bookmarkStart w:id="114" w:name="_Toc1331"/>
      <w:bookmarkStart w:id="115" w:name="_Toc14603"/>
      <w:bookmarkStart w:id="116" w:name="_Toc4498"/>
      <w:r>
        <w:rPr>
          <w:rFonts w:hint="eastAsia" w:ascii="宋体" w:hAnsi="宋体" w:cs="宋体"/>
          <w:color w:val="auto"/>
          <w:sz w:val="24"/>
          <w:szCs w:val="24"/>
          <w:highlight w:val="none"/>
        </w:rPr>
        <w:t>六、关于咨询</w:t>
      </w:r>
      <w:bookmarkEnd w:id="114"/>
      <w:bookmarkEnd w:id="115"/>
      <w:bookmarkEnd w:id="11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1.质疑时限、内容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1.2.1供应商的姓名或者名称、地址、邮编、联系人及联系电话；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1.2.2质疑项目的名称、项目号以及磋商项目编号；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1.2.3具体、明确的质疑事项和与质疑事项相关的请求；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1.2.4事实依据；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1.2.5必要的法律依据；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1.2.6提出质疑的日期；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2.质疑答复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3.其他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3.2质疑函范本可在财政部门户网站和中国政府采购网下载。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color w:val="auto"/>
          <w:sz w:val="24"/>
          <w:szCs w:val="24"/>
          <w:highlight w:val="none"/>
        </w:rPr>
      </w:pPr>
      <w:bookmarkStart w:id="117" w:name="_Toc102227322"/>
      <w:bookmarkStart w:id="118" w:name="_Toc342913396"/>
      <w:bookmarkStart w:id="119" w:name="_Toc9382"/>
      <w:bookmarkStart w:id="120" w:name="_Toc3254"/>
      <w:bookmarkStart w:id="121" w:name="_Toc9092"/>
      <w:bookmarkStart w:id="122" w:name="_Toc11641055"/>
      <w:bookmarkStart w:id="123" w:name="_Toc12789059"/>
      <w:r>
        <w:rPr>
          <w:rFonts w:hint="eastAsia" w:ascii="宋体" w:hAnsi="宋体" w:cs="宋体"/>
          <w:color w:val="auto"/>
          <w:sz w:val="24"/>
          <w:szCs w:val="24"/>
          <w:highlight w:val="none"/>
        </w:rPr>
        <w:t>七、签订</w:t>
      </w:r>
      <w:bookmarkEnd w:id="117"/>
      <w:r>
        <w:rPr>
          <w:rFonts w:hint="eastAsia" w:ascii="宋体" w:hAnsi="宋体" w:cs="宋体"/>
          <w:color w:val="auto"/>
          <w:sz w:val="24"/>
          <w:szCs w:val="24"/>
          <w:highlight w:val="none"/>
        </w:rPr>
        <w:t>合同</w:t>
      </w:r>
      <w:bookmarkEnd w:id="118"/>
      <w:bookmarkEnd w:id="119"/>
      <w:bookmarkEnd w:id="120"/>
      <w:bookmarkEnd w:id="121"/>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13"/>
        <w:spacing w:line="360" w:lineRule="auto"/>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八、政府采购信用融资</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spacing w:line="360" w:lineRule="auto"/>
        <w:ind w:firstLine="360" w:firstLineChars="150"/>
        <w:rPr>
          <w:rFonts w:ascii="宋体" w:hAnsi="宋体" w:cs="宋体"/>
          <w:color w:val="auto"/>
          <w:sz w:val="36"/>
          <w:szCs w:val="30"/>
          <w:highlight w:val="none"/>
        </w:rPr>
      </w:pPr>
      <w:r>
        <w:rPr>
          <w:rFonts w:hint="eastAsia" w:ascii="宋体" w:hAnsi="宋体" w:cs="宋体"/>
          <w:color w:val="auto"/>
          <w:sz w:val="24"/>
          <w:szCs w:val="24"/>
          <w:highlight w:val="none"/>
        </w:rPr>
        <w:t>18580766891。</w:t>
      </w:r>
      <w:r>
        <w:rPr>
          <w:rFonts w:hint="eastAsia" w:ascii="宋体" w:hAnsi="宋体" w:cs="宋体"/>
          <w:color w:val="auto"/>
          <w:sz w:val="24"/>
          <w:szCs w:val="24"/>
          <w:highlight w:val="none"/>
        </w:rPr>
        <w:br w:type="page"/>
      </w:r>
      <w:bookmarkStart w:id="124" w:name="_Toc22179"/>
      <w:bookmarkStart w:id="125" w:name="_Toc5841"/>
      <w:bookmarkStart w:id="126" w:name="_Toc25359"/>
      <w:r>
        <w:rPr>
          <w:rFonts w:hint="eastAsia" w:ascii="宋体" w:hAnsi="宋体" w:cs="宋体"/>
          <w:bCs/>
          <w:color w:val="auto"/>
          <w:sz w:val="36"/>
          <w:szCs w:val="30"/>
          <w:highlight w:val="none"/>
        </w:rPr>
        <w:t xml:space="preserve">第六篇 </w:t>
      </w:r>
      <w:bookmarkEnd w:id="122"/>
      <w:bookmarkEnd w:id="123"/>
      <w:bookmarkEnd w:id="124"/>
      <w:bookmarkEnd w:id="125"/>
      <w:bookmarkEnd w:id="126"/>
      <w:r>
        <w:rPr>
          <w:rFonts w:hint="eastAsia" w:ascii="宋体" w:hAnsi="宋体" w:cs="宋体"/>
          <w:bCs/>
          <w:color w:val="auto"/>
          <w:sz w:val="36"/>
          <w:szCs w:val="30"/>
          <w:highlight w:val="none"/>
        </w:rPr>
        <w:t>合同格式自拟</w:t>
      </w:r>
    </w:p>
    <w:p>
      <w:pPr>
        <w:pStyle w:val="3"/>
        <w:spacing w:before="0" w:after="0" w:line="312" w:lineRule="auto"/>
        <w:jc w:val="center"/>
        <w:rPr>
          <w:rFonts w:ascii="宋体" w:hAnsi="宋体" w:eastAsia="宋体" w:cs="宋体"/>
          <w:bCs/>
          <w:color w:val="auto"/>
          <w:sz w:val="36"/>
          <w:szCs w:val="30"/>
          <w:highlight w:val="none"/>
        </w:rPr>
      </w:pPr>
      <w:bookmarkStart w:id="127" w:name="_Hlt41879464"/>
      <w:bookmarkEnd w:id="127"/>
      <w:bookmarkStart w:id="128" w:name="_Toc12789072"/>
      <w:bookmarkStart w:id="129" w:name="_Toc32160"/>
      <w:bookmarkStart w:id="130" w:name="_Toc29402"/>
      <w:bookmarkStart w:id="131" w:name="_Toc3907"/>
      <w:r>
        <w:rPr>
          <w:rFonts w:hint="eastAsia" w:ascii="宋体" w:hAnsi="宋体" w:eastAsia="宋体" w:cs="宋体"/>
          <w:bCs/>
          <w:color w:val="auto"/>
          <w:sz w:val="36"/>
          <w:szCs w:val="30"/>
          <w:highlight w:val="none"/>
        </w:rPr>
        <w:t xml:space="preserve">第七篇  </w:t>
      </w:r>
      <w:bookmarkEnd w:id="128"/>
      <w:r>
        <w:rPr>
          <w:rFonts w:hint="eastAsia" w:ascii="宋体" w:hAnsi="宋体" w:eastAsia="宋体" w:cs="宋体"/>
          <w:bCs/>
          <w:color w:val="auto"/>
          <w:sz w:val="36"/>
          <w:szCs w:val="30"/>
          <w:highlight w:val="none"/>
        </w:rPr>
        <w:t>响应文件编制要求</w:t>
      </w:r>
      <w:bookmarkEnd w:id="129"/>
      <w:bookmarkEnd w:id="130"/>
      <w:bookmarkEnd w:id="131"/>
    </w:p>
    <w:p>
      <w:pPr>
        <w:pStyle w:val="4"/>
        <w:spacing w:before="0" w:after="0" w:line="312" w:lineRule="auto"/>
        <w:rPr>
          <w:rFonts w:ascii="宋体" w:hAnsi="宋体" w:cs="宋体"/>
          <w:bCs/>
          <w:color w:val="auto"/>
          <w:sz w:val="24"/>
          <w:szCs w:val="24"/>
          <w:highlight w:val="none"/>
        </w:rPr>
      </w:pPr>
      <w:bookmarkStart w:id="132" w:name="_Toc3226"/>
      <w:bookmarkStart w:id="133" w:name="_Toc342913419"/>
      <w:bookmarkStart w:id="134" w:name="_Toc313888360"/>
      <w:bookmarkStart w:id="135" w:name="_Toc15071"/>
      <w:bookmarkStart w:id="136" w:name="_Toc15487"/>
      <w:bookmarkStart w:id="137" w:name="_Toc313008356"/>
      <w:bookmarkStart w:id="138" w:name="_Toc12789073"/>
      <w:bookmarkStart w:id="139" w:name="_Toc283382454"/>
      <w:r>
        <w:rPr>
          <w:rFonts w:hint="eastAsia" w:ascii="宋体" w:hAnsi="宋体" w:cs="宋体"/>
          <w:bCs/>
          <w:color w:val="auto"/>
          <w:sz w:val="24"/>
          <w:szCs w:val="24"/>
          <w:highlight w:val="none"/>
        </w:rPr>
        <w:t>一、经济部分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一、经济部分</w:t>
      </w:r>
      <w:bookmarkEnd w:id="132"/>
      <w:bookmarkEnd w:id="133"/>
      <w:bookmarkEnd w:id="134"/>
      <w:bookmarkEnd w:id="135"/>
      <w:bookmarkEnd w:id="136"/>
      <w:bookmarkEnd w:id="137"/>
    </w:p>
    <w:bookmarkEnd w:id="138"/>
    <w:bookmarkEnd w:id="139"/>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（一）报价函</w:t>
      </w:r>
    </w:p>
    <w:p>
      <w:pPr>
        <w:tabs>
          <w:tab w:val="left" w:pos="6300"/>
        </w:tabs>
        <w:snapToGrid w:val="0"/>
        <w:spacing w:line="360" w:lineRule="auto"/>
        <w:jc w:val="center"/>
        <w:outlineLvl w:val="0"/>
        <w:rPr>
          <w:rFonts w:ascii="宋体" w:hAnsi="宋体" w:cs="宋体"/>
          <w:b/>
          <w:color w:val="auto"/>
          <w:szCs w:val="28"/>
          <w:highlight w:val="none"/>
        </w:rPr>
      </w:pPr>
      <w:r>
        <w:rPr>
          <w:rFonts w:hint="eastAsia" w:ascii="宋体" w:hAnsi="宋体" w:cs="宋体"/>
          <w:b/>
          <w:color w:val="auto"/>
          <w:szCs w:val="28"/>
          <w:highlight w:val="none"/>
        </w:rPr>
        <w:t>报价函</w:t>
      </w:r>
    </w:p>
    <w:p>
      <w:pPr>
        <w:tabs>
          <w:tab w:val="left" w:pos="630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u w:val="single"/>
        </w:rPr>
        <w:t>（采购人名称）</w:t>
      </w:r>
      <w:r>
        <w:rPr>
          <w:rFonts w:hint="eastAsia" w:ascii="宋体" w:hAnsi="宋体" w:cs="宋体"/>
          <w:color w:val="auto"/>
          <w:sz w:val="24"/>
          <w:szCs w:val="24"/>
          <w:highlight w:val="none"/>
        </w:rPr>
        <w:t>：</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我方收到____________________________（项目名称）的磋商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文件，经详细研究，决定参加该项目的磋商。</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1、愿意按照竞争性磋商文件中的一切要求，提供本项目的技术服务，初始报价单价为大写：</w:t>
      </w:r>
      <w:r>
        <w:rPr>
          <w:rFonts w:hint="eastAsia" w:ascii="方正仿宋_GBK" w:hAnsi="宋体" w:eastAsia="方正仿宋_GBK"/>
          <w:color w:val="auto"/>
          <w:sz w:val="24"/>
          <w:szCs w:val="24"/>
          <w:highlight w:val="none"/>
          <w:u w:val="single"/>
        </w:rPr>
        <w:t xml:space="preserve">      </w:t>
      </w:r>
      <w:r>
        <w:rPr>
          <w:rFonts w:hint="eastAsia" w:ascii="宋体" w:hAnsi="宋体" w:cs="宋体"/>
          <w:color w:val="auto"/>
          <w:sz w:val="24"/>
          <w:szCs w:val="24"/>
          <w:highlight w:val="none"/>
        </w:rPr>
        <w:t>；小写：</w:t>
      </w:r>
      <w:r>
        <w:rPr>
          <w:rFonts w:hint="eastAsia" w:ascii="宋体" w:hAnsi="宋体" w:cs="宋体"/>
          <w:color w:val="auto"/>
          <w:sz w:val="24"/>
          <w:szCs w:val="24"/>
          <w:highlight w:val="none"/>
          <w:u w:val="single"/>
        </w:rPr>
        <w:t xml:space="preserve">   </w:t>
      </w:r>
      <w:r>
        <w:rPr>
          <w:rFonts w:hint="eastAsia" w:ascii="方正仿宋_GBK" w:hAnsi="宋体" w:eastAsia="方正仿宋_GBK"/>
          <w:color w:val="auto"/>
          <w:sz w:val="24"/>
          <w:szCs w:val="24"/>
          <w:highlight w:val="none"/>
          <w:u w:val="single"/>
        </w:rPr>
        <w:t xml:space="preserve">   </w:t>
      </w:r>
      <w:r>
        <w:rPr>
          <w:rFonts w:hint="eastAsia" w:ascii="宋体" w:hAnsi="宋体" w:cs="宋体"/>
          <w:color w:val="auto"/>
          <w:sz w:val="24"/>
          <w:szCs w:val="24"/>
          <w:highlight w:val="none"/>
        </w:rPr>
        <w:t>。总价暂定为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（暂按41000平方米予以计算）以我公司最后报价为准。</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份，副本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3、我方承诺：本次磋商的有效期为90天。</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4、我方完全理解和接受贵方磋商</w:t>
      </w:r>
      <w:r>
        <w:rPr>
          <w:rFonts w:ascii="宋体" w:hAnsi="宋体" w:cs="宋体"/>
          <w:color w:val="auto"/>
          <w:sz w:val="24"/>
          <w:szCs w:val="24"/>
          <w:highlight w:val="none"/>
        </w:rPr>
        <w:t>采购</w:t>
      </w:r>
      <w:r>
        <w:rPr>
          <w:rFonts w:hint="eastAsia" w:ascii="宋体" w:hAnsi="宋体" w:cs="宋体"/>
          <w:color w:val="auto"/>
          <w:sz w:val="24"/>
          <w:szCs w:val="24"/>
          <w:highlight w:val="none"/>
        </w:rPr>
        <w:t>文件的一切规定和要求及评审办法。</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5、在整个磋商</w:t>
      </w:r>
      <w:r>
        <w:rPr>
          <w:rFonts w:ascii="宋体" w:hAnsi="宋体" w:cs="宋体"/>
          <w:color w:val="auto"/>
          <w:sz w:val="24"/>
          <w:szCs w:val="24"/>
          <w:highlight w:val="none"/>
        </w:rPr>
        <w:t>采购</w:t>
      </w:r>
      <w:r>
        <w:rPr>
          <w:rFonts w:hint="eastAsia" w:ascii="宋体" w:hAnsi="宋体" w:cs="宋体"/>
          <w:color w:val="auto"/>
          <w:sz w:val="24"/>
          <w:szCs w:val="24"/>
          <w:highlight w:val="none"/>
        </w:rPr>
        <w:t>过程中，我方若有违规行为，接受按照《中华人民共和国政府采购法》及其实施条例等规定给予惩罚。</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p>
    <w:p>
      <w:pPr>
        <w:tabs>
          <w:tab w:val="left" w:pos="6300"/>
        </w:tabs>
        <w:snapToGrid w:val="0"/>
        <w:spacing w:line="360"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snapToGrid w:val="0"/>
        <w:spacing w:line="360" w:lineRule="auto"/>
        <w:ind w:firstLine="480" w:firstLineChars="200"/>
        <w:rPr>
          <w:rFonts w:ascii="宋体" w:hAnsi="宋体" w:cs="宋体"/>
          <w:color w:val="auto"/>
          <w:sz w:val="24"/>
          <w:szCs w:val="24"/>
          <w:highlight w:val="none"/>
        </w:rPr>
        <w:sectPr>
          <w:footerReference r:id="rId11"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highlight w:val="none"/>
        </w:rPr>
        <w:t xml:space="preserve">                                                  年   月   日</w:t>
      </w:r>
    </w:p>
    <w:p>
      <w:pPr>
        <w:pStyle w:val="4"/>
        <w:spacing w:before="0" w:after="0" w:line="312" w:lineRule="auto"/>
        <w:rPr>
          <w:rFonts w:ascii="宋体" w:hAnsi="宋体" w:cs="宋体"/>
          <w:color w:val="auto"/>
          <w:sz w:val="24"/>
          <w:szCs w:val="24"/>
          <w:highlight w:val="none"/>
        </w:rPr>
      </w:pPr>
      <w:bookmarkStart w:id="140" w:name="_Toc313888361"/>
      <w:bookmarkStart w:id="141" w:name="_Toc5448"/>
      <w:bookmarkStart w:id="142" w:name="_Toc24044"/>
      <w:bookmarkStart w:id="143" w:name="_Toc9573"/>
      <w:bookmarkStart w:id="144" w:name="_Toc313008357"/>
      <w:bookmarkStart w:id="145" w:name="_Toc342913420"/>
      <w:r>
        <w:rPr>
          <w:rFonts w:hint="eastAsia" w:ascii="宋体" w:hAnsi="宋体" w:cs="宋体"/>
          <w:color w:val="auto"/>
          <w:sz w:val="24"/>
          <w:szCs w:val="24"/>
          <w:highlight w:val="none"/>
        </w:rPr>
        <w:t>二、服务部分</w:t>
      </w:r>
      <w:bookmarkEnd w:id="140"/>
      <w:bookmarkEnd w:id="141"/>
      <w:bookmarkEnd w:id="142"/>
      <w:bookmarkEnd w:id="143"/>
      <w:bookmarkEnd w:id="144"/>
      <w:bookmarkEnd w:id="145"/>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8"/>
        <w:tabs>
          <w:tab w:val="left" w:pos="6300"/>
        </w:tabs>
        <w:snapToGrid w:val="0"/>
        <w:spacing w:line="312" w:lineRule="auto"/>
        <w:ind w:firstLine="480" w:firstLineChars="200"/>
        <w:outlineLvl w:val="0"/>
        <w:rPr>
          <w:rFonts w:ascii="宋体" w:hAnsi="宋体" w:cs="宋体"/>
          <w:color w:val="auto"/>
          <w:sz w:val="24"/>
          <w:highlight w:val="none"/>
        </w:rPr>
      </w:pPr>
    </w:p>
    <w:p>
      <w:pPr>
        <w:pStyle w:val="8"/>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146" w:name="_Toc5445"/>
      <w:bookmarkStart w:id="147" w:name="_Toc313008358"/>
      <w:bookmarkStart w:id="148" w:name="_Toc313888362"/>
      <w:bookmarkStart w:id="149" w:name="_Toc30652"/>
      <w:bookmarkStart w:id="150" w:name="_Toc342913421"/>
      <w:bookmarkStart w:id="151" w:name="_Toc9361"/>
      <w:r>
        <w:rPr>
          <w:rFonts w:hint="eastAsia" w:ascii="宋体" w:hAnsi="宋体" w:cs="宋体"/>
          <w:color w:val="auto"/>
          <w:sz w:val="24"/>
          <w:szCs w:val="24"/>
          <w:highlight w:val="none"/>
        </w:rPr>
        <w:t>三、商务部分</w:t>
      </w:r>
      <w:bookmarkEnd w:id="146"/>
      <w:bookmarkEnd w:id="147"/>
      <w:bookmarkEnd w:id="148"/>
      <w:bookmarkEnd w:id="149"/>
      <w:bookmarkEnd w:id="150"/>
      <w:bookmarkEnd w:id="151"/>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152"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4"/>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152"/>
      <w:bookmarkStart w:id="153" w:name="_Toc13012"/>
      <w:bookmarkStart w:id="154" w:name="_Toc10102"/>
      <w:bookmarkStart w:id="155" w:name="_Toc5971"/>
      <w:bookmarkStart w:id="156" w:name="_Toc313888363"/>
      <w:bookmarkStart w:id="157" w:name="_Toc313008359"/>
      <w:bookmarkStart w:id="158" w:name="_Toc342913422"/>
      <w:r>
        <w:rPr>
          <w:rFonts w:hint="eastAsia" w:ascii="宋体" w:hAnsi="宋体" w:cs="宋体"/>
          <w:color w:val="auto"/>
          <w:sz w:val="24"/>
          <w:szCs w:val="24"/>
          <w:highlight w:val="none"/>
        </w:rPr>
        <w:t>四、资格条件及其他</w:t>
      </w:r>
      <w:bookmarkEnd w:id="153"/>
      <w:bookmarkEnd w:id="154"/>
      <w:bookmarkEnd w:id="155"/>
      <w:bookmarkEnd w:id="156"/>
      <w:bookmarkEnd w:id="157"/>
      <w:bookmarkEnd w:id="158"/>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w:t>
      </w:r>
      <w:bookmarkStart w:id="162" w:name="_GoBack"/>
      <w:bookmarkEnd w:id="162"/>
      <w:r>
        <w:rPr>
          <w:rFonts w:hint="eastAsia" w:asciiTheme="minorEastAsia" w:hAnsiTheme="minorEastAsia" w:eastAsiaTheme="minorEastAsia" w:cstheme="minorEastAsia"/>
          <w:color w:val="auto"/>
          <w:sz w:val="24"/>
          <w:szCs w:val="24"/>
          <w:highlight w:val="none"/>
        </w:rPr>
        <w:t>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59" w:name="_Toc106030910"/>
      <w:bookmarkStart w:id="160" w:name="_Toc76462354"/>
      <w:bookmarkStart w:id="161" w:name="_Toc14422"/>
      <w:r>
        <w:rPr>
          <w:rFonts w:hint="eastAsia" w:asciiTheme="minorEastAsia" w:hAnsiTheme="minorEastAsia" w:eastAsiaTheme="minorEastAsia" w:cstheme="minorEastAsia"/>
          <w:color w:val="auto"/>
          <w:sz w:val="24"/>
          <w:highlight w:val="none"/>
        </w:rPr>
        <w:t>五、其他资料</w:t>
      </w:r>
      <w:bookmarkEnd w:id="159"/>
      <w:bookmarkEnd w:id="160"/>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61"/>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sectPr>
      <w:head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p>
  <w:p>
    <w:pPr>
      <w:pStyle w:val="11"/>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anq4rfMBAADCAwAADgAAAAAAAAABACAAAAAfAQAAZHJzL2Uyb0RvYy54bWxQSwUGAAAAAAYA&#10;BgBZAQAAhAU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- 4 -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1"/>
        <w:szCs w:val="21"/>
      </w:rPr>
    </w:pPr>
    <w:r>
      <w:rPr>
        <w:sz w:val="21"/>
      </w:rPr>
      <w:pict>
        <v:shape id="_x0000_s1028" o:spid="_x0000_s1028"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jXsqRPMBAADCAwAADgAAAAAAAAABACAAAAAfAQAAZHJzL2Uyb0RvYy54bWxQSwUGAAAAAAYA&#10;BgBZAQAAhAU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- 10 -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26" w:hanging="420"/>
      <w:rPr>
        <w:rFonts w:ascii="宋体" w:hAnsi="宋体"/>
        <w:sz w:val="21"/>
        <w:szCs w:val="21"/>
      </w:rPr>
    </w:pPr>
    <w:r>
      <w:rPr>
        <w:sz w:val="21"/>
      </w:rPr>
      <w:pict>
        <v:shape id="_x0000_s1027" o:spid="_x0000_s1027"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pFLs0AAAAAMBAAAPAAAAAAAAAAEAIAAAACIAAABkcnMvZG93bnJldi54bWxQSwECFAAUAAAACACH&#10;TuJA74Z0qvMBAADCAwAADgAAAAAAAAABACAAAAAfAQAAZHJzL2Uyb0RvYy54bWxQSwUGAAAAAAYA&#10;BgBZAQAAhAU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AB42"/>
    <w:multiLevelType w:val="singleLevel"/>
    <w:tmpl w:val="1C80AB4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MxMzAzNDI2NTdhNjE2ZThkZWNmYmRmYTY0ODdmYzYifQ=="/>
  </w:docVars>
  <w:rsids>
    <w:rsidRoot w:val="43D97203"/>
    <w:rsid w:val="000833ED"/>
    <w:rsid w:val="00083462"/>
    <w:rsid w:val="00097DE4"/>
    <w:rsid w:val="000A4044"/>
    <w:rsid w:val="0027017D"/>
    <w:rsid w:val="002B2661"/>
    <w:rsid w:val="002F59C2"/>
    <w:rsid w:val="0046169F"/>
    <w:rsid w:val="004C5B57"/>
    <w:rsid w:val="00535F8D"/>
    <w:rsid w:val="0060601E"/>
    <w:rsid w:val="007B1BE5"/>
    <w:rsid w:val="00890BCF"/>
    <w:rsid w:val="00935C3C"/>
    <w:rsid w:val="009A476F"/>
    <w:rsid w:val="009A518A"/>
    <w:rsid w:val="00AB5AA3"/>
    <w:rsid w:val="00AE3FCB"/>
    <w:rsid w:val="00B50C01"/>
    <w:rsid w:val="00B62B99"/>
    <w:rsid w:val="00BC33BF"/>
    <w:rsid w:val="00BC34B2"/>
    <w:rsid w:val="00CA26CC"/>
    <w:rsid w:val="00CA5D98"/>
    <w:rsid w:val="00D34B48"/>
    <w:rsid w:val="00EB27FC"/>
    <w:rsid w:val="00EC55C7"/>
    <w:rsid w:val="00F54964"/>
    <w:rsid w:val="03024286"/>
    <w:rsid w:val="034877EC"/>
    <w:rsid w:val="03E2379C"/>
    <w:rsid w:val="04245B63"/>
    <w:rsid w:val="04E672BC"/>
    <w:rsid w:val="052102F4"/>
    <w:rsid w:val="058A40EC"/>
    <w:rsid w:val="06DF2215"/>
    <w:rsid w:val="08293F57"/>
    <w:rsid w:val="08397703"/>
    <w:rsid w:val="0A1E12A6"/>
    <w:rsid w:val="0BB7550F"/>
    <w:rsid w:val="0C605BA6"/>
    <w:rsid w:val="0F9C5147"/>
    <w:rsid w:val="0F9C6EF5"/>
    <w:rsid w:val="10F60887"/>
    <w:rsid w:val="10F86379"/>
    <w:rsid w:val="1131366D"/>
    <w:rsid w:val="129A5FB7"/>
    <w:rsid w:val="133B3AF6"/>
    <w:rsid w:val="14A526AA"/>
    <w:rsid w:val="18CE1ABA"/>
    <w:rsid w:val="197F41A4"/>
    <w:rsid w:val="1B4F1B63"/>
    <w:rsid w:val="1C6C7C4F"/>
    <w:rsid w:val="1D2422D8"/>
    <w:rsid w:val="1E886E71"/>
    <w:rsid w:val="1E984D2C"/>
    <w:rsid w:val="1EF05848"/>
    <w:rsid w:val="215018EE"/>
    <w:rsid w:val="269D7AB3"/>
    <w:rsid w:val="26D74585"/>
    <w:rsid w:val="28147649"/>
    <w:rsid w:val="29657F00"/>
    <w:rsid w:val="29A22F02"/>
    <w:rsid w:val="2A8C76A9"/>
    <w:rsid w:val="2B4F0107"/>
    <w:rsid w:val="2B4F0E68"/>
    <w:rsid w:val="2B960845"/>
    <w:rsid w:val="2BD66E93"/>
    <w:rsid w:val="2BF520AF"/>
    <w:rsid w:val="2C345BD0"/>
    <w:rsid w:val="2C3B01AA"/>
    <w:rsid w:val="2D574004"/>
    <w:rsid w:val="306B04F2"/>
    <w:rsid w:val="31884885"/>
    <w:rsid w:val="31FC155D"/>
    <w:rsid w:val="320E382B"/>
    <w:rsid w:val="396106E4"/>
    <w:rsid w:val="3A742699"/>
    <w:rsid w:val="3D263F44"/>
    <w:rsid w:val="3EBE0387"/>
    <w:rsid w:val="3F5874BA"/>
    <w:rsid w:val="3F68024B"/>
    <w:rsid w:val="3FBB0422"/>
    <w:rsid w:val="404B17A6"/>
    <w:rsid w:val="42980EEF"/>
    <w:rsid w:val="43D97203"/>
    <w:rsid w:val="44020D16"/>
    <w:rsid w:val="441B3B85"/>
    <w:rsid w:val="445A2900"/>
    <w:rsid w:val="47176886"/>
    <w:rsid w:val="491C0D8D"/>
    <w:rsid w:val="49E14F29"/>
    <w:rsid w:val="4A8802DC"/>
    <w:rsid w:val="4B243796"/>
    <w:rsid w:val="4BD411EA"/>
    <w:rsid w:val="4C687B84"/>
    <w:rsid w:val="50B863D3"/>
    <w:rsid w:val="50BB2ADF"/>
    <w:rsid w:val="52C46353"/>
    <w:rsid w:val="52EA4E4F"/>
    <w:rsid w:val="53E2021C"/>
    <w:rsid w:val="54D82ED4"/>
    <w:rsid w:val="551C4892"/>
    <w:rsid w:val="569A4DDE"/>
    <w:rsid w:val="598372D3"/>
    <w:rsid w:val="5BD4669C"/>
    <w:rsid w:val="5C2A2760"/>
    <w:rsid w:val="5CC06AA9"/>
    <w:rsid w:val="5CC56796"/>
    <w:rsid w:val="5E1664D1"/>
    <w:rsid w:val="5EDA4335"/>
    <w:rsid w:val="5F5F4E16"/>
    <w:rsid w:val="5FA203A4"/>
    <w:rsid w:val="6110461A"/>
    <w:rsid w:val="614F3547"/>
    <w:rsid w:val="64E9765C"/>
    <w:rsid w:val="64EC4A56"/>
    <w:rsid w:val="651B17E0"/>
    <w:rsid w:val="65336B29"/>
    <w:rsid w:val="678C42CF"/>
    <w:rsid w:val="68B27D65"/>
    <w:rsid w:val="69494C28"/>
    <w:rsid w:val="696E20AC"/>
    <w:rsid w:val="69726F93"/>
    <w:rsid w:val="699E0C7B"/>
    <w:rsid w:val="6AD14E1A"/>
    <w:rsid w:val="6B000B6A"/>
    <w:rsid w:val="6B14630C"/>
    <w:rsid w:val="6D1A6D32"/>
    <w:rsid w:val="6D7D3CD3"/>
    <w:rsid w:val="6D9B170F"/>
    <w:rsid w:val="6F176B74"/>
    <w:rsid w:val="6F4D6A39"/>
    <w:rsid w:val="6F6D49E6"/>
    <w:rsid w:val="6F8436F8"/>
    <w:rsid w:val="7128150C"/>
    <w:rsid w:val="7128267C"/>
    <w:rsid w:val="72227397"/>
    <w:rsid w:val="72D235EA"/>
    <w:rsid w:val="73C13552"/>
    <w:rsid w:val="744C4E35"/>
    <w:rsid w:val="74600FBD"/>
    <w:rsid w:val="74675EA7"/>
    <w:rsid w:val="74CA6436"/>
    <w:rsid w:val="74EE481B"/>
    <w:rsid w:val="75226272"/>
    <w:rsid w:val="76C84BF7"/>
    <w:rsid w:val="777C52CB"/>
    <w:rsid w:val="77B07B65"/>
    <w:rsid w:val="77E151EF"/>
    <w:rsid w:val="78213E0D"/>
    <w:rsid w:val="784B5AE0"/>
    <w:rsid w:val="7AA5597C"/>
    <w:rsid w:val="7D252DA4"/>
    <w:rsid w:val="7DBB2FD1"/>
    <w:rsid w:val="7DBF4FA6"/>
    <w:rsid w:val="7E694F12"/>
    <w:rsid w:val="7F61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5">
    <w:name w:val="annotation text"/>
    <w:basedOn w:val="1"/>
    <w:link w:val="19"/>
    <w:qFormat/>
    <w:uiPriority w:val="0"/>
    <w:pPr>
      <w:adjustRightInd w:val="0"/>
      <w:spacing w:line="360" w:lineRule="atLeast"/>
      <w:jc w:val="left"/>
      <w:textAlignment w:val="baseline"/>
    </w:pPr>
    <w:rPr>
      <w:kern w:val="0"/>
      <w:sz w:val="24"/>
    </w:rPr>
  </w:style>
  <w:style w:type="paragraph" w:styleId="6">
    <w:name w:val="Body Text"/>
    <w:basedOn w:val="1"/>
    <w:qFormat/>
    <w:uiPriority w:val="0"/>
    <w:rPr>
      <w:rFonts w:ascii="仿宋_GB2312" w:eastAsia="仿宋_GB2312"/>
      <w:sz w:val="32"/>
    </w:r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Body Text Indent 2"/>
    <w:basedOn w:val="1"/>
    <w:qFormat/>
    <w:uiPriority w:val="0"/>
    <w:pPr>
      <w:snapToGrid w:val="0"/>
      <w:spacing w:line="560" w:lineRule="atLeast"/>
      <w:ind w:firstLine="540"/>
    </w:p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39"/>
    <w:pPr>
      <w:tabs>
        <w:tab w:val="left" w:pos="1260"/>
        <w:tab w:val="left" w:pos="1685"/>
        <w:tab w:val="right" w:leader="dot" w:pos="8400"/>
      </w:tabs>
      <w:spacing w:line="320" w:lineRule="exact"/>
      <w:ind w:firstLine="280" w:firstLineChars="100"/>
    </w:p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1"/>
    <w:basedOn w:val="1"/>
    <w:next w:val="7"/>
    <w:qFormat/>
    <w:uiPriority w:val="0"/>
    <w:rPr>
      <w:rFonts w:ascii="宋体" w:hAnsi="Courier New"/>
      <w:sz w:val="21"/>
    </w:rPr>
  </w:style>
  <w:style w:type="character" w:customStyle="1" w:styleId="19">
    <w:name w:val="批注文字 Char"/>
    <w:basedOn w:val="15"/>
    <w:link w:val="5"/>
    <w:qFormat/>
    <w:uiPriority w:val="0"/>
    <w:rPr>
      <w:sz w:val="24"/>
    </w:rPr>
  </w:style>
  <w:style w:type="character" w:customStyle="1" w:styleId="20">
    <w:name w:val="批注框文本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15978</Words>
  <Characters>16857</Characters>
  <Lines>131</Lines>
  <Paragraphs>36</Paragraphs>
  <TotalTime>13</TotalTime>
  <ScaleCrop>false</ScaleCrop>
  <LinksUpToDate>false</LinksUpToDate>
  <CharactersWithSpaces>17762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2023-01-06T11:26:00Z</dcterms:created>
  <dc:creator>admin</dc:creator>
  <cp:lastModifiedBy>李淮</cp:lastModifiedBy>
  <dcterms:modified xsi:type="dcterms:W3CDTF">2023-01-13T07:01:43Z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BA3EF09BAC3C4F02AE9A34DD08B73C3A</vt:lpwstr>
  </property>
</Properties>
</file>