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hAnsi="黑体" w:eastAsia="黑体"/>
          <w:color w:val="auto"/>
          <w:spacing w:val="80"/>
          <w:sz w:val="112"/>
          <w:szCs w:val="112"/>
          <w:highlight w:val="none"/>
        </w:rPr>
      </w:pPr>
      <w:r>
        <w:rPr>
          <w:rFonts w:hint="eastAsia" w:ascii="黑体" w:hAnsi="黑体" w:eastAsia="黑体"/>
          <w:color w:val="auto"/>
          <w:spacing w:val="80"/>
          <w:sz w:val="112"/>
          <w:szCs w:val="112"/>
          <w:highlight w:val="none"/>
          <w:lang w:val="en-US" w:eastAsia="zh-CN"/>
        </w:rPr>
        <w:t xml:space="preserve"> </w:t>
      </w:r>
      <w:r>
        <w:rPr>
          <w:rFonts w:hint="eastAsia" w:ascii="黑体" w:hAnsi="黑体" w:eastAsia="黑体"/>
          <w:color w:val="auto"/>
          <w:spacing w:val="80"/>
          <w:sz w:val="112"/>
          <w:szCs w:val="112"/>
          <w:highlight w:val="none"/>
        </w:rPr>
        <w:t>采购文件</w:t>
      </w:r>
    </w:p>
    <w:p>
      <w:pPr>
        <w:spacing w:line="700" w:lineRule="exact"/>
        <w:jc w:val="center"/>
        <w:rPr>
          <w:rFonts w:ascii="黑体" w:hAnsi="黑体" w:eastAsia="黑体"/>
          <w:color w:val="auto"/>
          <w:sz w:val="32"/>
          <w:highlight w:val="none"/>
        </w:rPr>
      </w:pPr>
    </w:p>
    <w:p>
      <w:pPr>
        <w:spacing w:line="700" w:lineRule="exact"/>
        <w:jc w:val="center"/>
        <w:rPr>
          <w:rFonts w:ascii="黑体" w:hAnsi="黑体" w:eastAsia="黑体"/>
          <w:color w:val="auto"/>
          <w:sz w:val="32"/>
          <w:highlight w:val="none"/>
        </w:rPr>
      </w:pPr>
    </w:p>
    <w:p>
      <w:pPr>
        <w:spacing w:line="700" w:lineRule="exact"/>
        <w:jc w:val="center"/>
        <w:rPr>
          <w:rFonts w:ascii="黑体" w:hAnsi="黑体" w:eastAsia="黑体"/>
          <w:color w:val="auto"/>
          <w:sz w:val="32"/>
          <w:highlight w:val="none"/>
        </w:rPr>
      </w:pPr>
    </w:p>
    <w:p>
      <w:pPr>
        <w:spacing w:line="700" w:lineRule="exact"/>
        <w:jc w:val="center"/>
        <w:rPr>
          <w:rFonts w:hint="eastAsia" w:ascii="黑体" w:hAnsi="黑体" w:eastAsia="黑体"/>
          <w:color w:val="auto"/>
          <w:sz w:val="32"/>
          <w:highlight w:val="none"/>
          <w:lang w:eastAsia="zh-CN"/>
        </w:rPr>
      </w:pPr>
    </w:p>
    <w:p>
      <w:pPr>
        <w:spacing w:line="700" w:lineRule="exact"/>
        <w:jc w:val="center"/>
        <w:rPr>
          <w:rFonts w:ascii="黑体" w:hAnsi="黑体" w:eastAsia="黑体"/>
          <w:color w:val="auto"/>
          <w:sz w:val="32"/>
          <w:highlight w:val="none"/>
        </w:rPr>
      </w:pPr>
    </w:p>
    <w:p>
      <w:pPr>
        <w:spacing w:line="700" w:lineRule="exact"/>
        <w:ind w:firstLine="720" w:firstLineChars="200"/>
        <w:rPr>
          <w:rFonts w:hint="eastAsia" w:ascii="黑体" w:hAnsi="黑体" w:eastAsia="黑体"/>
          <w:color w:val="auto"/>
          <w:sz w:val="36"/>
          <w:szCs w:val="30"/>
          <w:highlight w:val="none"/>
          <w:u w:val="single"/>
          <w:lang w:eastAsia="zh-CN"/>
        </w:rPr>
      </w:pPr>
      <w:r>
        <w:rPr>
          <w:rFonts w:hint="eastAsia" w:ascii="黑体" w:hAnsi="黑体" w:eastAsia="黑体"/>
          <w:color w:val="auto"/>
          <w:sz w:val="36"/>
          <w:szCs w:val="30"/>
          <w:highlight w:val="none"/>
        </w:rPr>
        <w:t>项目名称：</w:t>
      </w:r>
      <w:r>
        <w:rPr>
          <w:rFonts w:hint="eastAsia" w:ascii="黑体" w:hAnsi="黑体" w:eastAsia="黑体"/>
          <w:color w:val="auto"/>
          <w:sz w:val="36"/>
          <w:szCs w:val="30"/>
          <w:highlight w:val="none"/>
          <w:lang w:eastAsia="zh-CN"/>
        </w:rPr>
        <w:t>重庆市</w:t>
      </w:r>
      <w:r>
        <w:rPr>
          <w:rFonts w:hint="eastAsia" w:ascii="黑体" w:hAnsi="黑体" w:eastAsia="黑体"/>
          <w:color w:val="auto"/>
          <w:sz w:val="36"/>
          <w:szCs w:val="30"/>
          <w:highlight w:val="none"/>
        </w:rPr>
        <w:t>大渡口区新袁茄路南延伸段道路工程全过程控制造价</w:t>
      </w:r>
      <w:r>
        <w:rPr>
          <w:rFonts w:hint="eastAsia" w:ascii="黑体" w:hAnsi="黑体" w:eastAsia="黑体"/>
          <w:color w:val="auto"/>
          <w:sz w:val="36"/>
          <w:szCs w:val="30"/>
          <w:highlight w:val="none"/>
          <w:lang w:eastAsia="zh-CN"/>
        </w:rPr>
        <w:t>咨询</w:t>
      </w:r>
    </w:p>
    <w:p>
      <w:pPr>
        <w:spacing w:line="700" w:lineRule="exact"/>
        <w:jc w:val="center"/>
        <w:rPr>
          <w:rFonts w:ascii="黑体" w:hAnsi="黑体" w:eastAsia="黑体"/>
          <w:b/>
          <w:color w:val="auto"/>
          <w:sz w:val="30"/>
          <w:szCs w:val="30"/>
          <w:highlight w:val="none"/>
        </w:rPr>
      </w:pPr>
    </w:p>
    <w:p>
      <w:pPr>
        <w:spacing w:line="700" w:lineRule="exact"/>
        <w:rPr>
          <w:rFonts w:ascii="黑体" w:hAnsi="黑体" w:eastAsia="黑体"/>
          <w:b/>
          <w:color w:val="auto"/>
          <w:sz w:val="30"/>
          <w:szCs w:val="30"/>
          <w:highlight w:val="none"/>
        </w:rPr>
      </w:pPr>
    </w:p>
    <w:p>
      <w:pPr>
        <w:spacing w:line="700" w:lineRule="exact"/>
        <w:rPr>
          <w:rFonts w:ascii="黑体" w:hAnsi="黑体" w:eastAsia="黑体"/>
          <w:b/>
          <w:color w:val="auto"/>
          <w:sz w:val="30"/>
          <w:szCs w:val="30"/>
          <w:highlight w:val="none"/>
        </w:rPr>
      </w:pPr>
    </w:p>
    <w:p>
      <w:pPr>
        <w:spacing w:line="700" w:lineRule="exact"/>
        <w:rPr>
          <w:rFonts w:ascii="黑体" w:hAnsi="黑体" w:eastAsia="黑体"/>
          <w:b/>
          <w:color w:val="auto"/>
          <w:sz w:val="30"/>
          <w:szCs w:val="30"/>
          <w:highlight w:val="none"/>
        </w:rPr>
      </w:pPr>
    </w:p>
    <w:p>
      <w:pPr>
        <w:spacing w:line="700" w:lineRule="exact"/>
        <w:rPr>
          <w:rFonts w:ascii="黑体" w:hAnsi="黑体" w:eastAsia="黑体"/>
          <w:b/>
          <w:color w:val="auto"/>
          <w:sz w:val="30"/>
          <w:szCs w:val="30"/>
          <w:highlight w:val="none"/>
        </w:rPr>
      </w:pPr>
    </w:p>
    <w:p>
      <w:pPr>
        <w:spacing w:line="700" w:lineRule="exact"/>
        <w:ind w:left="1434" w:leftChars="512" w:firstLine="0" w:firstLineChars="0"/>
        <w:rPr>
          <w:rFonts w:ascii="黑体" w:hAnsi="黑体" w:eastAsia="黑体"/>
          <w:color w:val="auto"/>
          <w:sz w:val="36"/>
          <w:szCs w:val="30"/>
          <w:highlight w:val="none"/>
        </w:rPr>
      </w:pPr>
      <w:r>
        <w:rPr>
          <w:rFonts w:hint="eastAsia" w:ascii="黑体" w:hAnsi="黑体" w:eastAsia="黑体"/>
          <w:color w:val="auto"/>
          <w:sz w:val="36"/>
          <w:szCs w:val="30"/>
          <w:highlight w:val="none"/>
        </w:rPr>
        <w:t>采   购   人：重庆市大渡口区土地整理储备中心</w:t>
      </w:r>
      <w:r>
        <w:rPr>
          <w:rFonts w:hint="eastAsia" w:ascii="黑体" w:hAnsi="黑体" w:eastAsia="黑体"/>
          <w:color w:val="auto"/>
          <w:sz w:val="36"/>
          <w:szCs w:val="30"/>
          <w:highlight w:val="none"/>
          <w:lang w:eastAsia="zh-CN"/>
        </w:rPr>
        <w:t>代</w:t>
      </w:r>
      <w:r>
        <w:rPr>
          <w:rFonts w:hint="eastAsia" w:ascii="黑体" w:hAnsi="黑体" w:eastAsia="黑体"/>
          <w:color w:val="auto"/>
          <w:sz w:val="36"/>
          <w:szCs w:val="30"/>
          <w:highlight w:val="none"/>
          <w:lang w:val="en-US" w:eastAsia="zh-CN"/>
        </w:rPr>
        <w:t xml:space="preserve">  </w:t>
      </w:r>
      <w:r>
        <w:rPr>
          <w:rFonts w:hint="eastAsia" w:ascii="黑体" w:hAnsi="黑体" w:eastAsia="黑体"/>
          <w:color w:val="auto"/>
          <w:sz w:val="36"/>
          <w:szCs w:val="30"/>
          <w:highlight w:val="none"/>
          <w:lang w:eastAsia="zh-CN"/>
        </w:rPr>
        <w:t>建</w:t>
      </w:r>
      <w:r>
        <w:rPr>
          <w:rFonts w:hint="eastAsia" w:ascii="黑体" w:hAnsi="黑体" w:eastAsia="黑体"/>
          <w:color w:val="auto"/>
          <w:sz w:val="36"/>
          <w:szCs w:val="30"/>
          <w:highlight w:val="none"/>
          <w:lang w:val="en-US" w:eastAsia="zh-CN"/>
        </w:rPr>
        <w:t xml:space="preserve">  </w:t>
      </w:r>
      <w:r>
        <w:rPr>
          <w:rFonts w:hint="eastAsia" w:ascii="黑体" w:hAnsi="黑体" w:eastAsia="黑体"/>
          <w:color w:val="auto"/>
          <w:sz w:val="36"/>
          <w:szCs w:val="30"/>
          <w:highlight w:val="none"/>
          <w:lang w:eastAsia="zh-CN"/>
        </w:rPr>
        <w:t>业</w:t>
      </w:r>
      <w:r>
        <w:rPr>
          <w:rFonts w:hint="eastAsia" w:ascii="黑体" w:hAnsi="黑体" w:eastAsia="黑体"/>
          <w:color w:val="auto"/>
          <w:sz w:val="36"/>
          <w:szCs w:val="30"/>
          <w:highlight w:val="none"/>
          <w:lang w:val="en-US" w:eastAsia="zh-CN"/>
        </w:rPr>
        <w:t xml:space="preserve">  </w:t>
      </w:r>
      <w:r>
        <w:rPr>
          <w:rFonts w:hint="eastAsia" w:ascii="黑体" w:hAnsi="黑体" w:eastAsia="黑体"/>
          <w:color w:val="auto"/>
          <w:sz w:val="36"/>
          <w:szCs w:val="30"/>
          <w:highlight w:val="none"/>
          <w:lang w:eastAsia="zh-CN"/>
        </w:rPr>
        <w:t>主：</w:t>
      </w:r>
      <w:r>
        <w:rPr>
          <w:rFonts w:hint="eastAsia" w:ascii="黑体" w:hAnsi="黑体" w:eastAsia="黑体"/>
          <w:color w:val="auto"/>
          <w:sz w:val="36"/>
          <w:szCs w:val="30"/>
          <w:highlight w:val="none"/>
        </w:rPr>
        <w:t>重庆建桥实业发展有限公司</w:t>
      </w:r>
    </w:p>
    <w:p>
      <w:pPr>
        <w:spacing w:line="700" w:lineRule="exact"/>
        <w:ind w:firstLine="1749" w:firstLineChars="486"/>
        <w:rPr>
          <w:rFonts w:ascii="黑体" w:hAnsi="黑体" w:eastAsia="黑体"/>
          <w:color w:val="auto"/>
          <w:sz w:val="36"/>
          <w:szCs w:val="30"/>
          <w:highlight w:val="none"/>
        </w:rPr>
      </w:pPr>
    </w:p>
    <w:p>
      <w:pPr>
        <w:spacing w:line="700" w:lineRule="exact"/>
        <w:ind w:firstLine="1440" w:firstLineChars="400"/>
        <w:jc w:val="center"/>
        <w:rPr>
          <w:rFonts w:ascii="黑体" w:hAnsi="黑体" w:eastAsia="黑体"/>
          <w:color w:val="auto"/>
          <w:sz w:val="36"/>
          <w:szCs w:val="30"/>
          <w:highlight w:val="none"/>
        </w:rPr>
      </w:pPr>
      <w:r>
        <w:rPr>
          <w:rFonts w:hint="eastAsia" w:ascii="黑体" w:hAnsi="黑体" w:eastAsia="黑体"/>
          <w:color w:val="auto"/>
          <w:sz w:val="36"/>
          <w:szCs w:val="30"/>
          <w:highlight w:val="none"/>
        </w:rPr>
        <w:t>二〇二</w:t>
      </w:r>
      <w:r>
        <w:rPr>
          <w:rFonts w:hint="eastAsia" w:ascii="黑体" w:hAnsi="黑体" w:eastAsia="黑体"/>
          <w:color w:val="auto"/>
          <w:sz w:val="36"/>
          <w:szCs w:val="30"/>
          <w:highlight w:val="none"/>
          <w:lang w:eastAsia="zh-CN"/>
        </w:rPr>
        <w:t>二</w:t>
      </w:r>
      <w:r>
        <w:rPr>
          <w:rFonts w:hint="eastAsia" w:ascii="黑体" w:hAnsi="黑体" w:eastAsia="黑体"/>
          <w:color w:val="auto"/>
          <w:sz w:val="36"/>
          <w:szCs w:val="30"/>
          <w:highlight w:val="none"/>
        </w:rPr>
        <w:t>年十</w:t>
      </w:r>
      <w:r>
        <w:rPr>
          <w:rFonts w:hint="eastAsia" w:ascii="黑体" w:hAnsi="黑体" w:eastAsia="黑体"/>
          <w:color w:val="auto"/>
          <w:sz w:val="36"/>
          <w:szCs w:val="30"/>
          <w:highlight w:val="none"/>
          <w:lang w:eastAsia="zh-CN"/>
        </w:rPr>
        <w:t>二</w:t>
      </w:r>
      <w:r>
        <w:rPr>
          <w:rFonts w:hint="eastAsia" w:ascii="黑体" w:hAnsi="黑体" w:eastAsia="黑体"/>
          <w:color w:val="auto"/>
          <w:sz w:val="36"/>
          <w:szCs w:val="30"/>
          <w:highlight w:val="none"/>
        </w:rPr>
        <w:t>月</w:t>
      </w:r>
    </w:p>
    <w:p>
      <w:pPr>
        <w:spacing w:line="700" w:lineRule="exact"/>
        <w:ind w:firstLine="1440" w:firstLineChars="400"/>
        <w:jc w:val="center"/>
        <w:rPr>
          <w:rFonts w:ascii="黑体" w:hAnsi="黑体" w:eastAsia="黑体"/>
          <w:color w:val="auto"/>
          <w:sz w:val="36"/>
          <w:szCs w:val="30"/>
          <w:highlight w:val="none"/>
        </w:rPr>
        <w:sectPr>
          <w:headerReference r:id="rId4" w:type="first"/>
          <w:footerReference r:id="rId6" w:type="first"/>
          <w:headerReference r:id="rId3" w:type="default"/>
          <w:footerReference r:id="rId5" w:type="even"/>
          <w:pgSz w:w="11907" w:h="16840"/>
          <w:pgMar w:top="1134" w:right="1191" w:bottom="1134" w:left="1304" w:header="851" w:footer="992" w:gutter="0"/>
          <w:pgNumType w:fmt="numberInDash" w:start="1"/>
          <w:cols w:space="720" w:num="1"/>
          <w:docGrid w:linePitch="380" w:charSpace="-5735"/>
        </w:sectPr>
      </w:pPr>
    </w:p>
    <w:p>
      <w:pPr>
        <w:pStyle w:val="3"/>
        <w:spacing w:line="360" w:lineRule="auto"/>
        <w:jc w:val="center"/>
        <w:rPr>
          <w:rFonts w:ascii="宋体" w:hAnsi="宋体" w:eastAsia="宋体"/>
          <w:color w:val="auto"/>
          <w:szCs w:val="30"/>
          <w:highlight w:val="none"/>
        </w:rPr>
      </w:pPr>
      <w:bookmarkStart w:id="0" w:name="_Toc6379"/>
      <w:bookmarkStart w:id="1" w:name="_Toc25107"/>
      <w:bookmarkStart w:id="2" w:name="_Toc11641050"/>
      <w:bookmarkStart w:id="3" w:name="_Toc12789052"/>
      <w:bookmarkStart w:id="4" w:name="_Toc5586"/>
      <w:r>
        <w:rPr>
          <w:rFonts w:hint="eastAsia" w:ascii="宋体" w:hAnsi="宋体" w:eastAsia="宋体"/>
          <w:color w:val="auto"/>
          <w:sz w:val="36"/>
          <w:szCs w:val="30"/>
          <w:highlight w:val="none"/>
        </w:rPr>
        <w:t>第一篇  采购邀请书</w:t>
      </w:r>
      <w:bookmarkEnd w:id="0"/>
      <w:bookmarkEnd w:id="1"/>
      <w:bookmarkEnd w:id="2"/>
      <w:bookmarkEnd w:id="3"/>
      <w:bookmarkEnd w:id="4"/>
    </w:p>
    <w:p>
      <w:pPr>
        <w:snapToGrid w:val="0"/>
        <w:ind w:firstLine="480" w:firstLineChars="200"/>
        <w:rPr>
          <w:rFonts w:ascii="宋体" w:hAnsi="宋体"/>
          <w:color w:val="auto"/>
          <w:sz w:val="24"/>
          <w:szCs w:val="24"/>
          <w:highlight w:val="none"/>
        </w:rPr>
      </w:pPr>
    </w:p>
    <w:p>
      <w:pPr>
        <w:pStyle w:val="4"/>
        <w:spacing w:before="0" w:after="0" w:line="312" w:lineRule="auto"/>
        <w:rPr>
          <w:rFonts w:ascii="宋体" w:hAnsi="宋体" w:cs="宋体"/>
          <w:color w:val="auto"/>
          <w:sz w:val="24"/>
          <w:szCs w:val="24"/>
          <w:highlight w:val="none"/>
        </w:rPr>
      </w:pPr>
      <w:bookmarkStart w:id="5" w:name="_Toc16"/>
      <w:bookmarkStart w:id="6" w:name="_Toc317775175"/>
      <w:bookmarkStart w:id="7" w:name="_Toc28491"/>
      <w:bookmarkStart w:id="8" w:name="_Toc18183"/>
      <w:bookmarkStart w:id="9" w:name="_Toc313893526"/>
      <w:r>
        <w:rPr>
          <w:rFonts w:hint="eastAsia" w:ascii="宋体" w:hAnsi="宋体" w:cs="宋体"/>
          <w:color w:val="auto"/>
          <w:sz w:val="24"/>
          <w:szCs w:val="24"/>
          <w:highlight w:val="none"/>
        </w:rPr>
        <w:t>一、</w:t>
      </w:r>
      <w:r>
        <w:rPr>
          <w:rFonts w:hint="eastAsia" w:ascii="宋体" w:hAnsi="宋体" w:cs="宋体"/>
          <w:color w:val="auto"/>
          <w:sz w:val="24"/>
          <w:szCs w:val="24"/>
          <w:highlight w:val="none"/>
          <w:lang w:eastAsia="zh-CN"/>
        </w:rPr>
        <w:t>磋商</w:t>
      </w:r>
      <w:r>
        <w:rPr>
          <w:rFonts w:ascii="宋体" w:hAnsi="宋体" w:cs="宋体"/>
          <w:color w:val="auto"/>
          <w:sz w:val="24"/>
          <w:szCs w:val="24"/>
          <w:highlight w:val="none"/>
        </w:rPr>
        <w:t>采购</w:t>
      </w:r>
      <w:r>
        <w:rPr>
          <w:rFonts w:hint="eastAsia" w:ascii="宋体" w:hAnsi="宋体" w:cs="宋体"/>
          <w:color w:val="auto"/>
          <w:sz w:val="24"/>
          <w:szCs w:val="24"/>
          <w:highlight w:val="none"/>
        </w:rPr>
        <w:t>内容</w:t>
      </w:r>
      <w:bookmarkEnd w:id="5"/>
      <w:bookmarkEnd w:id="6"/>
      <w:bookmarkEnd w:id="7"/>
      <w:bookmarkEnd w:id="8"/>
      <w:bookmarkEnd w:id="9"/>
    </w:p>
    <w:tbl>
      <w:tblPr>
        <w:tblStyle w:val="12"/>
        <w:tblW w:w="92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2821"/>
        <w:gridCol w:w="1297"/>
        <w:gridCol w:w="985"/>
        <w:gridCol w:w="1444"/>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jc w:val="center"/>
        </w:trPr>
        <w:tc>
          <w:tcPr>
            <w:tcW w:w="1259" w:type="dxa"/>
            <w:tcBorders>
              <w:top w:val="single" w:color="auto" w:sz="4" w:space="0"/>
              <w:left w:val="single" w:color="auto" w:sz="4" w:space="0"/>
              <w:right w:val="single" w:color="auto" w:sz="4" w:space="0"/>
            </w:tcBorders>
            <w:vAlign w:val="center"/>
          </w:tcPr>
          <w:p>
            <w:pPr>
              <w:widowControl/>
              <w:jc w:val="center"/>
              <w:rPr>
                <w:rFonts w:ascii="宋体" w:hAnsi="宋体" w:cs="宋体"/>
                <w:b/>
                <w:bCs/>
                <w:color w:val="auto"/>
                <w:kern w:val="0"/>
                <w:sz w:val="21"/>
                <w:szCs w:val="24"/>
                <w:highlight w:val="none"/>
              </w:rPr>
            </w:pPr>
            <w:r>
              <w:rPr>
                <w:rFonts w:hint="eastAsia" w:ascii="方正仿宋_GBK" w:hAnsi="宋体" w:eastAsia="方正仿宋_GBK" w:cs="宋体"/>
                <w:b/>
                <w:bCs/>
                <w:color w:val="auto"/>
                <w:kern w:val="0"/>
                <w:sz w:val="21"/>
                <w:szCs w:val="24"/>
                <w:highlight w:val="none"/>
              </w:rPr>
              <w:t>分包号</w:t>
            </w:r>
          </w:p>
        </w:tc>
        <w:tc>
          <w:tcPr>
            <w:tcW w:w="2821" w:type="dxa"/>
            <w:tcBorders>
              <w:top w:val="single" w:color="auto" w:sz="4" w:space="0"/>
              <w:left w:val="single" w:color="auto" w:sz="4" w:space="0"/>
              <w:right w:val="single" w:color="auto" w:sz="4" w:space="0"/>
            </w:tcBorders>
            <w:vAlign w:val="center"/>
          </w:tcPr>
          <w:p>
            <w:pPr>
              <w:widowControl/>
              <w:jc w:val="center"/>
              <w:rPr>
                <w:rFonts w:ascii="宋体" w:hAnsi="宋体" w:cs="宋体"/>
                <w:b/>
                <w:bCs/>
                <w:color w:val="auto"/>
                <w:kern w:val="0"/>
                <w:sz w:val="21"/>
                <w:szCs w:val="24"/>
                <w:highlight w:val="none"/>
              </w:rPr>
            </w:pPr>
            <w:r>
              <w:rPr>
                <w:rFonts w:hint="eastAsia" w:ascii="方正仿宋_GBK" w:hAnsi="宋体" w:eastAsia="方正仿宋_GBK" w:cs="宋体"/>
                <w:b/>
                <w:bCs/>
                <w:color w:val="auto"/>
                <w:kern w:val="0"/>
                <w:sz w:val="21"/>
                <w:szCs w:val="24"/>
                <w:highlight w:val="none"/>
              </w:rPr>
              <w:t>分包名称</w:t>
            </w:r>
          </w:p>
        </w:tc>
        <w:tc>
          <w:tcPr>
            <w:tcW w:w="1297" w:type="dxa"/>
            <w:tcBorders>
              <w:top w:val="single" w:color="auto" w:sz="4" w:space="0"/>
              <w:left w:val="single" w:color="auto" w:sz="4" w:space="0"/>
              <w:right w:val="single" w:color="auto" w:sz="4" w:space="0"/>
            </w:tcBorders>
            <w:vAlign w:val="center"/>
          </w:tcPr>
          <w:p>
            <w:pPr>
              <w:widowControl/>
              <w:jc w:val="center"/>
              <w:rPr>
                <w:rFonts w:ascii="方正仿宋_GBK" w:hAnsi="宋体" w:eastAsia="方正仿宋_GBK" w:cs="宋体"/>
                <w:b/>
                <w:bCs/>
                <w:color w:val="auto"/>
                <w:kern w:val="0"/>
                <w:sz w:val="21"/>
                <w:szCs w:val="24"/>
                <w:highlight w:val="none"/>
              </w:rPr>
            </w:pPr>
            <w:r>
              <w:rPr>
                <w:rFonts w:hint="eastAsia" w:ascii="方正仿宋_GBK" w:hAnsi="宋体" w:eastAsia="方正仿宋_GBK" w:cs="宋体"/>
                <w:b/>
                <w:bCs/>
                <w:color w:val="auto"/>
                <w:kern w:val="0"/>
                <w:sz w:val="21"/>
                <w:szCs w:val="24"/>
                <w:highlight w:val="none"/>
              </w:rPr>
              <w:t>采购</w:t>
            </w:r>
            <w:r>
              <w:rPr>
                <w:rFonts w:hint="eastAsia" w:ascii="方正仿宋_GBK" w:hAnsi="宋体" w:eastAsia="方正仿宋_GBK" w:cs="宋体"/>
                <w:b/>
                <w:bCs/>
                <w:color w:val="auto"/>
                <w:kern w:val="0"/>
                <w:sz w:val="21"/>
                <w:szCs w:val="24"/>
                <w:highlight w:val="none"/>
                <w:lang w:eastAsia="zh-CN"/>
              </w:rPr>
              <w:t>折扣率</w:t>
            </w:r>
            <w:r>
              <w:rPr>
                <w:rFonts w:hint="eastAsia" w:ascii="方正仿宋_GBK" w:hAnsi="宋体" w:eastAsia="方正仿宋_GBK" w:cs="宋体"/>
                <w:b/>
                <w:bCs/>
                <w:color w:val="auto"/>
                <w:kern w:val="0"/>
                <w:sz w:val="21"/>
                <w:szCs w:val="24"/>
                <w:highlight w:val="none"/>
              </w:rPr>
              <w:t>限价</w:t>
            </w:r>
          </w:p>
          <w:p>
            <w:pPr>
              <w:jc w:val="center"/>
              <w:rPr>
                <w:rFonts w:ascii="宋体" w:hAnsi="宋体" w:cs="宋体"/>
                <w:b/>
                <w:bCs/>
                <w:color w:val="auto"/>
                <w:kern w:val="0"/>
                <w:sz w:val="21"/>
                <w:szCs w:val="24"/>
                <w:highlight w:val="none"/>
              </w:rPr>
            </w:pPr>
            <w:r>
              <w:rPr>
                <w:rFonts w:hint="eastAsia" w:ascii="方正仿宋_GBK" w:hAnsi="宋体" w:eastAsia="方正仿宋_GBK" w:cs="宋体"/>
                <w:b/>
                <w:bCs/>
                <w:color w:val="auto"/>
                <w:kern w:val="0"/>
                <w:sz w:val="21"/>
                <w:szCs w:val="24"/>
                <w:highlight w:val="none"/>
              </w:rPr>
              <w:t>（%）</w:t>
            </w:r>
          </w:p>
        </w:tc>
        <w:tc>
          <w:tcPr>
            <w:tcW w:w="985" w:type="dxa"/>
            <w:tcBorders>
              <w:top w:val="single" w:color="auto" w:sz="4" w:space="0"/>
              <w:left w:val="single" w:color="auto" w:sz="4" w:space="0"/>
              <w:right w:val="single" w:color="auto" w:sz="4" w:space="0"/>
            </w:tcBorders>
            <w:vAlign w:val="center"/>
          </w:tcPr>
          <w:p>
            <w:pPr>
              <w:jc w:val="center"/>
              <w:rPr>
                <w:color w:val="auto"/>
                <w:highlight w:val="none"/>
              </w:rPr>
            </w:pPr>
            <w:r>
              <w:rPr>
                <w:rFonts w:hint="eastAsia" w:ascii="方正仿宋_GBK" w:hAnsi="宋体" w:eastAsia="方正仿宋_GBK" w:cs="宋体"/>
                <w:b/>
                <w:bCs/>
                <w:color w:val="auto"/>
                <w:kern w:val="0"/>
                <w:sz w:val="21"/>
                <w:szCs w:val="24"/>
                <w:highlight w:val="none"/>
              </w:rPr>
              <w:t>成交数量</w:t>
            </w:r>
          </w:p>
          <w:p>
            <w:pPr>
              <w:jc w:val="center"/>
              <w:rPr>
                <w:rFonts w:ascii="方正仿宋_GBK" w:hAnsi="宋体" w:eastAsia="方正仿宋_GBK" w:cs="宋体"/>
                <w:b/>
                <w:bCs/>
                <w:color w:val="auto"/>
                <w:kern w:val="0"/>
                <w:sz w:val="21"/>
                <w:szCs w:val="24"/>
                <w:highlight w:val="none"/>
              </w:rPr>
            </w:pPr>
            <w:r>
              <w:rPr>
                <w:rFonts w:hint="eastAsia" w:ascii="方正仿宋_GBK" w:hAnsi="宋体" w:eastAsia="方正仿宋_GBK" w:cs="宋体"/>
                <w:b/>
                <w:bCs/>
                <w:color w:val="auto"/>
                <w:kern w:val="0"/>
                <w:sz w:val="21"/>
                <w:szCs w:val="24"/>
                <w:highlight w:val="none"/>
              </w:rPr>
              <w:t>（名）</w:t>
            </w:r>
          </w:p>
        </w:tc>
        <w:tc>
          <w:tcPr>
            <w:tcW w:w="1444" w:type="dxa"/>
            <w:tcBorders>
              <w:top w:val="single" w:color="auto" w:sz="4" w:space="0"/>
              <w:left w:val="single" w:color="auto" w:sz="4" w:space="0"/>
              <w:right w:val="single" w:color="auto" w:sz="4" w:space="0"/>
            </w:tcBorders>
            <w:vAlign w:val="center"/>
          </w:tcPr>
          <w:p>
            <w:pPr>
              <w:jc w:val="center"/>
              <w:rPr>
                <w:rFonts w:ascii="方正仿宋_GBK" w:hAnsi="宋体" w:eastAsia="方正仿宋_GBK" w:cs="宋体"/>
                <w:b/>
                <w:bCs/>
                <w:color w:val="auto"/>
                <w:kern w:val="0"/>
                <w:sz w:val="21"/>
                <w:szCs w:val="24"/>
                <w:highlight w:val="none"/>
              </w:rPr>
            </w:pPr>
            <w:r>
              <w:rPr>
                <w:rFonts w:hint="eastAsia" w:ascii="方正仿宋_GBK" w:hAnsi="宋体" w:eastAsia="方正仿宋_GBK" w:cs="宋体"/>
                <w:b/>
                <w:bCs/>
                <w:color w:val="auto"/>
                <w:kern w:val="0"/>
                <w:sz w:val="21"/>
                <w:szCs w:val="24"/>
                <w:highlight w:val="none"/>
              </w:rPr>
              <w:t>备注</w:t>
            </w:r>
          </w:p>
        </w:tc>
        <w:tc>
          <w:tcPr>
            <w:tcW w:w="1430" w:type="dxa"/>
            <w:tcBorders>
              <w:top w:val="single" w:color="auto" w:sz="4" w:space="0"/>
              <w:left w:val="single" w:color="auto" w:sz="4" w:space="0"/>
              <w:right w:val="single" w:color="auto" w:sz="4" w:space="0"/>
            </w:tcBorders>
            <w:vAlign w:val="center"/>
          </w:tcPr>
          <w:p>
            <w:pPr>
              <w:jc w:val="center"/>
              <w:rPr>
                <w:rFonts w:hint="eastAsia" w:ascii="方正仿宋_GBK" w:hAnsi="宋体" w:eastAsia="方正仿宋_GBK" w:cs="宋体"/>
                <w:b/>
                <w:bCs/>
                <w:color w:val="auto"/>
                <w:kern w:val="0"/>
                <w:sz w:val="21"/>
                <w:szCs w:val="24"/>
                <w:highlight w:val="none"/>
              </w:rPr>
            </w:pPr>
            <w:r>
              <w:rPr>
                <w:rFonts w:hint="eastAsia" w:ascii="方正仿宋_GBK" w:hAnsi="宋体" w:eastAsia="方正仿宋_GBK" w:cs="宋体"/>
                <w:b/>
                <w:bCs/>
                <w:color w:val="auto"/>
                <w:kern w:val="0"/>
                <w:sz w:val="21"/>
                <w:szCs w:val="24"/>
                <w:highlight w:val="none"/>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259"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1"/>
                <w:szCs w:val="24"/>
                <w:highlight w:val="none"/>
              </w:rPr>
            </w:pPr>
            <w:bookmarkStart w:id="10" w:name="_Hlk344477914"/>
            <w:r>
              <w:rPr>
                <w:rFonts w:hint="eastAsia" w:ascii="方正仿宋_GBK" w:hAnsi="宋体" w:eastAsia="方正仿宋_GBK" w:cs="宋体"/>
                <w:color w:val="auto"/>
                <w:kern w:val="0"/>
                <w:sz w:val="21"/>
                <w:szCs w:val="24"/>
                <w:highlight w:val="none"/>
              </w:rPr>
              <w:t>1</w:t>
            </w:r>
          </w:p>
        </w:tc>
        <w:tc>
          <w:tcPr>
            <w:tcW w:w="2821" w:type="dxa"/>
            <w:tcBorders>
              <w:top w:val="single" w:color="auto" w:sz="4" w:space="0"/>
              <w:left w:val="single" w:color="auto" w:sz="4" w:space="0"/>
              <w:right w:val="single" w:color="auto" w:sz="4" w:space="0"/>
            </w:tcBorders>
            <w:vAlign w:val="center"/>
          </w:tcPr>
          <w:p>
            <w:pPr>
              <w:spacing w:line="312" w:lineRule="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重庆市</w:t>
            </w:r>
            <w:r>
              <w:rPr>
                <w:rFonts w:hint="eastAsia" w:ascii="宋体" w:hAnsi="宋体" w:cs="宋体"/>
                <w:color w:val="auto"/>
                <w:sz w:val="24"/>
                <w:szCs w:val="24"/>
                <w:highlight w:val="none"/>
              </w:rPr>
              <w:t>大渡口区新袁茄路南延伸段道路工程全过程控制造价</w:t>
            </w:r>
            <w:r>
              <w:rPr>
                <w:rFonts w:hint="eastAsia" w:ascii="宋体" w:hAnsi="宋体" w:cs="宋体"/>
                <w:color w:val="auto"/>
                <w:sz w:val="24"/>
                <w:szCs w:val="24"/>
                <w:highlight w:val="none"/>
                <w:lang w:eastAsia="zh-CN"/>
              </w:rPr>
              <w:t>咨询</w:t>
            </w:r>
          </w:p>
          <w:p>
            <w:pPr>
              <w:widowControl/>
              <w:jc w:val="center"/>
              <w:rPr>
                <w:rFonts w:ascii="宋体" w:hAnsi="宋体" w:cs="宋体"/>
                <w:color w:val="auto"/>
                <w:kern w:val="0"/>
                <w:sz w:val="21"/>
                <w:szCs w:val="24"/>
                <w:highlight w:val="none"/>
              </w:rPr>
            </w:pPr>
          </w:p>
        </w:tc>
        <w:tc>
          <w:tcPr>
            <w:tcW w:w="1297" w:type="dxa"/>
            <w:tcBorders>
              <w:top w:val="single" w:color="auto" w:sz="4" w:space="0"/>
              <w:left w:val="single" w:color="auto" w:sz="4" w:space="0"/>
              <w:right w:val="single" w:color="auto" w:sz="4" w:space="0"/>
            </w:tcBorders>
            <w:vAlign w:val="center"/>
          </w:tcPr>
          <w:p>
            <w:pPr>
              <w:widowControl/>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75</w:t>
            </w:r>
          </w:p>
        </w:tc>
        <w:tc>
          <w:tcPr>
            <w:tcW w:w="985"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1444" w:type="dxa"/>
            <w:tcBorders>
              <w:top w:val="single" w:color="auto" w:sz="4" w:space="0"/>
              <w:left w:val="single" w:color="auto" w:sz="4" w:space="0"/>
              <w:right w:val="single" w:color="auto" w:sz="4" w:space="0"/>
            </w:tcBorders>
            <w:vAlign w:val="center"/>
          </w:tcPr>
          <w:p>
            <w:pPr>
              <w:widowControl/>
              <w:jc w:val="center"/>
              <w:rPr>
                <w:rFonts w:ascii="方正仿宋_GBK" w:hAnsi="宋体" w:eastAsia="方正仿宋_GBK" w:cs="宋体"/>
                <w:color w:val="auto"/>
                <w:kern w:val="0"/>
                <w:sz w:val="21"/>
                <w:szCs w:val="24"/>
                <w:highlight w:val="none"/>
              </w:rPr>
            </w:pPr>
            <w:r>
              <w:rPr>
                <w:rFonts w:hint="eastAsia" w:ascii="宋体" w:hAnsi="宋体" w:cs="宋体"/>
                <w:color w:val="auto"/>
                <w:sz w:val="24"/>
                <w:szCs w:val="24"/>
                <w:highlight w:val="none"/>
              </w:rPr>
              <w:t>按渝价〔2013〕428号重庆市物价局《关于工程造价咨询服务收费标准的通知》相应标准</w:t>
            </w:r>
            <w:r>
              <w:rPr>
                <w:rFonts w:hint="eastAsia" w:ascii="宋体" w:hAnsi="宋体" w:cs="宋体"/>
                <w:color w:val="auto"/>
                <w:sz w:val="24"/>
                <w:szCs w:val="24"/>
                <w:highlight w:val="none"/>
                <w:lang w:val="en-US" w:eastAsia="zh-CN"/>
              </w:rPr>
              <w:t>75</w:t>
            </w:r>
            <w:r>
              <w:rPr>
                <w:rFonts w:hint="eastAsia" w:ascii="宋体" w:hAnsi="宋体" w:cs="宋体"/>
                <w:color w:val="auto"/>
                <w:sz w:val="24"/>
                <w:szCs w:val="24"/>
                <w:highlight w:val="none"/>
              </w:rPr>
              <w:t>%为最高限价。</w:t>
            </w:r>
          </w:p>
        </w:tc>
        <w:tc>
          <w:tcPr>
            <w:tcW w:w="1430" w:type="dxa"/>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建筑业</w:t>
            </w:r>
          </w:p>
        </w:tc>
      </w:tr>
      <w:bookmarkEnd w:id="10"/>
    </w:tbl>
    <w:p>
      <w:pPr>
        <w:pStyle w:val="4"/>
        <w:pageBreakBefore w:val="0"/>
        <w:widowControl w:val="0"/>
        <w:kinsoku/>
        <w:wordWrap/>
        <w:overflowPunct/>
        <w:topLinePunct w:val="0"/>
        <w:autoSpaceDE/>
        <w:autoSpaceDN/>
        <w:bidi w:val="0"/>
        <w:adjustRightInd/>
        <w:snapToGrid/>
        <w:spacing w:before="0" w:after="0" w:line="360" w:lineRule="auto"/>
        <w:textAlignment w:val="auto"/>
        <w:rPr>
          <w:rFonts w:ascii="宋体" w:hAnsi="宋体" w:cs="宋体"/>
          <w:color w:val="auto"/>
          <w:sz w:val="24"/>
          <w:szCs w:val="24"/>
          <w:highlight w:val="none"/>
        </w:rPr>
      </w:pPr>
      <w:bookmarkStart w:id="11" w:name="_Toc5354"/>
      <w:bookmarkStart w:id="12" w:name="_Toc21827"/>
      <w:bookmarkStart w:id="13" w:name="_Toc12950"/>
      <w:bookmarkStart w:id="14" w:name="_Toc373860293"/>
      <w:bookmarkStart w:id="15" w:name="_Toc317775178"/>
      <w:r>
        <w:rPr>
          <w:rFonts w:hint="eastAsia" w:ascii="宋体" w:hAnsi="宋体" w:cs="宋体"/>
          <w:color w:val="auto"/>
          <w:sz w:val="24"/>
          <w:szCs w:val="24"/>
          <w:highlight w:val="none"/>
        </w:rPr>
        <w:t>二、资金来源</w:t>
      </w:r>
      <w:bookmarkEnd w:id="11"/>
      <w:bookmarkEnd w:id="12"/>
      <w:bookmarkEnd w:id="13"/>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olor w:val="auto"/>
          <w:sz w:val="24"/>
          <w:szCs w:val="24"/>
          <w:highlight w:val="none"/>
        </w:rPr>
      </w:pPr>
      <w:r>
        <w:rPr>
          <w:rFonts w:hint="eastAsia" w:ascii="宋体" w:hAnsi="宋体" w:cs="宋体"/>
          <w:color w:val="auto"/>
          <w:sz w:val="24"/>
          <w:szCs w:val="24"/>
          <w:highlight w:val="none"/>
          <w:lang w:val="en-US" w:eastAsia="zh-CN"/>
        </w:rPr>
        <w:t>区财政资金和业主自筹</w:t>
      </w:r>
      <w:r>
        <w:rPr>
          <w:rFonts w:hint="eastAsia" w:ascii="宋体" w:hAnsi="宋体" w:cs="宋体"/>
          <w:color w:val="auto"/>
          <w:sz w:val="24"/>
          <w:szCs w:val="24"/>
          <w:highlight w:val="none"/>
        </w:rPr>
        <w:t>。</w:t>
      </w:r>
    </w:p>
    <w:p>
      <w:pPr>
        <w:pStyle w:val="4"/>
        <w:pageBreakBefore w:val="0"/>
        <w:widowControl w:val="0"/>
        <w:kinsoku/>
        <w:wordWrap/>
        <w:overflowPunct/>
        <w:topLinePunct w:val="0"/>
        <w:autoSpaceDE/>
        <w:autoSpaceDN/>
        <w:bidi w:val="0"/>
        <w:adjustRightInd/>
        <w:snapToGrid/>
        <w:spacing w:before="0" w:after="0" w:line="360" w:lineRule="auto"/>
        <w:textAlignment w:val="auto"/>
        <w:rPr>
          <w:rFonts w:ascii="宋体" w:hAnsi="宋体" w:cs="宋体"/>
          <w:color w:val="auto"/>
          <w:sz w:val="24"/>
          <w:szCs w:val="24"/>
          <w:highlight w:val="none"/>
        </w:rPr>
      </w:pPr>
      <w:bookmarkStart w:id="16" w:name="_Toc21524"/>
      <w:bookmarkStart w:id="17" w:name="_Toc2374"/>
      <w:bookmarkStart w:id="18" w:name="_Toc4191"/>
      <w:r>
        <w:rPr>
          <w:rFonts w:hint="eastAsia" w:ascii="宋体" w:hAnsi="宋体" w:cs="宋体"/>
          <w:color w:val="auto"/>
          <w:sz w:val="24"/>
          <w:szCs w:val="24"/>
          <w:highlight w:val="none"/>
        </w:rPr>
        <w:t>三、</w:t>
      </w:r>
      <w:r>
        <w:rPr>
          <w:rFonts w:hint="eastAsia" w:ascii="宋体" w:hAnsi="宋体" w:cs="宋体"/>
          <w:color w:val="auto"/>
          <w:sz w:val="24"/>
          <w:szCs w:val="24"/>
          <w:highlight w:val="none"/>
          <w:lang w:eastAsia="zh-CN"/>
        </w:rPr>
        <w:t>磋商</w:t>
      </w:r>
      <w:r>
        <w:rPr>
          <w:rFonts w:hint="eastAsia" w:ascii="宋体" w:hAnsi="宋体" w:cs="宋体"/>
          <w:color w:val="auto"/>
          <w:sz w:val="24"/>
          <w:szCs w:val="24"/>
          <w:highlight w:val="none"/>
        </w:rPr>
        <w:t>资格</w:t>
      </w:r>
      <w:bookmarkEnd w:id="16"/>
      <w:bookmarkEnd w:id="17"/>
      <w:bookmarkEnd w:id="18"/>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eastAsia="zh-CN"/>
        </w:rPr>
        <w:t>磋商</w:t>
      </w:r>
      <w:r>
        <w:rPr>
          <w:rFonts w:hint="eastAsia" w:ascii="宋体" w:hAnsi="宋体" w:cs="宋体"/>
          <w:color w:val="auto"/>
          <w:sz w:val="24"/>
          <w:szCs w:val="24"/>
          <w:highlight w:val="none"/>
        </w:rPr>
        <w:t>供应商是指向采购人提供货物、工程或者服务的法人、其他组织或者自然人。以下简称供应商。合格的供应商应符合政府采购法第二十二条规定的基本条件。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（一）一般资质条件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1.具有独立承担民事责任的能力（含分公司在获得总公司授权后）；</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2.具有良好的商业信誉和健全的财务会计制度；</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3.具有履行合同所必需的设备和专业技术能力；</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4.有依法缴纳税收和社会保障资金的良好记录；</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5.参加政府采购活动前三年内，在经营活动中没有重大违法记录；</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6.法律、行政法规规定的其他条件。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（二）特定资格条件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1、营业执照包含工程造价咨询经营范围；</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2、被本市有关行政部门暂停本市（处罚行政区域内）投标资格，不得参与投标，须在投标文件中做出承诺，并加盖公章，否则将由评标委员会作否决投标处理。</w:t>
      </w:r>
    </w:p>
    <w:p>
      <w:pPr>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被人民法院列为失信被执行人的不得参与投标。被列为失信被执行人参与投标的将由评标委员会作否决投标处理。各投标人应当通过“信用中国”网站（www.creditchina.gov.cn）查询被列为失信被执行人情况，并在投标文件资格审查资料中提供相关查询截图并加盖投标单位法人鲜章。投标人未提供相关截图证明其未被列为失信被执行人的将作否决投标处理。</w:t>
      </w:r>
    </w:p>
    <w:p>
      <w:pPr>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4、人员要求</w:t>
      </w:r>
    </w:p>
    <w:p>
      <w:pPr>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（1）项目负责人：至少1人，必须在投标人本单位注册，具有全国注册造价工程师或一级造价工程师执业资格，土建专业。</w:t>
      </w:r>
    </w:p>
    <w:p>
      <w:pPr>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（提供造价人员执业资格注册证、身份证及投标单位为其缴纳的个人养老保险缴纳证明（202</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月至202</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11</w:t>
      </w:r>
      <w:r>
        <w:rPr>
          <w:rFonts w:hint="eastAsia" w:ascii="宋体" w:hAnsi="宋体" w:cs="宋体"/>
          <w:color w:val="auto"/>
          <w:sz w:val="24"/>
          <w:szCs w:val="24"/>
          <w:highlight w:val="none"/>
        </w:rPr>
        <w:t>月）复印件并加盖投标人单位公章（鲜章），原件备查，并提供社保查询网址和姓名、身份证号、验证码。）</w:t>
      </w:r>
    </w:p>
    <w:p>
      <w:pPr>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（2）造价人员：至少2人，必须为投标单位人员且常驻现场，并具备全国建设工程造价员资格证书或二级造价工程师执业资格，其中至少1人为土建专业，至少1人为安装专业。</w:t>
      </w:r>
    </w:p>
    <w:p>
      <w:pPr>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（提供造价人员资格证书、身份证及投标单位为其缴纳的个人养老保险缴纳证明（202</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月至202</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11</w:t>
      </w:r>
      <w:r>
        <w:rPr>
          <w:rFonts w:hint="eastAsia" w:ascii="宋体" w:hAnsi="宋体" w:cs="宋体"/>
          <w:color w:val="auto"/>
          <w:sz w:val="24"/>
          <w:szCs w:val="24"/>
          <w:highlight w:val="none"/>
        </w:rPr>
        <w:t>月）复印件并加盖投标人单位公章（鲜章），原件备查，并提供社保查询网址和姓名、身份证号、验证码。）</w:t>
      </w:r>
    </w:p>
    <w:p>
      <w:pPr>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特别说明：</w:t>
      </w:r>
      <w:bookmarkStart w:id="162" w:name="_GoBack"/>
      <w:bookmarkEnd w:id="162"/>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1）以上主要人员人数要求作为本次资格审查要求。施工过程中，投标人自投标截止之日起至完成合同约定工作内容之日止，不得擅自更换和撤离项目人员。若有特殊原因需更换项目人员，需先经采购人同意，拟更换人员的资格不得低于投标人员，且更换人员比例不得超过50%。</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2）投标人提供的社保证明必须是由社保部门出具并加盖社保部门的鲜章，凡其他单位出具证明材料或未加盖社保部门鲜章的均按废标处理；若投标人所在地政府或社保部门实施了取消在社保证明上加盖鲜章的政策，可提供通过网上打印出来的社保证明（须为彩图打印且具有社保部门的电子印章）加盖投标单位公章，但必须提供当地政府或社保部门发布的相关政策文件中明确不加盖鲜章内容的复印件或扫描件，否则按废标处理。</w:t>
      </w:r>
    </w:p>
    <w:p>
      <w:pPr>
        <w:pStyle w:val="4"/>
        <w:pageBreakBefore w:val="0"/>
        <w:widowControl w:val="0"/>
        <w:kinsoku/>
        <w:wordWrap/>
        <w:overflowPunct/>
        <w:topLinePunct w:val="0"/>
        <w:autoSpaceDE/>
        <w:autoSpaceDN/>
        <w:bidi w:val="0"/>
        <w:adjustRightInd/>
        <w:snapToGrid/>
        <w:spacing w:before="0" w:after="0" w:line="360" w:lineRule="auto"/>
        <w:textAlignment w:val="auto"/>
        <w:rPr>
          <w:rFonts w:ascii="宋体" w:hAnsi="宋体" w:cs="宋体"/>
          <w:color w:val="auto"/>
          <w:sz w:val="24"/>
          <w:szCs w:val="24"/>
          <w:highlight w:val="none"/>
        </w:rPr>
      </w:pPr>
      <w:bookmarkStart w:id="19" w:name="_Toc24076"/>
      <w:bookmarkStart w:id="20" w:name="_Toc6120"/>
      <w:bookmarkStart w:id="21" w:name="_Toc7332"/>
      <w:r>
        <w:rPr>
          <w:rFonts w:hint="eastAsia" w:ascii="宋体" w:hAnsi="宋体" w:cs="宋体"/>
          <w:color w:val="auto"/>
          <w:sz w:val="24"/>
          <w:szCs w:val="24"/>
          <w:highlight w:val="none"/>
        </w:rPr>
        <w:t>四、</w:t>
      </w:r>
      <w:r>
        <w:rPr>
          <w:rFonts w:hint="eastAsia" w:ascii="宋体" w:hAnsi="宋体" w:cs="宋体"/>
          <w:color w:val="auto"/>
          <w:sz w:val="24"/>
          <w:szCs w:val="24"/>
          <w:highlight w:val="none"/>
          <w:lang w:eastAsia="zh-CN"/>
        </w:rPr>
        <w:t>磋商</w:t>
      </w:r>
      <w:r>
        <w:rPr>
          <w:rFonts w:hint="eastAsia" w:ascii="宋体" w:hAnsi="宋体" w:cs="宋体"/>
          <w:color w:val="auto"/>
          <w:sz w:val="24"/>
          <w:szCs w:val="24"/>
          <w:highlight w:val="none"/>
        </w:rPr>
        <w:t>有关说明</w:t>
      </w:r>
      <w:bookmarkEnd w:id="14"/>
      <w:bookmarkEnd w:id="19"/>
      <w:bookmarkEnd w:id="20"/>
      <w:bookmarkEnd w:id="21"/>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（一）凡有意参加</w:t>
      </w:r>
      <w:r>
        <w:rPr>
          <w:rFonts w:hint="eastAsia" w:ascii="宋体" w:hAnsi="宋体" w:cs="宋体"/>
          <w:color w:val="auto"/>
          <w:sz w:val="24"/>
          <w:szCs w:val="24"/>
          <w:highlight w:val="none"/>
          <w:lang w:eastAsia="zh-CN"/>
        </w:rPr>
        <w:t>磋商</w:t>
      </w:r>
      <w:r>
        <w:rPr>
          <w:rFonts w:hint="eastAsia" w:ascii="宋体" w:hAnsi="宋体" w:cs="宋体"/>
          <w:color w:val="auto"/>
          <w:sz w:val="24"/>
          <w:szCs w:val="24"/>
          <w:highlight w:val="none"/>
        </w:rPr>
        <w:t>的供应商，请于公告发布之日（202</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12</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26</w:t>
      </w:r>
      <w:r>
        <w:rPr>
          <w:rFonts w:hint="eastAsia" w:ascii="宋体" w:hAnsi="宋体" w:cs="宋体"/>
          <w:color w:val="auto"/>
          <w:sz w:val="24"/>
          <w:szCs w:val="24"/>
          <w:highlight w:val="none"/>
        </w:rPr>
        <w:t>日）起至报名截止时间之前，在建桥工业园（http://www.jqgyy.com/）下载查看本项目需求文件以及变更公告等</w:t>
      </w:r>
      <w:r>
        <w:rPr>
          <w:rFonts w:hint="eastAsia" w:ascii="宋体" w:hAnsi="宋体" w:cs="宋体"/>
          <w:color w:val="auto"/>
          <w:sz w:val="24"/>
          <w:szCs w:val="24"/>
          <w:highlight w:val="none"/>
          <w:lang w:eastAsia="zh-CN"/>
        </w:rPr>
        <w:t>磋商</w:t>
      </w:r>
      <w:r>
        <w:rPr>
          <w:rFonts w:hint="eastAsia" w:ascii="宋体" w:hAnsi="宋体" w:cs="宋体"/>
          <w:color w:val="auto"/>
          <w:sz w:val="24"/>
          <w:szCs w:val="24"/>
          <w:highlight w:val="none"/>
        </w:rPr>
        <w:t>前公布的所有项目资料，无论供应商下载查看与否，均视为已知晓所有</w:t>
      </w:r>
      <w:r>
        <w:rPr>
          <w:rFonts w:hint="eastAsia" w:ascii="宋体" w:hAnsi="宋体" w:cs="宋体"/>
          <w:color w:val="auto"/>
          <w:sz w:val="24"/>
          <w:szCs w:val="24"/>
          <w:highlight w:val="none"/>
          <w:lang w:eastAsia="zh-CN"/>
        </w:rPr>
        <w:t>磋商</w:t>
      </w:r>
      <w:r>
        <w:rPr>
          <w:rFonts w:hint="eastAsia" w:ascii="宋体" w:hAnsi="宋体" w:cs="宋体"/>
          <w:color w:val="auto"/>
          <w:sz w:val="24"/>
          <w:szCs w:val="24"/>
          <w:highlight w:val="none"/>
        </w:rPr>
        <w:t>实质性要求内容。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（二）供应商须满足以下三种要件，其响应文件才被接受：</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1、按磋商文件要求缴纳了竞标保证金；</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2、按时递交了响应文件；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3、按时报名签到。</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三</w:t>
      </w:r>
      <w:r>
        <w:rPr>
          <w:rFonts w:hint="eastAsia" w:ascii="宋体" w:hAnsi="宋体" w:cs="宋体"/>
          <w:color w:val="auto"/>
          <w:sz w:val="24"/>
          <w:szCs w:val="24"/>
          <w:highlight w:val="none"/>
        </w:rPr>
        <w:t>）递交响应文件地点：重庆建桥实业发展有限公司接标处（重庆市大渡口区田西路中冶熙城商街1号楼1楼）</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四</w:t>
      </w:r>
      <w:r>
        <w:rPr>
          <w:rFonts w:hint="eastAsia" w:ascii="宋体" w:hAnsi="宋体" w:cs="宋体"/>
          <w:color w:val="auto"/>
          <w:sz w:val="24"/>
          <w:szCs w:val="24"/>
          <w:highlight w:val="none"/>
        </w:rPr>
        <w:t>）响应文件递交时间：2022年</w:t>
      </w:r>
      <w:r>
        <w:rPr>
          <w:rFonts w:hint="eastAsia" w:ascii="宋体" w:hAnsi="宋体" w:cs="宋体"/>
          <w:color w:val="auto"/>
          <w:sz w:val="24"/>
          <w:szCs w:val="24"/>
          <w:highlight w:val="none"/>
          <w:lang w:val="en-US" w:eastAsia="zh-CN"/>
        </w:rPr>
        <w:t>12</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30</w:t>
      </w:r>
      <w:r>
        <w:rPr>
          <w:rFonts w:hint="eastAsia" w:ascii="宋体" w:hAnsi="宋体" w:cs="宋体"/>
          <w:color w:val="auto"/>
          <w:sz w:val="24"/>
          <w:szCs w:val="24"/>
          <w:highlight w:val="none"/>
        </w:rPr>
        <w:t>日北京时间14：00-14:30</w:t>
      </w:r>
    </w:p>
    <w:p>
      <w:pPr>
        <w:pageBreakBefore w:val="0"/>
        <w:widowControl w:val="0"/>
        <w:kinsoku/>
        <w:wordWrap/>
        <w:overflowPunct/>
        <w:topLinePunct w:val="0"/>
        <w:autoSpaceDE/>
        <w:autoSpaceDN/>
        <w:bidi w:val="0"/>
        <w:adjustRightInd/>
        <w:snapToGrid/>
        <w:spacing w:line="360" w:lineRule="auto"/>
        <w:ind w:firstLine="1200" w:firstLineChars="5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截止时间：2022年</w:t>
      </w:r>
      <w:r>
        <w:rPr>
          <w:rFonts w:hint="eastAsia" w:ascii="宋体" w:hAnsi="宋体" w:cs="宋体"/>
          <w:color w:val="auto"/>
          <w:sz w:val="24"/>
          <w:szCs w:val="24"/>
          <w:highlight w:val="none"/>
          <w:lang w:val="en-US" w:eastAsia="zh-CN"/>
        </w:rPr>
        <w:t>12</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30</w:t>
      </w:r>
      <w:r>
        <w:rPr>
          <w:rFonts w:hint="eastAsia" w:ascii="宋体" w:hAnsi="宋体" w:cs="宋体"/>
          <w:color w:val="auto"/>
          <w:sz w:val="24"/>
          <w:szCs w:val="24"/>
          <w:highlight w:val="none"/>
        </w:rPr>
        <w:t>日北京时间14:30</w:t>
      </w:r>
    </w:p>
    <w:p>
      <w:pPr>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磋商开始时间：2022年</w:t>
      </w:r>
      <w:r>
        <w:rPr>
          <w:rFonts w:hint="eastAsia" w:ascii="宋体" w:hAnsi="宋体" w:cs="宋体"/>
          <w:color w:val="auto"/>
          <w:sz w:val="24"/>
          <w:szCs w:val="24"/>
          <w:highlight w:val="none"/>
          <w:lang w:val="en-US" w:eastAsia="zh-CN"/>
        </w:rPr>
        <w:t>12</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30</w:t>
      </w:r>
      <w:r>
        <w:rPr>
          <w:rFonts w:hint="eastAsia" w:ascii="宋体" w:hAnsi="宋体" w:cs="宋体"/>
          <w:color w:val="auto"/>
          <w:sz w:val="24"/>
          <w:szCs w:val="24"/>
          <w:highlight w:val="none"/>
        </w:rPr>
        <w:t>日北京时间14:30</w:t>
      </w:r>
    </w:p>
    <w:p>
      <w:pPr>
        <w:pageBreakBefore w:val="0"/>
        <w:widowControl w:val="0"/>
        <w:numPr>
          <w:ilvl w:val="0"/>
          <w:numId w:val="0"/>
        </w:numPr>
        <w:kinsoku/>
        <w:wordWrap/>
        <w:overflowPunct/>
        <w:topLinePunct w:val="0"/>
        <w:autoSpaceDE/>
        <w:autoSpaceDN/>
        <w:bidi w:val="0"/>
        <w:adjustRightInd/>
        <w:spacing w:line="360" w:lineRule="auto"/>
        <w:textAlignment w:val="auto"/>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五、磋商保证金</w:t>
      </w:r>
    </w:p>
    <w:p>
      <w:pPr>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（一）保证金递交</w:t>
      </w:r>
    </w:p>
    <w:p>
      <w:pPr>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1、竞标保证金交款形式及要求</w:t>
      </w:r>
    </w:p>
    <w:p>
      <w:pPr>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竞标人从单位基本银行账户在2022年</w:t>
      </w:r>
      <w:r>
        <w:rPr>
          <w:rFonts w:hint="eastAsia" w:ascii="宋体" w:hAnsi="宋体" w:cs="宋体"/>
          <w:color w:val="auto"/>
          <w:sz w:val="24"/>
          <w:szCs w:val="24"/>
          <w:highlight w:val="none"/>
          <w:lang w:val="en-US" w:eastAsia="zh-CN"/>
        </w:rPr>
        <w:t>12</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29</w:t>
      </w:r>
      <w:r>
        <w:rPr>
          <w:rFonts w:hint="eastAsia" w:ascii="宋体" w:hAnsi="宋体" w:cs="宋体"/>
          <w:color w:val="auto"/>
          <w:sz w:val="24"/>
          <w:szCs w:val="24"/>
          <w:highlight w:val="none"/>
        </w:rPr>
        <w:t>日1</w:t>
      </w:r>
      <w:r>
        <w:rPr>
          <w:rFonts w:hint="eastAsia" w:ascii="宋体" w:hAnsi="宋体" w:cs="宋体"/>
          <w:color w:val="auto"/>
          <w:sz w:val="24"/>
          <w:szCs w:val="24"/>
          <w:highlight w:val="none"/>
          <w:lang w:val="en-US" w:eastAsia="zh-CN"/>
        </w:rPr>
        <w:t>7</w:t>
      </w:r>
      <w:r>
        <w:rPr>
          <w:rFonts w:hint="eastAsia" w:ascii="宋体" w:hAnsi="宋体" w:cs="宋体"/>
          <w:color w:val="auto"/>
          <w:sz w:val="24"/>
          <w:szCs w:val="24"/>
          <w:highlight w:val="none"/>
        </w:rPr>
        <w:t>时00分（北京时间）前（建议通过网上银行方式）直接划付至指定的竞标保证金账户（详见附件），否则竞标保证金无效。竞标人自行考虑汇入时间风险（如同城汇入、异地汇入、跨行汇入的时间要求）。竞标人提交的竞标保证金未由竞标人单位的基本银行账户划付或划付的竞标保证金金额不足的或未按时到账的，其竞标保证金交纳无效。</w:t>
      </w:r>
    </w:p>
    <w:p>
      <w:pPr>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2、竞标保证金的金额：人民币</w:t>
      </w:r>
      <w:r>
        <w:rPr>
          <w:rFonts w:hint="eastAsia" w:ascii="宋体" w:hAnsi="宋体" w:cs="宋体"/>
          <w:color w:val="auto"/>
          <w:sz w:val="24"/>
          <w:szCs w:val="24"/>
          <w:highlight w:val="none"/>
          <w:lang w:val="en-US" w:eastAsia="zh-CN"/>
        </w:rPr>
        <w:t>7000</w:t>
      </w:r>
      <w:r>
        <w:rPr>
          <w:rFonts w:hint="eastAsia" w:ascii="宋体" w:hAnsi="宋体" w:cs="宋体"/>
          <w:color w:val="auto"/>
          <w:sz w:val="24"/>
          <w:szCs w:val="24"/>
          <w:highlight w:val="none"/>
        </w:rPr>
        <w:t>元（大写：</w:t>
      </w:r>
      <w:r>
        <w:rPr>
          <w:rFonts w:hint="eastAsia" w:ascii="宋体" w:hAnsi="宋体" w:cs="宋体"/>
          <w:color w:val="auto"/>
          <w:sz w:val="24"/>
          <w:szCs w:val="24"/>
          <w:highlight w:val="none"/>
          <w:lang w:eastAsia="zh-CN"/>
        </w:rPr>
        <w:t>柒仟</w:t>
      </w:r>
      <w:r>
        <w:rPr>
          <w:rFonts w:hint="eastAsia" w:ascii="宋体" w:hAnsi="宋体" w:cs="宋体"/>
          <w:color w:val="auto"/>
          <w:sz w:val="24"/>
          <w:szCs w:val="24"/>
          <w:highlight w:val="none"/>
        </w:rPr>
        <w:t>元整）。</w:t>
      </w:r>
    </w:p>
    <w:p>
      <w:pPr>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3、竞标保证金有效期等同竞标有效期。</w:t>
      </w:r>
    </w:p>
    <w:p>
      <w:pPr>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4、未在指定时间内到账的竞标保证金为无效竞标保证金，当场退还其响应文件。</w:t>
      </w:r>
    </w:p>
    <w:p>
      <w:pPr>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5、竞标人应将单位基本银行账户的开户许可证（或银行盖章的基本账户证明材料）和竞标保证金进账凭据带至现场查验(以上资料原件备验)。</w:t>
      </w:r>
    </w:p>
    <w:p>
      <w:pPr>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（二）保证金退还方式</w:t>
      </w:r>
    </w:p>
    <w:p>
      <w:pPr>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如因竞标人自身原因，竞标保证金未缴入本项目专用账户导致的竞标保证金退还延迟，由竞标人自行负责。</w:t>
      </w:r>
    </w:p>
    <w:p>
      <w:pPr>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保证金联系人：李老师；      咨询电话：023-68955002</w:t>
      </w:r>
    </w:p>
    <w:p>
      <w:pPr>
        <w:pageBreakBefore w:val="0"/>
        <w:widowControl w:val="0"/>
        <w:numPr>
          <w:ilvl w:val="0"/>
          <w:numId w:val="0"/>
        </w:numPr>
        <w:kinsoku/>
        <w:wordWrap/>
        <w:overflowPunct/>
        <w:topLinePunct w:val="0"/>
        <w:autoSpaceDE/>
        <w:autoSpaceDN/>
        <w:bidi w:val="0"/>
        <w:adjustRightInd/>
        <w:spacing w:line="360" w:lineRule="auto"/>
        <w:textAlignment w:val="auto"/>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六、履约保证金</w:t>
      </w:r>
    </w:p>
    <w:p>
      <w:pPr>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履约保证金金额为：项目成交金额的</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w:t>
      </w:r>
    </w:p>
    <w:p>
      <w:pPr>
        <w:pageBreakBefore w:val="0"/>
        <w:widowControl w:val="0"/>
        <w:numPr>
          <w:ilvl w:val="0"/>
          <w:numId w:val="0"/>
        </w:numPr>
        <w:kinsoku/>
        <w:wordWrap/>
        <w:overflowPunct/>
        <w:topLinePunct w:val="0"/>
        <w:autoSpaceDE/>
        <w:autoSpaceDN/>
        <w:bidi w:val="0"/>
        <w:adjustRightInd/>
        <w:spacing w:line="360" w:lineRule="auto"/>
        <w:ind w:left="476" w:leftChars="170" w:firstLine="0" w:firstLineChars="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成交人应当在合同签订之前将履约保证金汇入采购人指定账户（注明项目名称），缴纳方式请与采购人联系。</w:t>
      </w:r>
    </w:p>
    <w:p>
      <w:pPr>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在本项目</w:t>
      </w:r>
      <w:r>
        <w:rPr>
          <w:rFonts w:hint="eastAsia" w:ascii="宋体" w:hAnsi="宋体" w:cs="宋体"/>
          <w:color w:val="auto"/>
          <w:sz w:val="24"/>
          <w:szCs w:val="24"/>
          <w:highlight w:val="none"/>
          <w:lang w:eastAsia="zh-CN"/>
        </w:rPr>
        <w:t>服务期满</w:t>
      </w:r>
      <w:r>
        <w:rPr>
          <w:rFonts w:hint="eastAsia" w:ascii="宋体" w:hAnsi="宋体" w:cs="宋体"/>
          <w:color w:val="auto"/>
          <w:sz w:val="24"/>
          <w:szCs w:val="24"/>
          <w:highlight w:val="none"/>
        </w:rPr>
        <w:t>后</w:t>
      </w:r>
      <w:r>
        <w:rPr>
          <w:rFonts w:hint="eastAsia" w:ascii="宋体" w:hAnsi="宋体" w:cs="宋体"/>
          <w:color w:val="auto"/>
          <w:sz w:val="24"/>
          <w:szCs w:val="24"/>
          <w:highlight w:val="none"/>
          <w:lang w:eastAsia="zh-CN"/>
        </w:rPr>
        <w:t>一个月内</w:t>
      </w:r>
      <w:r>
        <w:rPr>
          <w:rFonts w:hint="eastAsia" w:ascii="宋体" w:hAnsi="宋体" w:cs="宋体"/>
          <w:color w:val="auto"/>
          <w:sz w:val="24"/>
          <w:szCs w:val="24"/>
          <w:highlight w:val="none"/>
        </w:rPr>
        <w:t>无息退还。</w:t>
      </w:r>
    </w:p>
    <w:p>
      <w:pPr>
        <w:pStyle w:val="4"/>
        <w:pageBreakBefore w:val="0"/>
        <w:widowControl w:val="0"/>
        <w:kinsoku/>
        <w:wordWrap/>
        <w:overflowPunct/>
        <w:topLinePunct w:val="0"/>
        <w:autoSpaceDE/>
        <w:autoSpaceDN/>
        <w:bidi w:val="0"/>
        <w:adjustRightInd/>
        <w:spacing w:before="0" w:after="0" w:line="360" w:lineRule="auto"/>
        <w:textAlignment w:val="auto"/>
        <w:rPr>
          <w:rFonts w:ascii="宋体" w:hAnsi="宋体" w:cs="宋体"/>
          <w:color w:val="auto"/>
          <w:sz w:val="24"/>
          <w:szCs w:val="24"/>
          <w:highlight w:val="none"/>
        </w:rPr>
      </w:pPr>
      <w:bookmarkStart w:id="22" w:name="_Toc25598"/>
      <w:bookmarkStart w:id="23" w:name="_Toc13780"/>
      <w:bookmarkStart w:id="24" w:name="_Toc5809"/>
      <w:r>
        <w:rPr>
          <w:rFonts w:hint="eastAsia" w:ascii="宋体" w:hAnsi="宋体" w:cs="宋体"/>
          <w:color w:val="auto"/>
          <w:sz w:val="24"/>
          <w:szCs w:val="24"/>
          <w:highlight w:val="none"/>
          <w:lang w:eastAsia="zh-CN"/>
        </w:rPr>
        <w:t>七</w:t>
      </w:r>
      <w:r>
        <w:rPr>
          <w:rFonts w:hint="eastAsia" w:ascii="宋体" w:hAnsi="宋体" w:cs="宋体"/>
          <w:color w:val="auto"/>
          <w:sz w:val="24"/>
          <w:szCs w:val="24"/>
          <w:highlight w:val="none"/>
        </w:rPr>
        <w:t>、</w:t>
      </w:r>
      <w:bookmarkEnd w:id="15"/>
      <w:r>
        <w:rPr>
          <w:rFonts w:hint="eastAsia" w:ascii="宋体" w:hAnsi="宋体" w:cs="宋体"/>
          <w:color w:val="auto"/>
          <w:sz w:val="24"/>
          <w:szCs w:val="24"/>
          <w:highlight w:val="none"/>
        </w:rPr>
        <w:t>其它有关规定</w:t>
      </w:r>
      <w:bookmarkEnd w:id="22"/>
      <w:bookmarkEnd w:id="23"/>
      <w:bookmarkEnd w:id="24"/>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（一）单位负责人为同一人或者存在直接控股、管理关系的不同供应商，不得参加同一合同项下的政府采购活动，否则均为无效</w:t>
      </w:r>
      <w:r>
        <w:rPr>
          <w:rFonts w:hint="eastAsia" w:ascii="宋体" w:hAnsi="宋体" w:cs="宋体"/>
          <w:color w:val="auto"/>
          <w:sz w:val="24"/>
          <w:szCs w:val="24"/>
          <w:highlight w:val="none"/>
          <w:lang w:eastAsia="zh-CN"/>
        </w:rPr>
        <w:t>磋商</w:t>
      </w:r>
      <w:r>
        <w:rPr>
          <w:rFonts w:hint="eastAsia" w:ascii="宋体" w:hAnsi="宋体" w:cs="宋体"/>
          <w:color w:val="auto"/>
          <w:sz w:val="24"/>
          <w:szCs w:val="24"/>
          <w:highlight w:val="none"/>
        </w:rPr>
        <w:t>。</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（二）为采购项目提供整体设计、规范编制或者项目管理、监理、检测等服务的供应商，不得再参加该采购项目的其他采购活动，否则均为无效</w:t>
      </w:r>
      <w:r>
        <w:rPr>
          <w:rFonts w:hint="eastAsia" w:ascii="宋体" w:hAnsi="宋体" w:cs="宋体"/>
          <w:color w:val="auto"/>
          <w:sz w:val="24"/>
          <w:szCs w:val="24"/>
          <w:highlight w:val="none"/>
          <w:lang w:eastAsia="zh-CN"/>
        </w:rPr>
        <w:t>磋商</w:t>
      </w:r>
      <w:r>
        <w:rPr>
          <w:rFonts w:hint="eastAsia" w:ascii="宋体" w:hAnsi="宋体" w:cs="宋体"/>
          <w:color w:val="auto"/>
          <w:sz w:val="24"/>
          <w:szCs w:val="24"/>
          <w:highlight w:val="none"/>
        </w:rPr>
        <w:t>。</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（三）超过响应文件截止时间递交的响应文件，恕不接收。</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（四）</w:t>
      </w:r>
      <w:r>
        <w:rPr>
          <w:rFonts w:hint="eastAsia" w:ascii="宋体" w:hAnsi="宋体" w:cs="宋体"/>
          <w:color w:val="auto"/>
          <w:sz w:val="24"/>
          <w:szCs w:val="24"/>
          <w:highlight w:val="none"/>
          <w:lang w:eastAsia="zh-CN"/>
        </w:rPr>
        <w:t>磋商</w:t>
      </w:r>
      <w:r>
        <w:rPr>
          <w:rFonts w:hint="eastAsia" w:ascii="宋体" w:hAnsi="宋体" w:cs="宋体"/>
          <w:color w:val="auto"/>
          <w:sz w:val="24"/>
          <w:szCs w:val="24"/>
          <w:highlight w:val="none"/>
        </w:rPr>
        <w:t>费用：无论</w:t>
      </w:r>
      <w:r>
        <w:rPr>
          <w:rFonts w:hint="eastAsia" w:ascii="宋体" w:hAnsi="宋体" w:cs="宋体"/>
          <w:color w:val="auto"/>
          <w:sz w:val="24"/>
          <w:szCs w:val="24"/>
          <w:highlight w:val="none"/>
          <w:lang w:eastAsia="zh-CN"/>
        </w:rPr>
        <w:t>磋商</w:t>
      </w:r>
      <w:r>
        <w:rPr>
          <w:rFonts w:hint="eastAsia" w:ascii="宋体" w:hAnsi="宋体" w:cs="宋体"/>
          <w:color w:val="auto"/>
          <w:sz w:val="24"/>
          <w:szCs w:val="24"/>
          <w:highlight w:val="none"/>
        </w:rPr>
        <w:t>结果如何，供应商参与本项目</w:t>
      </w:r>
      <w:r>
        <w:rPr>
          <w:rFonts w:hint="eastAsia" w:ascii="宋体" w:hAnsi="宋体" w:cs="宋体"/>
          <w:color w:val="auto"/>
          <w:sz w:val="24"/>
          <w:szCs w:val="24"/>
          <w:highlight w:val="none"/>
          <w:lang w:eastAsia="zh-CN"/>
        </w:rPr>
        <w:t>磋商</w:t>
      </w:r>
      <w:r>
        <w:rPr>
          <w:rFonts w:hint="eastAsia" w:ascii="宋体" w:hAnsi="宋体" w:cs="宋体"/>
          <w:color w:val="auto"/>
          <w:sz w:val="24"/>
          <w:szCs w:val="24"/>
          <w:highlight w:val="none"/>
        </w:rPr>
        <w:t>的所有费用均应由供应商自行承担。</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（五）本项目不接受联合体参与</w:t>
      </w:r>
      <w:r>
        <w:rPr>
          <w:rFonts w:hint="eastAsia" w:ascii="宋体" w:hAnsi="宋体" w:cs="宋体"/>
          <w:color w:val="auto"/>
          <w:sz w:val="24"/>
          <w:szCs w:val="24"/>
          <w:highlight w:val="none"/>
          <w:lang w:eastAsia="zh-CN"/>
        </w:rPr>
        <w:t>磋商</w:t>
      </w:r>
      <w:r>
        <w:rPr>
          <w:rFonts w:hint="eastAsia" w:ascii="宋体" w:hAnsi="宋体" w:cs="宋体"/>
          <w:color w:val="auto"/>
          <w:sz w:val="24"/>
          <w:szCs w:val="24"/>
          <w:highlight w:val="none"/>
        </w:rPr>
        <w:t>。</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六）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采购活动。</w:t>
      </w:r>
    </w:p>
    <w:p>
      <w:pPr>
        <w:pStyle w:val="4"/>
        <w:pageBreakBefore w:val="0"/>
        <w:widowControl w:val="0"/>
        <w:kinsoku/>
        <w:wordWrap/>
        <w:overflowPunct/>
        <w:topLinePunct w:val="0"/>
        <w:autoSpaceDE/>
        <w:autoSpaceDN/>
        <w:bidi w:val="0"/>
        <w:adjustRightInd/>
        <w:spacing w:before="0" w:after="0" w:line="360" w:lineRule="auto"/>
        <w:textAlignment w:val="auto"/>
        <w:rPr>
          <w:rFonts w:ascii="宋体" w:hAnsi="宋体" w:cs="宋体"/>
          <w:color w:val="auto"/>
          <w:sz w:val="24"/>
          <w:szCs w:val="24"/>
          <w:highlight w:val="none"/>
        </w:rPr>
      </w:pPr>
      <w:r>
        <w:rPr>
          <w:rFonts w:hint="eastAsia" w:ascii="宋体" w:hAnsi="宋体" w:cs="宋体"/>
          <w:color w:val="auto"/>
          <w:sz w:val="24"/>
          <w:szCs w:val="24"/>
          <w:highlight w:val="none"/>
          <w:lang w:eastAsia="zh-CN"/>
        </w:rPr>
        <w:t>八</w:t>
      </w:r>
      <w:r>
        <w:rPr>
          <w:rFonts w:hint="eastAsia" w:ascii="宋体" w:hAnsi="宋体" w:cs="宋体"/>
          <w:color w:val="auto"/>
          <w:sz w:val="24"/>
          <w:szCs w:val="24"/>
          <w:highlight w:val="none"/>
        </w:rPr>
        <w:t>、采购项目需落实的政府采购政策</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一）按照《政府采购促进中小企业发展暂行办法》（财库[2011]181号）之规定，落实促进中小企业发展政策；以及《关于简化中小微企业享受政府采购扶持政策证明材料的通知》（渝财采购[2019]4号）之规定，提供《中小微企业声明函》作为证明依据（格式见第六篇中其他应提供的资料）。</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（二）按照《财政部、司法部关于政府采购支持监狱企业发展有关问题的通知》（财库〔2014〕68号）的规定，落实支持监狱企业发展政策。</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（三）按照《关于促进残疾人就业政府采购政策的通知》（财库〔2017〕141号）的规定，落实支持残疾人福利性单位发展政策。</w:t>
      </w:r>
    </w:p>
    <w:p>
      <w:pPr>
        <w:pStyle w:val="4"/>
        <w:pageBreakBefore w:val="0"/>
        <w:widowControl w:val="0"/>
        <w:kinsoku/>
        <w:wordWrap/>
        <w:overflowPunct/>
        <w:topLinePunct w:val="0"/>
        <w:autoSpaceDE/>
        <w:autoSpaceDN/>
        <w:bidi w:val="0"/>
        <w:adjustRightInd/>
        <w:spacing w:before="0" w:after="0" w:line="360" w:lineRule="auto"/>
        <w:textAlignment w:val="auto"/>
        <w:rPr>
          <w:rFonts w:ascii="宋体" w:hAnsi="宋体" w:cs="宋体"/>
          <w:color w:val="auto"/>
          <w:sz w:val="24"/>
          <w:szCs w:val="24"/>
          <w:highlight w:val="none"/>
        </w:rPr>
      </w:pPr>
      <w:bookmarkStart w:id="25" w:name="_Toc22795"/>
      <w:bookmarkStart w:id="26" w:name="_Toc17016"/>
      <w:bookmarkStart w:id="27" w:name="_Toc23096"/>
      <w:r>
        <w:rPr>
          <w:rFonts w:hint="eastAsia" w:ascii="宋体" w:hAnsi="宋体" w:cs="宋体"/>
          <w:color w:val="auto"/>
          <w:sz w:val="24"/>
          <w:szCs w:val="24"/>
          <w:highlight w:val="none"/>
          <w:lang w:eastAsia="zh-CN"/>
        </w:rPr>
        <w:t>九</w:t>
      </w:r>
      <w:r>
        <w:rPr>
          <w:rFonts w:hint="eastAsia" w:ascii="宋体" w:hAnsi="宋体" w:cs="宋体"/>
          <w:color w:val="auto"/>
          <w:sz w:val="24"/>
          <w:szCs w:val="24"/>
          <w:highlight w:val="none"/>
        </w:rPr>
        <w:t>、联系方式</w:t>
      </w:r>
      <w:bookmarkEnd w:id="25"/>
      <w:bookmarkEnd w:id="26"/>
      <w:bookmarkEnd w:id="27"/>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采购人：重庆市大渡口区土地整理储备中心</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eastAsia="zh-CN"/>
        </w:rPr>
        <w:t>代建业主：</w:t>
      </w:r>
      <w:r>
        <w:rPr>
          <w:rFonts w:hint="eastAsia" w:ascii="宋体" w:hAnsi="宋体" w:cs="宋体"/>
          <w:color w:val="auto"/>
          <w:sz w:val="24"/>
          <w:szCs w:val="24"/>
          <w:highlight w:val="none"/>
        </w:rPr>
        <w:t xml:space="preserve">重庆建桥实业发展有限公司 </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联系人：李老师</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电  话：023-68955002</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地  址：重庆市大渡口区田西路中冶熙城商街1号楼1楼</w:t>
      </w:r>
    </w:p>
    <w:p>
      <w:pPr>
        <w:pageBreakBefore w:val="0"/>
        <w:widowControl w:val="0"/>
        <w:kinsoku/>
        <w:wordWrap/>
        <w:overflowPunct/>
        <w:topLinePunct w:val="0"/>
        <w:autoSpaceDE/>
        <w:autoSpaceDN/>
        <w:bidi w:val="0"/>
        <w:adjustRightInd/>
        <w:snapToGrid w:val="0"/>
        <w:spacing w:line="360" w:lineRule="auto"/>
        <w:textAlignment w:val="auto"/>
        <w:rPr>
          <w:rFonts w:ascii="黑体" w:hAnsi="黑体" w:eastAsia="黑体"/>
          <w:b/>
          <w:color w:val="auto"/>
          <w:sz w:val="24"/>
          <w:szCs w:val="24"/>
          <w:highlight w:val="none"/>
        </w:rPr>
        <w:sectPr>
          <w:headerReference r:id="rId7" w:type="default"/>
          <w:footerReference r:id="rId8" w:type="default"/>
          <w:pgSz w:w="11907" w:h="16840"/>
          <w:pgMar w:top="1134" w:right="1418" w:bottom="1134" w:left="1418" w:header="964" w:footer="992" w:gutter="0"/>
          <w:pgNumType w:fmt="numberInDash" w:start="1"/>
          <w:cols w:space="720" w:num="1"/>
          <w:docGrid w:linePitch="312" w:charSpace="0"/>
        </w:sectPr>
      </w:pPr>
    </w:p>
    <w:p>
      <w:pPr>
        <w:pStyle w:val="3"/>
        <w:spacing w:before="0" w:after="0" w:line="312" w:lineRule="auto"/>
        <w:jc w:val="center"/>
        <w:rPr>
          <w:rFonts w:ascii="宋体" w:hAnsi="宋体" w:eastAsia="宋体" w:cs="宋体"/>
          <w:color w:val="auto"/>
          <w:sz w:val="36"/>
          <w:szCs w:val="30"/>
          <w:highlight w:val="none"/>
        </w:rPr>
      </w:pPr>
      <w:bookmarkStart w:id="28" w:name="_Toc19947"/>
      <w:bookmarkStart w:id="29" w:name="_Toc20524"/>
      <w:bookmarkStart w:id="30" w:name="_Toc7521"/>
      <w:r>
        <w:rPr>
          <w:rFonts w:hint="eastAsia" w:ascii="宋体" w:hAnsi="宋体" w:eastAsia="宋体" w:cs="宋体"/>
          <w:color w:val="auto"/>
          <w:sz w:val="36"/>
          <w:szCs w:val="30"/>
          <w:highlight w:val="none"/>
        </w:rPr>
        <w:t>第二篇  采购服务需求</w:t>
      </w:r>
      <w:bookmarkEnd w:id="28"/>
      <w:bookmarkEnd w:id="29"/>
      <w:bookmarkEnd w:id="30"/>
      <w:bookmarkStart w:id="31" w:name="_Toc12789058"/>
    </w:p>
    <w:p>
      <w:pPr>
        <w:pStyle w:val="4"/>
        <w:spacing w:before="0" w:after="0" w:line="312" w:lineRule="auto"/>
        <w:rPr>
          <w:rFonts w:ascii="宋体" w:hAnsi="宋体" w:cs="宋体"/>
          <w:color w:val="auto"/>
          <w:sz w:val="24"/>
          <w:szCs w:val="24"/>
          <w:highlight w:val="none"/>
        </w:rPr>
      </w:pPr>
      <w:bookmarkStart w:id="32" w:name="_Toc16238"/>
      <w:bookmarkStart w:id="33" w:name="_Toc23236"/>
      <w:bookmarkStart w:id="34" w:name="_Toc2484"/>
      <w:bookmarkStart w:id="35" w:name="_Toc15391"/>
      <w:bookmarkStart w:id="36" w:name="_Toc22268"/>
      <w:bookmarkStart w:id="37" w:name="_Toc1342"/>
      <w:bookmarkStart w:id="38" w:name="_Toc8713"/>
      <w:bookmarkStart w:id="39" w:name="_Toc6890"/>
      <w:bookmarkStart w:id="40" w:name="_Toc24170"/>
      <w:bookmarkStart w:id="41" w:name="_Toc9707"/>
      <w:r>
        <w:rPr>
          <w:rFonts w:hint="eastAsia" w:ascii="宋体" w:hAnsi="宋体" w:cs="宋体"/>
          <w:color w:val="auto"/>
          <w:sz w:val="24"/>
          <w:szCs w:val="24"/>
          <w:highlight w:val="none"/>
        </w:rPr>
        <w:t>一、</w:t>
      </w:r>
      <w:bookmarkEnd w:id="32"/>
      <w:bookmarkEnd w:id="33"/>
      <w:bookmarkEnd w:id="34"/>
      <w:bookmarkEnd w:id="35"/>
      <w:bookmarkEnd w:id="36"/>
      <w:bookmarkEnd w:id="37"/>
      <w:bookmarkEnd w:id="38"/>
      <w:bookmarkStart w:id="42" w:name="_Toc28835"/>
      <w:bookmarkStart w:id="43" w:name="_Toc10310"/>
      <w:bookmarkStart w:id="44" w:name="_Toc31212"/>
      <w:bookmarkStart w:id="45" w:name="_Toc25157"/>
      <w:bookmarkStart w:id="46" w:name="_Toc25797"/>
      <w:bookmarkStart w:id="47" w:name="_Toc26795"/>
      <w:bookmarkStart w:id="48" w:name="_Toc648"/>
      <w:r>
        <w:rPr>
          <w:rFonts w:hint="eastAsia" w:ascii="宋体" w:hAnsi="宋体" w:cs="宋体"/>
          <w:color w:val="auto"/>
          <w:sz w:val="24"/>
          <w:szCs w:val="24"/>
          <w:highlight w:val="none"/>
        </w:rPr>
        <w:t>项目需求</w:t>
      </w:r>
      <w:bookmarkEnd w:id="42"/>
      <w:bookmarkEnd w:id="43"/>
      <w:bookmarkEnd w:id="44"/>
      <w:bookmarkEnd w:id="45"/>
      <w:bookmarkEnd w:id="46"/>
      <w:bookmarkEnd w:id="47"/>
      <w:bookmarkEnd w:id="48"/>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1、服务地点：大渡口区建桥</w:t>
      </w:r>
      <w:r>
        <w:rPr>
          <w:rFonts w:hint="eastAsia" w:ascii="宋体" w:hAnsi="宋体" w:cs="宋体"/>
          <w:color w:val="auto"/>
          <w:sz w:val="24"/>
          <w:szCs w:val="24"/>
          <w:highlight w:val="none"/>
          <w:lang w:val="en-US" w:eastAsia="zh-CN"/>
        </w:rPr>
        <w:t>A</w:t>
      </w:r>
      <w:r>
        <w:rPr>
          <w:rFonts w:hint="eastAsia" w:ascii="宋体" w:hAnsi="宋体" w:cs="宋体"/>
          <w:color w:val="auto"/>
          <w:sz w:val="24"/>
          <w:szCs w:val="24"/>
          <w:highlight w:val="none"/>
        </w:rPr>
        <w:t>区。</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建设规模：重庆市大渡口区新袁茄路南段道路工程，南接老袁茄路，北接已建成新袁茄路，道路全长约 570 米，标准路幅宽44 米，道路等级为城市主干道，建安投资约 5000 万元。</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服务范围：对项目工程全部内容的建设实施阶段、竣工结算及验收移交阶段实施全过程造价控制。包含: 施工方案的经济评价、设计变更的经济分析、参与施工阶段的现场计量、现场签证、新增项目的价格审核及评价、建筑材料认（审）价、工程进度款审核、专业分包造价控制、提供工程索赔和反索赔咨询、有关工程造价信息及法规等咨询、完工后的结算审核等与造价控制有关的其他服务工作。主要内容如下：</w:t>
      </w:r>
    </w:p>
    <w:p>
      <w:pPr>
        <w:numPr>
          <w:ilvl w:val="0"/>
          <w:numId w:val="2"/>
        </w:numPr>
        <w:spacing w:line="312" w:lineRule="auto"/>
        <w:ind w:firstLine="480" w:firstLineChars="200"/>
        <w:rPr>
          <w:rFonts w:hint="eastAsia" w:ascii="宋体" w:hAnsi="宋体" w:cs="宋体"/>
          <w:color w:val="auto"/>
          <w:sz w:val="24"/>
          <w:szCs w:val="24"/>
          <w:highlight w:val="none"/>
          <w:lang w:eastAsia="zh-CN"/>
        </w:rPr>
      </w:pPr>
      <w:r>
        <w:rPr>
          <w:rFonts w:ascii="宋体" w:hAnsi="宋体" w:eastAsia="宋体" w:cs="宋体"/>
          <w:color w:val="auto"/>
          <w:sz w:val="24"/>
          <w:szCs w:val="24"/>
          <w:highlight w:val="none"/>
        </w:rPr>
        <w:t>预算编制和</w:t>
      </w:r>
      <w:r>
        <w:rPr>
          <w:rFonts w:hint="eastAsia" w:ascii="宋体" w:hAnsi="宋体" w:cs="宋体"/>
          <w:color w:val="auto"/>
          <w:sz w:val="24"/>
          <w:szCs w:val="24"/>
          <w:highlight w:val="none"/>
          <w:lang w:eastAsia="zh-CN"/>
        </w:rPr>
        <w:t>评审</w:t>
      </w:r>
      <w:r>
        <w:rPr>
          <w:rFonts w:ascii="宋体" w:hAnsi="宋体" w:eastAsia="宋体" w:cs="宋体"/>
          <w:color w:val="auto"/>
          <w:sz w:val="24"/>
          <w:szCs w:val="24"/>
          <w:highlight w:val="none"/>
        </w:rPr>
        <w:t>复核</w:t>
      </w:r>
      <w:r>
        <w:rPr>
          <w:rFonts w:hint="eastAsia" w:ascii="宋体" w:hAnsi="宋体" w:cs="宋体"/>
          <w:color w:val="auto"/>
          <w:sz w:val="24"/>
          <w:szCs w:val="24"/>
          <w:highlight w:val="none"/>
          <w:lang w:eastAsia="zh-CN"/>
        </w:rPr>
        <w:t>；</w:t>
      </w:r>
    </w:p>
    <w:p>
      <w:pPr>
        <w:numPr>
          <w:ilvl w:val="0"/>
          <w:numId w:val="2"/>
        </w:num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对履行基本建设程序及政府投资管理程序情况进行监督；</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、对各类合同进行审核；</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、对工程成本进行控制，对工程进度款的支付进行审核分析；</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、参与隐蔽工程现场收方、签证以及主要建筑材料认质认价；</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、对工程设计变更的必要性和施工组织方案的经济性进行审查；</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cs="宋体"/>
          <w:color w:val="auto"/>
          <w:sz w:val="24"/>
          <w:szCs w:val="24"/>
          <w:highlight w:val="none"/>
        </w:rPr>
        <w:t>、工程结算审核（包括阶段性结算审核）；</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、全过程造价控制方案；</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rPr>
        <w:t>、监督工程材料及设备采购类工作；</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、召开全过程造价控制协调会，确保工作顺利开展；</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采购</w:t>
      </w:r>
      <w:r>
        <w:rPr>
          <w:rFonts w:hint="eastAsia" w:ascii="宋体" w:hAnsi="宋体" w:cs="宋体"/>
          <w:color w:val="auto"/>
          <w:sz w:val="24"/>
          <w:szCs w:val="24"/>
          <w:highlight w:val="none"/>
        </w:rPr>
        <w:t>人要求完成的与本项目造价控制相关的其他工作。</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收费标准：本项目报价为折扣率报价，按渝价〔2013〕428号重庆市物价局《关于工程造价咨询服务收费标准的通知》相应标准</w:t>
      </w:r>
      <w:r>
        <w:rPr>
          <w:rFonts w:hint="eastAsia" w:ascii="宋体" w:hAnsi="宋体" w:cs="宋体"/>
          <w:color w:val="auto"/>
          <w:sz w:val="24"/>
          <w:szCs w:val="24"/>
          <w:highlight w:val="none"/>
          <w:lang w:val="en-US" w:eastAsia="zh-CN"/>
        </w:rPr>
        <w:t>75</w:t>
      </w:r>
      <w:r>
        <w:rPr>
          <w:rFonts w:hint="eastAsia" w:ascii="宋体" w:hAnsi="宋体" w:cs="宋体"/>
          <w:color w:val="auto"/>
          <w:sz w:val="24"/>
          <w:szCs w:val="24"/>
          <w:highlight w:val="none"/>
        </w:rPr>
        <w:t>%为最高限价。</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注：</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1、合同暂定服务费以</w:t>
      </w:r>
      <w:r>
        <w:rPr>
          <w:rFonts w:hint="eastAsia" w:ascii="宋体" w:hAnsi="宋体" w:cs="宋体"/>
          <w:color w:val="auto"/>
          <w:sz w:val="24"/>
          <w:szCs w:val="24"/>
          <w:highlight w:val="none"/>
          <w:lang w:eastAsia="zh-CN"/>
        </w:rPr>
        <w:t>建安总投资（</w:t>
      </w:r>
      <w:r>
        <w:rPr>
          <w:rFonts w:hint="eastAsia" w:ascii="宋体" w:hAnsi="宋体" w:cs="宋体"/>
          <w:color w:val="auto"/>
          <w:sz w:val="24"/>
          <w:szCs w:val="24"/>
          <w:highlight w:val="none"/>
          <w:lang w:val="en-US" w:eastAsia="zh-CN"/>
        </w:rPr>
        <w:t>5000万元</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按重庆市物价局渝价[2013]428号文件规定计算的标准费额×中标折扣率进行计算。</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2、服务费最终结算金额以</w:t>
      </w:r>
      <w:r>
        <w:rPr>
          <w:rFonts w:hint="eastAsia" w:ascii="宋体" w:hAnsi="宋体" w:cs="宋体"/>
          <w:color w:val="auto"/>
          <w:sz w:val="24"/>
          <w:szCs w:val="24"/>
          <w:highlight w:val="none"/>
          <w:lang w:eastAsia="zh-CN"/>
        </w:rPr>
        <w:t>预算审核金额作为计费基数</w:t>
      </w:r>
      <w:r>
        <w:rPr>
          <w:rFonts w:hint="eastAsia" w:ascii="宋体" w:hAnsi="宋体" w:cs="宋体"/>
          <w:color w:val="auto"/>
          <w:sz w:val="24"/>
          <w:szCs w:val="24"/>
          <w:highlight w:val="none"/>
        </w:rPr>
        <w:t>按重庆市物价局渝价[2013]428号文件规定计算的标准费额×中标折扣率。</w:t>
      </w:r>
    </w:p>
    <w:p>
      <w:pPr>
        <w:spacing w:line="312" w:lineRule="auto"/>
        <w:rPr>
          <w:rFonts w:ascii="宋体" w:hAnsi="宋体" w:cs="宋体"/>
          <w:b/>
          <w:color w:val="auto"/>
          <w:sz w:val="24"/>
          <w:szCs w:val="24"/>
          <w:highlight w:val="none"/>
        </w:rPr>
      </w:pPr>
      <w:r>
        <w:rPr>
          <w:rFonts w:hint="eastAsia" w:ascii="宋体" w:hAnsi="宋体" w:cs="宋体"/>
          <w:b/>
          <w:color w:val="auto"/>
          <w:sz w:val="24"/>
          <w:szCs w:val="24"/>
          <w:highlight w:val="none"/>
        </w:rPr>
        <w:t>二、其他约定</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1、成交人不得将工程的咨询任务进行挂靠、转包或分包，如经发现，采购人将取消本工程咨询资格，并赔偿因此对招标人造成一切经济损失。</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2、成交人必须建立对现场代表的监管，杜绝现场代表参与与采购人利益相冲突的任何活动。并承担因现场代表的违规违法行为造成的一切经济损失和法律责任。</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成交人必须确保全过程造价控制及结算审核造价的准确性，若结算审核后的造价经采购人复审或国家审计机关审计审减差率在-5%至+5%范围外，每超出1%，扣除全过程造价控制费用结算金额的2%，若超出-10%至+10%（含）范围以上的，采购人将在结算总额中直接扣除成交人剩余全过程造价控制服务费。</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4、成交人确定的咨询负责人员及其专业人员不得随意更换，如需更换必须征得采购人同意，且采购人有权更换不称职的咨询专业负责人员，否则造成的经济损失由成交人承担。</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5、供应商、采购人双方任何一方违约，按《中华人民共和国合同法》有关规定办理。</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6、供应商在履行合同过程中，如有违反法律、法规或政策规定，损坏采购人和国家利益，采购人有权解除合同，不支付供应商任何款项，供应商赔偿给采购人造成的实际损失。</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7、供应商变更项目负责人和全过程造价跟踪人员的，每人次向采购人支付违约金5000元；累计达到3人次的，采购人有权解除合同。</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8、在工程实施过程中，采购人有权对成交人的审核结果进行复核，若成交人的工作质量达不到本合同约定工作质量标准，每次向采购人支付2000元的违约金。</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9、因成交人原因，不能按合同要求的时限完成审核任务，每延期一天，出暂定咨询费万分之三的违约金；若成交人无故不参加现场收方、验收、签证等现场全过程造价控制工作，每次向采购人支付2000元的违约金。</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10、成交人违法转包或擅自分包造价业务的，采购人有权解除合同，并由成交人承担因此造成的损失。</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11、常驻现场人员在岗时间不得少于施工时间的70%，且不得出现同时不在岗的情况，采购人每月对在岗时间进行检查，如违反此条按每人每天1000元向采购人支付违约金。</w:t>
      </w:r>
    </w:p>
    <w:p>
      <w:pPr>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12、成交人的工作人员应严格遵守廉政纪律，如有违反，每人每次向采购人支付10000元的违约金，并勒令更换当事人。</w:t>
      </w:r>
    </w:p>
    <w:p>
      <w:pPr>
        <w:spacing w:line="312" w:lineRule="auto"/>
        <w:ind w:firstLine="480" w:firstLineChars="200"/>
        <w:rPr>
          <w:rFonts w:hint="eastAsia" w:ascii="宋体" w:hAnsi="宋体" w:eastAsia="宋体" w:cs="宋体"/>
          <w:color w:val="auto"/>
          <w:sz w:val="24"/>
          <w:szCs w:val="24"/>
          <w:highlight w:val="none"/>
          <w:lang w:val="en-US" w:eastAsia="zh-CN"/>
        </w:rPr>
        <w:sectPr>
          <w:footerReference r:id="rId9" w:type="default"/>
          <w:footerReference r:id="rId10" w:type="even"/>
          <w:pgSz w:w="11907" w:h="16840"/>
          <w:pgMar w:top="1134" w:right="1191" w:bottom="1134" w:left="1304" w:header="964" w:footer="992" w:gutter="0"/>
          <w:pgNumType w:fmt="numberInDash"/>
          <w:cols w:space="720" w:num="1"/>
          <w:docGrid w:linePitch="312" w:charSpace="0"/>
        </w:sect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、成交人在履行合同过程中应遵守安全操作规则、保证自己人身安全；非因采购人原因，成交人受到人身、财产损害或成交人对第三人造成人身、财产损害的，成交人应自行承担全部赔偿责任</w:t>
      </w:r>
      <w:r>
        <w:rPr>
          <w:rFonts w:hint="eastAsia" w:ascii="宋体" w:hAnsi="宋体" w:cs="宋体"/>
          <w:color w:val="auto"/>
          <w:sz w:val="24"/>
          <w:szCs w:val="24"/>
          <w:highlight w:val="none"/>
          <w:lang w:eastAsia="zh-CN"/>
        </w:rPr>
        <w:t>。</w:t>
      </w:r>
    </w:p>
    <w:p>
      <w:pPr>
        <w:pageBreakBefore w:val="0"/>
        <w:widowControl w:val="0"/>
        <w:kinsoku/>
        <w:wordWrap/>
        <w:overflowPunct/>
        <w:topLinePunct w:val="0"/>
        <w:autoSpaceDE/>
        <w:autoSpaceDN/>
        <w:bidi w:val="0"/>
        <w:spacing w:line="360" w:lineRule="auto"/>
        <w:textAlignment w:val="auto"/>
        <w:rPr>
          <w:rFonts w:ascii="宋体" w:hAnsi="宋体" w:cs="宋体"/>
          <w:color w:val="auto"/>
          <w:sz w:val="36"/>
          <w:szCs w:val="30"/>
          <w:highlight w:val="none"/>
        </w:rPr>
      </w:pPr>
    </w:p>
    <w:p>
      <w:pPr>
        <w:pStyle w:val="3"/>
        <w:pageBreakBefore w:val="0"/>
        <w:widowControl w:val="0"/>
        <w:kinsoku/>
        <w:wordWrap/>
        <w:overflowPunct/>
        <w:topLinePunct w:val="0"/>
        <w:autoSpaceDE/>
        <w:autoSpaceDN/>
        <w:bidi w:val="0"/>
        <w:spacing w:before="0" w:after="0" w:line="360" w:lineRule="auto"/>
        <w:jc w:val="center"/>
        <w:textAlignment w:val="auto"/>
        <w:rPr>
          <w:rFonts w:ascii="宋体" w:hAnsi="宋体" w:eastAsia="宋体" w:cs="宋体"/>
          <w:b w:val="0"/>
          <w:color w:val="auto"/>
          <w:sz w:val="36"/>
          <w:szCs w:val="30"/>
          <w:highlight w:val="none"/>
        </w:rPr>
      </w:pPr>
      <w:r>
        <w:rPr>
          <w:rFonts w:hint="eastAsia" w:ascii="宋体" w:hAnsi="宋体" w:eastAsia="宋体" w:cs="宋体"/>
          <w:color w:val="auto"/>
          <w:sz w:val="36"/>
          <w:szCs w:val="30"/>
          <w:highlight w:val="none"/>
        </w:rPr>
        <w:t>第三篇  采购商务需求</w:t>
      </w:r>
      <w:bookmarkEnd w:id="31"/>
      <w:bookmarkEnd w:id="39"/>
      <w:bookmarkEnd w:id="40"/>
      <w:bookmarkEnd w:id="41"/>
    </w:p>
    <w:p>
      <w:pPr>
        <w:pStyle w:val="4"/>
        <w:pageBreakBefore w:val="0"/>
        <w:widowControl w:val="0"/>
        <w:kinsoku/>
        <w:wordWrap/>
        <w:overflowPunct/>
        <w:topLinePunct w:val="0"/>
        <w:autoSpaceDE/>
        <w:autoSpaceDN/>
        <w:bidi w:val="0"/>
        <w:spacing w:before="0" w:after="0" w:line="360" w:lineRule="auto"/>
        <w:textAlignment w:val="auto"/>
        <w:rPr>
          <w:rFonts w:ascii="宋体" w:hAnsi="宋体" w:cs="宋体"/>
          <w:color w:val="auto"/>
          <w:sz w:val="24"/>
          <w:szCs w:val="24"/>
          <w:highlight w:val="none"/>
        </w:rPr>
      </w:pPr>
      <w:bookmarkStart w:id="49" w:name="_Toc521399410"/>
      <w:bookmarkStart w:id="50" w:name="_Toc18657"/>
      <w:bookmarkStart w:id="51" w:name="_Toc28985"/>
      <w:bookmarkStart w:id="52" w:name="_Toc15767"/>
      <w:bookmarkStart w:id="53" w:name="_Toc344475120"/>
      <w:r>
        <w:rPr>
          <w:rFonts w:hint="eastAsia" w:ascii="宋体" w:hAnsi="宋体" w:cs="宋体"/>
          <w:color w:val="auto"/>
          <w:sz w:val="24"/>
          <w:szCs w:val="24"/>
          <w:highlight w:val="none"/>
        </w:rPr>
        <w:t>一、服务期、地点及验收方式</w:t>
      </w:r>
      <w:bookmarkEnd w:id="49"/>
      <w:bookmarkEnd w:id="50"/>
      <w:bookmarkEnd w:id="51"/>
      <w:bookmarkEnd w:id="52"/>
      <w:bookmarkEnd w:id="53"/>
    </w:p>
    <w:p>
      <w:pPr>
        <w:pStyle w:val="8"/>
        <w:pageBreakBefore w:val="0"/>
        <w:widowControl w:val="0"/>
        <w:kinsoku/>
        <w:wordWrap/>
        <w:overflowPunct/>
        <w:topLinePunct w:val="0"/>
        <w:autoSpaceDE/>
        <w:autoSpaceDN/>
        <w:bidi w:val="0"/>
        <w:spacing w:line="360" w:lineRule="auto"/>
        <w:ind w:firstLine="360" w:firstLineChars="150"/>
        <w:textAlignment w:val="auto"/>
        <w:rPr>
          <w:rFonts w:ascii="黑体" w:hAnsi="黑体" w:eastAsia="黑体"/>
          <w:color w:val="auto"/>
          <w:sz w:val="24"/>
          <w:szCs w:val="24"/>
          <w:highlight w:val="none"/>
        </w:rPr>
      </w:pPr>
      <w:bookmarkStart w:id="54" w:name="_Toc4253"/>
      <w:bookmarkStart w:id="55" w:name="_Toc27155"/>
      <w:bookmarkStart w:id="56" w:name="_Toc344475122"/>
      <w:bookmarkStart w:id="57" w:name="_Toc521399411"/>
      <w:bookmarkStart w:id="58" w:name="_Toc22834"/>
      <w:r>
        <w:rPr>
          <w:rFonts w:hint="eastAsia" w:ascii="黑体" w:hAnsi="黑体" w:eastAsia="黑体"/>
          <w:color w:val="auto"/>
          <w:sz w:val="24"/>
          <w:szCs w:val="24"/>
          <w:highlight w:val="none"/>
        </w:rPr>
        <w:t>（一）服务期</w:t>
      </w:r>
    </w:p>
    <w:p>
      <w:pPr>
        <w:pStyle w:val="8"/>
        <w:pageBreakBefore w:val="0"/>
        <w:widowControl w:val="0"/>
        <w:kinsoku/>
        <w:wordWrap/>
        <w:overflowPunct/>
        <w:topLinePunct w:val="0"/>
        <w:autoSpaceDE/>
        <w:autoSpaceDN/>
        <w:bidi w:val="0"/>
        <w:spacing w:line="360" w:lineRule="auto"/>
        <w:ind w:firstLine="360" w:firstLineChars="15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从项目正式开工建设至项目完工（即整个施工工期）</w:t>
      </w:r>
      <w:r>
        <w:rPr>
          <w:rFonts w:hint="eastAsia" w:ascii="宋体" w:hAnsi="宋体" w:cs="宋体"/>
          <w:color w:val="auto"/>
          <w:sz w:val="24"/>
          <w:szCs w:val="24"/>
          <w:highlight w:val="none"/>
        </w:rPr>
        <w:t>，全过程造价</w:t>
      </w:r>
      <w:r>
        <w:rPr>
          <w:rFonts w:hint="eastAsia" w:ascii="宋体" w:hAnsi="宋体" w:cs="宋体"/>
          <w:color w:val="auto"/>
          <w:sz w:val="24"/>
          <w:szCs w:val="24"/>
          <w:highlight w:val="none"/>
          <w:lang w:val="en-US" w:eastAsia="zh-CN"/>
        </w:rPr>
        <w:t>咨询服务驻场时间暂定</w:t>
      </w:r>
      <w:r>
        <w:rPr>
          <w:rFonts w:hint="eastAsia" w:ascii="宋体" w:hAnsi="宋体" w:cs="宋体"/>
          <w:color w:val="auto"/>
          <w:sz w:val="24"/>
          <w:szCs w:val="24"/>
          <w:highlight w:val="none"/>
        </w:rPr>
        <w:t>为</w:t>
      </w:r>
      <w:r>
        <w:rPr>
          <w:rFonts w:hint="eastAsia" w:ascii="宋体" w:hAnsi="宋体" w:cs="宋体"/>
          <w:color w:val="auto"/>
          <w:sz w:val="24"/>
          <w:szCs w:val="24"/>
          <w:highlight w:val="none"/>
          <w:lang w:val="en-US" w:eastAsia="zh-CN"/>
        </w:rPr>
        <w:t>240日历天</w:t>
      </w:r>
      <w:r>
        <w:rPr>
          <w:rFonts w:hint="eastAsia" w:ascii="宋体" w:hAnsi="宋体" w:cs="宋体"/>
          <w:color w:val="auto"/>
          <w:sz w:val="24"/>
          <w:szCs w:val="24"/>
          <w:highlight w:val="none"/>
          <w:lang w:eastAsia="zh-CN"/>
        </w:rPr>
        <w:t>。</w:t>
      </w:r>
    </w:p>
    <w:p>
      <w:pPr>
        <w:pStyle w:val="8"/>
        <w:pageBreakBefore w:val="0"/>
        <w:widowControl w:val="0"/>
        <w:kinsoku/>
        <w:wordWrap/>
        <w:overflowPunct/>
        <w:topLinePunct w:val="0"/>
        <w:autoSpaceDE/>
        <w:autoSpaceDN/>
        <w:bidi w:val="0"/>
        <w:spacing w:line="360" w:lineRule="auto"/>
        <w:ind w:firstLine="360" w:firstLineChars="150"/>
        <w:textAlignment w:val="auto"/>
        <w:rPr>
          <w:rFonts w:ascii="黑体" w:hAnsi="黑体" w:eastAsia="黑体"/>
          <w:color w:val="auto"/>
          <w:sz w:val="24"/>
          <w:szCs w:val="24"/>
          <w:highlight w:val="none"/>
        </w:rPr>
      </w:pPr>
      <w:r>
        <w:rPr>
          <w:rFonts w:hint="eastAsia" w:ascii="黑体" w:hAnsi="黑体" w:eastAsia="黑体"/>
          <w:color w:val="auto"/>
          <w:sz w:val="24"/>
          <w:szCs w:val="24"/>
          <w:highlight w:val="none"/>
        </w:rPr>
        <w:t>（二）服务地点</w:t>
      </w:r>
    </w:p>
    <w:p>
      <w:pPr>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服务地点：详见第二篇。</w:t>
      </w:r>
    </w:p>
    <w:p>
      <w:pPr>
        <w:pageBreakBefore w:val="0"/>
        <w:widowControl w:val="0"/>
        <w:kinsoku/>
        <w:wordWrap/>
        <w:overflowPunct/>
        <w:topLinePunct w:val="0"/>
        <w:autoSpaceDE/>
        <w:autoSpaceDN/>
        <w:bidi w:val="0"/>
        <w:spacing w:line="360" w:lineRule="auto"/>
        <w:ind w:firstLine="480" w:firstLineChars="200"/>
        <w:textAlignment w:val="auto"/>
        <w:rPr>
          <w:rFonts w:ascii="黑体" w:hAnsi="黑体" w:eastAsia="黑体"/>
          <w:color w:val="auto"/>
          <w:sz w:val="24"/>
          <w:szCs w:val="24"/>
          <w:highlight w:val="none"/>
        </w:rPr>
      </w:pPr>
      <w:r>
        <w:rPr>
          <w:rFonts w:hint="eastAsia" w:ascii="黑体" w:hAnsi="黑体" w:eastAsia="黑体"/>
          <w:color w:val="auto"/>
          <w:sz w:val="24"/>
          <w:szCs w:val="24"/>
          <w:highlight w:val="none"/>
        </w:rPr>
        <w:t>（三）验收方式：</w:t>
      </w:r>
    </w:p>
    <w:p>
      <w:pPr>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1、由采购人自行验收；向采购人提交符合国家现行有关行业标准的咨询报告，且对其报告的真实性、准确性负责。</w:t>
      </w:r>
    </w:p>
    <w:p>
      <w:pPr>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2、竞标人提供的服务未达到竞争性磋商文件规定要求，且对采购人造成损失的，由竞标人承担一切责任，并赔偿所造成的损失。</w:t>
      </w:r>
    </w:p>
    <w:p>
      <w:pPr>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3、达到国家现行有关施工质量验收规范要求，并达到合格标准。</w:t>
      </w:r>
    </w:p>
    <w:p>
      <w:pPr>
        <w:pStyle w:val="4"/>
        <w:pageBreakBefore w:val="0"/>
        <w:widowControl w:val="0"/>
        <w:kinsoku/>
        <w:wordWrap/>
        <w:overflowPunct/>
        <w:topLinePunct w:val="0"/>
        <w:autoSpaceDE/>
        <w:autoSpaceDN/>
        <w:bidi w:val="0"/>
        <w:spacing w:before="0" w:after="0" w:line="360" w:lineRule="auto"/>
        <w:textAlignment w:val="auto"/>
        <w:rPr>
          <w:rFonts w:ascii="方正仿宋_GBK" w:hAnsi="宋体" w:eastAsia="方正仿宋_GBK"/>
          <w:color w:val="auto"/>
          <w:sz w:val="24"/>
          <w:szCs w:val="24"/>
          <w:highlight w:val="none"/>
        </w:rPr>
      </w:pPr>
      <w:r>
        <w:rPr>
          <w:rFonts w:hint="eastAsia" w:ascii="宋体" w:hAnsi="宋体" w:cs="宋体"/>
          <w:color w:val="auto"/>
          <w:sz w:val="24"/>
          <w:szCs w:val="24"/>
          <w:highlight w:val="none"/>
        </w:rPr>
        <w:t>二、报价要求</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1、本项目报价为折扣率报价，成交供应商对咨询费用的总价统一填报折扣比率。</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按渝价〔2013〕428号重庆市物价局《关于工程造价咨询服务收费标准的通知》相应标准</w:t>
      </w:r>
      <w:r>
        <w:rPr>
          <w:rFonts w:hint="eastAsia" w:ascii="宋体" w:hAnsi="宋体" w:cs="宋体"/>
          <w:color w:val="auto"/>
          <w:sz w:val="24"/>
          <w:szCs w:val="24"/>
          <w:highlight w:val="none"/>
          <w:lang w:val="en-US" w:eastAsia="zh-CN"/>
        </w:rPr>
        <w:t>75</w:t>
      </w:r>
      <w:r>
        <w:rPr>
          <w:rFonts w:hint="eastAsia" w:ascii="宋体" w:hAnsi="宋体" w:cs="宋体"/>
          <w:color w:val="auto"/>
          <w:sz w:val="24"/>
          <w:szCs w:val="24"/>
          <w:highlight w:val="none"/>
        </w:rPr>
        <w:t>%为最高限价。</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最终结算总价=以</w:t>
      </w:r>
      <w:r>
        <w:rPr>
          <w:rFonts w:hint="eastAsia" w:ascii="宋体" w:hAnsi="宋体" w:cs="宋体"/>
          <w:color w:val="auto"/>
          <w:sz w:val="24"/>
          <w:szCs w:val="24"/>
          <w:highlight w:val="none"/>
          <w:lang w:eastAsia="zh-CN"/>
        </w:rPr>
        <w:t>预算审核金额作为计费基数</w:t>
      </w:r>
      <w:r>
        <w:rPr>
          <w:rFonts w:hint="eastAsia" w:ascii="宋体" w:hAnsi="宋体" w:cs="宋体"/>
          <w:color w:val="auto"/>
          <w:sz w:val="24"/>
          <w:szCs w:val="24"/>
          <w:highlight w:val="none"/>
        </w:rPr>
        <w:t>按重庆市物价局渝价[2013]428号文件规定计算的标准费额×中标</w:t>
      </w:r>
      <w:r>
        <w:rPr>
          <w:rFonts w:hint="eastAsia" w:ascii="宋体" w:hAnsi="宋体" w:cs="宋体"/>
          <w:color w:val="auto"/>
          <w:sz w:val="24"/>
          <w:szCs w:val="24"/>
          <w:highlight w:val="none"/>
          <w:lang w:eastAsia="zh-CN"/>
        </w:rPr>
        <w:t>折扣率</w:t>
      </w:r>
      <w:r>
        <w:rPr>
          <w:rFonts w:hint="eastAsia" w:ascii="宋体" w:hAnsi="宋体" w:cs="宋体"/>
          <w:color w:val="auto"/>
          <w:sz w:val="24"/>
          <w:szCs w:val="24"/>
          <w:highlight w:val="none"/>
        </w:rPr>
        <w:t>。</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2、投标人应根据本招标文件对造价咨询服务的质量要求,结合自身实力和市场行情自主确定其投标报价，投标报价不得超出限价范围，否则视为废标。</w:t>
      </w:r>
    </w:p>
    <w:p>
      <w:pPr>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3、投标报价包括为在造价服务期内实施和完成本项目全过程造价咨询工作所需的劳务费、技术服务费、加班费、办公设施费、通讯费、交通费、管理费、保险、税金、利润及风险费等所有费用。</w:t>
      </w:r>
    </w:p>
    <w:p>
      <w:pPr>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备注：</w:t>
      </w:r>
    </w:p>
    <w:p>
      <w:pPr>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1、本项目</w:t>
      </w:r>
      <w:r>
        <w:rPr>
          <w:rFonts w:hint="eastAsia" w:ascii="宋体" w:hAnsi="宋体" w:cs="宋体"/>
          <w:color w:val="auto"/>
          <w:sz w:val="24"/>
          <w:szCs w:val="24"/>
          <w:highlight w:val="none"/>
          <w:lang w:val="en-US" w:eastAsia="zh-CN"/>
        </w:rPr>
        <w:t>若分步</w:t>
      </w:r>
      <w:r>
        <w:rPr>
          <w:rFonts w:hint="eastAsia" w:ascii="宋体" w:hAnsi="宋体" w:cs="宋体"/>
          <w:color w:val="auto"/>
          <w:sz w:val="24"/>
          <w:szCs w:val="24"/>
          <w:highlight w:val="none"/>
        </w:rPr>
        <w:t>实施，全过程造价控制实际咨询时间自每个工程开工至每个工程竣（完）工验收时间分别计算，不包含办理结算的时间，也不因结算时间的长短增加费用。</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、本次咨询费投标报价</w:t>
      </w:r>
      <w:r>
        <w:rPr>
          <w:rFonts w:hint="eastAsia" w:ascii="宋体" w:hAnsi="宋体" w:cs="宋体"/>
          <w:color w:val="auto"/>
          <w:sz w:val="24"/>
          <w:szCs w:val="24"/>
          <w:highlight w:val="none"/>
          <w:lang w:eastAsia="zh-CN"/>
        </w:rPr>
        <w:t>折扣率</w:t>
      </w:r>
      <w:r>
        <w:rPr>
          <w:rFonts w:hint="eastAsia" w:ascii="宋体" w:hAnsi="宋体" w:cs="宋体"/>
          <w:color w:val="auto"/>
          <w:sz w:val="24"/>
          <w:szCs w:val="24"/>
          <w:highlight w:val="none"/>
        </w:rPr>
        <w:t>，无论咨询方案、咨询时间如何调整和修正，无论国家政策调整，无论法规、标准及市场因素的变化，中标报价</w:t>
      </w:r>
      <w:r>
        <w:rPr>
          <w:rFonts w:hint="eastAsia" w:ascii="宋体" w:hAnsi="宋体" w:cs="宋体"/>
          <w:color w:val="auto"/>
          <w:sz w:val="24"/>
          <w:szCs w:val="24"/>
          <w:highlight w:val="none"/>
          <w:lang w:eastAsia="zh-CN"/>
        </w:rPr>
        <w:t>折扣率</w:t>
      </w:r>
      <w:r>
        <w:rPr>
          <w:rFonts w:hint="eastAsia" w:ascii="宋体" w:hAnsi="宋体" w:cs="宋体"/>
          <w:color w:val="auto"/>
          <w:sz w:val="24"/>
          <w:szCs w:val="24"/>
          <w:highlight w:val="none"/>
        </w:rPr>
        <w:t>不作调整。</w:t>
      </w:r>
    </w:p>
    <w:bookmarkEnd w:id="54"/>
    <w:bookmarkEnd w:id="55"/>
    <w:bookmarkEnd w:id="56"/>
    <w:bookmarkEnd w:id="57"/>
    <w:bookmarkEnd w:id="58"/>
    <w:p>
      <w:pPr>
        <w:pStyle w:val="4"/>
        <w:pageBreakBefore w:val="0"/>
        <w:widowControl w:val="0"/>
        <w:kinsoku/>
        <w:wordWrap/>
        <w:overflowPunct/>
        <w:topLinePunct w:val="0"/>
        <w:autoSpaceDE/>
        <w:autoSpaceDN/>
        <w:bidi w:val="0"/>
        <w:spacing w:before="0" w:after="0" w:line="360" w:lineRule="auto"/>
        <w:textAlignment w:val="auto"/>
        <w:rPr>
          <w:rFonts w:ascii="黑体" w:hAnsi="黑体" w:eastAsia="黑体"/>
          <w:color w:val="auto"/>
          <w:sz w:val="24"/>
          <w:szCs w:val="24"/>
          <w:highlight w:val="none"/>
          <w:u w:val="single"/>
        </w:rPr>
      </w:pPr>
      <w:bookmarkStart w:id="59" w:name="_Toc344475123"/>
      <w:bookmarkStart w:id="60" w:name="_Toc21021"/>
      <w:bookmarkStart w:id="61" w:name="_Toc25895"/>
      <w:bookmarkStart w:id="62" w:name="_Toc521399412"/>
      <w:bookmarkStart w:id="63" w:name="_Toc23879"/>
      <w:r>
        <w:rPr>
          <w:rFonts w:hint="eastAsia" w:ascii="宋体" w:hAnsi="宋体" w:cs="宋体"/>
          <w:color w:val="auto"/>
          <w:sz w:val="24"/>
          <w:szCs w:val="24"/>
          <w:highlight w:val="none"/>
        </w:rPr>
        <w:t xml:space="preserve">三、付款方式  </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项目完成预算审核后15日内</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支付</w:t>
      </w:r>
      <w:r>
        <w:rPr>
          <w:rFonts w:hint="eastAsia" w:ascii="宋体" w:hAnsi="宋体" w:cs="宋体"/>
          <w:color w:val="auto"/>
          <w:sz w:val="24"/>
          <w:szCs w:val="24"/>
          <w:highlight w:val="none"/>
        </w:rPr>
        <w:t>咨询费</w:t>
      </w:r>
      <w:r>
        <w:rPr>
          <w:rFonts w:hint="eastAsia" w:ascii="宋体" w:hAnsi="宋体" w:cs="宋体"/>
          <w:color w:val="auto"/>
          <w:sz w:val="24"/>
          <w:szCs w:val="24"/>
          <w:highlight w:val="none"/>
          <w:lang w:val="en-US" w:eastAsia="zh-CN"/>
        </w:rPr>
        <w:t>结算总价</w:t>
      </w:r>
      <w:r>
        <w:rPr>
          <w:rFonts w:hint="eastAsia" w:ascii="宋体" w:hAnsi="宋体" w:cs="宋体"/>
          <w:color w:val="auto"/>
          <w:sz w:val="24"/>
          <w:szCs w:val="24"/>
          <w:highlight w:val="none"/>
        </w:rPr>
        <w:t>的20%；</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2、项目</w:t>
      </w:r>
      <w:r>
        <w:rPr>
          <w:rFonts w:hint="eastAsia" w:ascii="宋体" w:hAnsi="宋体" w:cs="宋体"/>
          <w:color w:val="auto"/>
          <w:sz w:val="24"/>
          <w:szCs w:val="24"/>
          <w:highlight w:val="none"/>
          <w:lang w:val="en-US" w:eastAsia="zh-CN"/>
        </w:rPr>
        <w:t>完成路基工程</w:t>
      </w:r>
      <w:r>
        <w:rPr>
          <w:rFonts w:hint="eastAsia" w:ascii="宋体" w:hAnsi="宋体" w:cs="宋体"/>
          <w:color w:val="auto"/>
          <w:sz w:val="24"/>
          <w:szCs w:val="24"/>
          <w:highlight w:val="none"/>
        </w:rPr>
        <w:t>后</w:t>
      </w:r>
      <w:r>
        <w:rPr>
          <w:rFonts w:hint="eastAsia" w:ascii="宋体" w:hAnsi="宋体" w:cs="宋体"/>
          <w:color w:val="auto"/>
          <w:sz w:val="24"/>
          <w:szCs w:val="24"/>
          <w:highlight w:val="none"/>
          <w:lang w:val="en-US" w:eastAsia="zh-CN"/>
        </w:rPr>
        <w:t>15日内</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支付咨询费结算总价的30%；</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3、项目完工</w:t>
      </w:r>
      <w:r>
        <w:rPr>
          <w:rFonts w:hint="eastAsia" w:ascii="宋体" w:hAnsi="宋体" w:cs="宋体"/>
          <w:color w:val="auto"/>
          <w:sz w:val="24"/>
          <w:szCs w:val="24"/>
          <w:highlight w:val="none"/>
          <w:lang w:val="en-US" w:eastAsia="zh-CN"/>
        </w:rPr>
        <w:t>后15日内，支付咨询费结算总价的30%；</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4、项目</w:t>
      </w:r>
      <w:r>
        <w:rPr>
          <w:rFonts w:hint="eastAsia" w:ascii="宋体" w:hAnsi="宋体" w:cs="宋体"/>
          <w:color w:val="auto"/>
          <w:sz w:val="24"/>
          <w:szCs w:val="24"/>
          <w:highlight w:val="none"/>
        </w:rPr>
        <w:t>出具初步结算审核报告，并通过审计机关结算评审，并取得最终结算评审报告后</w:t>
      </w:r>
      <w:r>
        <w:rPr>
          <w:rFonts w:hint="eastAsia" w:ascii="宋体" w:hAnsi="宋体" w:cs="宋体"/>
          <w:color w:val="auto"/>
          <w:sz w:val="24"/>
          <w:szCs w:val="24"/>
          <w:highlight w:val="none"/>
          <w:lang w:val="en-US" w:eastAsia="zh-CN"/>
        </w:rPr>
        <w:t>15日内</w:t>
      </w:r>
      <w:r>
        <w:rPr>
          <w:rFonts w:hint="eastAsia" w:ascii="宋体" w:hAnsi="宋体" w:cs="宋体"/>
          <w:color w:val="auto"/>
          <w:sz w:val="24"/>
          <w:szCs w:val="24"/>
          <w:highlight w:val="none"/>
        </w:rPr>
        <w:t>，支付至结算咨询费的100%</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扣除违约金</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、全过程造价控制尾款支付时，由乙方填写项目《全过程造价控制费用计算表》报甲方审查。</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、全过程造价</w:t>
      </w:r>
      <w:r>
        <w:rPr>
          <w:rFonts w:hint="eastAsia" w:ascii="宋体" w:hAnsi="宋体" w:cs="宋体"/>
          <w:color w:val="auto"/>
          <w:sz w:val="24"/>
          <w:szCs w:val="24"/>
          <w:highlight w:val="none"/>
          <w:lang w:val="en-US" w:eastAsia="zh-CN"/>
        </w:rPr>
        <w:t>咨询服务超期服务费</w:t>
      </w:r>
      <w:r>
        <w:rPr>
          <w:rFonts w:hint="eastAsia" w:ascii="宋体" w:hAnsi="宋体" w:cs="宋体"/>
          <w:color w:val="auto"/>
          <w:sz w:val="24"/>
          <w:szCs w:val="24"/>
          <w:highlight w:val="none"/>
        </w:rPr>
        <w:t>计算办法：</w:t>
      </w:r>
      <w:r>
        <w:rPr>
          <w:rFonts w:hint="eastAsia" w:ascii="宋体" w:hAnsi="宋体" w:cs="宋体"/>
          <w:color w:val="auto"/>
          <w:sz w:val="24"/>
          <w:szCs w:val="24"/>
          <w:highlight w:val="none"/>
          <w:lang w:val="en-US" w:eastAsia="zh-CN"/>
        </w:rPr>
        <w:t>从项目正式开工建设至项目完工（即整个施工工期）</w:t>
      </w:r>
      <w:r>
        <w:rPr>
          <w:rFonts w:hint="eastAsia" w:ascii="宋体" w:hAnsi="宋体" w:cs="宋体"/>
          <w:color w:val="auto"/>
          <w:sz w:val="24"/>
          <w:szCs w:val="24"/>
          <w:highlight w:val="none"/>
        </w:rPr>
        <w:t>，全过程造价</w:t>
      </w:r>
      <w:r>
        <w:rPr>
          <w:rFonts w:hint="eastAsia" w:ascii="宋体" w:hAnsi="宋体" w:cs="宋体"/>
          <w:color w:val="auto"/>
          <w:sz w:val="24"/>
          <w:szCs w:val="24"/>
          <w:highlight w:val="none"/>
          <w:lang w:val="en-US" w:eastAsia="zh-CN"/>
        </w:rPr>
        <w:t>咨询服务驻场时间暂定</w:t>
      </w:r>
      <w:r>
        <w:rPr>
          <w:rFonts w:hint="eastAsia" w:ascii="宋体" w:hAnsi="宋体" w:cs="宋体"/>
          <w:color w:val="auto"/>
          <w:sz w:val="24"/>
          <w:szCs w:val="24"/>
          <w:highlight w:val="none"/>
        </w:rPr>
        <w:t>为</w:t>
      </w:r>
      <w:r>
        <w:rPr>
          <w:rFonts w:hint="eastAsia" w:ascii="宋体" w:hAnsi="宋体" w:cs="宋体"/>
          <w:color w:val="auto"/>
          <w:sz w:val="24"/>
          <w:szCs w:val="24"/>
          <w:highlight w:val="none"/>
          <w:lang w:val="en-US" w:eastAsia="zh-CN"/>
        </w:rPr>
        <w:t>240日历天</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因非中标人原因导致施工工期超过240日历天的</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超期服务费</w:t>
      </w:r>
      <w:r>
        <w:rPr>
          <w:rFonts w:hint="eastAsia" w:ascii="宋体" w:hAnsi="宋体" w:cs="宋体"/>
          <w:color w:val="auto"/>
          <w:sz w:val="24"/>
          <w:szCs w:val="24"/>
          <w:highlight w:val="none"/>
        </w:rPr>
        <w:t>按合同结算费用总额（不含延期）÷</w:t>
      </w:r>
      <w:r>
        <w:rPr>
          <w:rFonts w:hint="eastAsia" w:ascii="宋体" w:hAnsi="宋体" w:cs="宋体"/>
          <w:color w:val="auto"/>
          <w:sz w:val="24"/>
          <w:szCs w:val="24"/>
          <w:highlight w:val="none"/>
          <w:lang w:val="en-US" w:eastAsia="zh-CN"/>
        </w:rPr>
        <w:t>240日历天</w:t>
      </w:r>
      <w:r>
        <w:rPr>
          <w:rFonts w:hint="eastAsia" w:ascii="宋体" w:hAnsi="宋体" w:cs="宋体"/>
          <w:color w:val="auto"/>
          <w:sz w:val="24"/>
          <w:szCs w:val="24"/>
          <w:highlight w:val="none"/>
        </w:rPr>
        <w:t>×实际延期</w:t>
      </w:r>
      <w:r>
        <w:rPr>
          <w:rFonts w:hint="eastAsia" w:ascii="宋体" w:hAnsi="宋体" w:cs="宋体"/>
          <w:color w:val="auto"/>
          <w:sz w:val="24"/>
          <w:szCs w:val="24"/>
          <w:highlight w:val="none"/>
          <w:lang w:val="en-US" w:eastAsia="zh-CN"/>
        </w:rPr>
        <w:t>天数</w:t>
      </w:r>
      <w:r>
        <w:rPr>
          <w:rFonts w:hint="eastAsia" w:ascii="宋体" w:hAnsi="宋体" w:cs="宋体"/>
          <w:color w:val="auto"/>
          <w:sz w:val="24"/>
          <w:szCs w:val="24"/>
          <w:highlight w:val="none"/>
        </w:rPr>
        <w:t>计算</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项目正式开工建设以监理工程师下达的开工令（或开工报告）为准，</w:t>
      </w:r>
      <w:r>
        <w:rPr>
          <w:rFonts w:hint="eastAsia" w:ascii="宋体" w:hAnsi="宋体" w:cs="宋体"/>
          <w:color w:val="auto"/>
          <w:sz w:val="24"/>
          <w:szCs w:val="24"/>
          <w:highlight w:val="none"/>
        </w:rPr>
        <w:t>工程完工时间以该工程竣（完）工验收时间为准。</w:t>
      </w:r>
      <w:r>
        <w:rPr>
          <w:rFonts w:hint="eastAsia" w:ascii="宋体" w:hAnsi="宋体" w:cs="宋体"/>
          <w:color w:val="auto"/>
          <w:sz w:val="24"/>
          <w:szCs w:val="24"/>
          <w:highlight w:val="none"/>
          <w:lang w:val="en-US" w:eastAsia="zh-CN"/>
        </w:rPr>
        <w:t>超期服务费</w:t>
      </w:r>
      <w:r>
        <w:rPr>
          <w:rFonts w:hint="eastAsia" w:ascii="宋体" w:hAnsi="宋体" w:cs="宋体"/>
          <w:color w:val="auto"/>
          <w:sz w:val="24"/>
          <w:szCs w:val="24"/>
          <w:highlight w:val="none"/>
        </w:rPr>
        <w:t>在合同费用结算时一并支付。</w:t>
      </w:r>
    </w:p>
    <w:p>
      <w:pPr>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cs="宋体"/>
          <w:color w:val="auto"/>
          <w:sz w:val="24"/>
          <w:szCs w:val="24"/>
          <w:highlight w:val="none"/>
        </w:rPr>
        <w:t>、因不可抗力原因或因招标人原因连续停工达6个月及以上导致的工期延误，不计算在跟踪审计服务时间内，但采购人应书面通知成交人。（采购人支付审计费时，应由成交人提供增值税专用发票）</w:t>
      </w:r>
    </w:p>
    <w:p>
      <w:pPr>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、采购人支付审计费时，成交人须提供增值税专用发票。</w:t>
      </w:r>
    </w:p>
    <w:p>
      <w:pPr>
        <w:pStyle w:val="4"/>
        <w:pageBreakBefore w:val="0"/>
        <w:widowControl w:val="0"/>
        <w:kinsoku/>
        <w:wordWrap/>
        <w:overflowPunct/>
        <w:topLinePunct w:val="0"/>
        <w:autoSpaceDE/>
        <w:autoSpaceDN/>
        <w:bidi w:val="0"/>
        <w:spacing w:before="0" w:after="0" w:line="360" w:lineRule="auto"/>
        <w:textAlignment w:val="auto"/>
        <w:rPr>
          <w:rFonts w:ascii="宋体" w:hAnsi="宋体" w:cs="宋体"/>
          <w:color w:val="auto"/>
          <w:sz w:val="24"/>
          <w:szCs w:val="24"/>
          <w:highlight w:val="none"/>
        </w:rPr>
      </w:pPr>
      <w:r>
        <w:rPr>
          <w:rFonts w:hint="eastAsia" w:ascii="宋体" w:hAnsi="宋体" w:cs="宋体"/>
          <w:color w:val="auto"/>
          <w:sz w:val="24"/>
          <w:szCs w:val="24"/>
          <w:highlight w:val="none"/>
        </w:rPr>
        <w:t>四、知识产权</w:t>
      </w:r>
      <w:bookmarkEnd w:id="59"/>
      <w:bookmarkEnd w:id="60"/>
      <w:bookmarkEnd w:id="61"/>
      <w:bookmarkEnd w:id="62"/>
      <w:bookmarkEnd w:id="63"/>
    </w:p>
    <w:p>
      <w:pPr>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pStyle w:val="4"/>
        <w:pageBreakBefore w:val="0"/>
        <w:widowControl w:val="0"/>
        <w:kinsoku/>
        <w:wordWrap/>
        <w:overflowPunct/>
        <w:topLinePunct w:val="0"/>
        <w:autoSpaceDE/>
        <w:autoSpaceDN/>
        <w:bidi w:val="0"/>
        <w:spacing w:before="0" w:after="0" w:line="360" w:lineRule="auto"/>
        <w:textAlignment w:val="auto"/>
        <w:rPr>
          <w:rFonts w:ascii="宋体" w:hAnsi="宋体" w:cs="宋体"/>
          <w:color w:val="auto"/>
          <w:sz w:val="24"/>
          <w:szCs w:val="24"/>
          <w:highlight w:val="none"/>
        </w:rPr>
      </w:pPr>
      <w:bookmarkStart w:id="64" w:name="_Toc30749"/>
      <w:bookmarkStart w:id="65" w:name="_Toc986"/>
      <w:bookmarkStart w:id="66" w:name="_Toc521399413"/>
      <w:bookmarkStart w:id="67" w:name="_Toc1403"/>
      <w:r>
        <w:rPr>
          <w:rFonts w:hint="eastAsia" w:ascii="宋体" w:hAnsi="宋体" w:cs="宋体"/>
          <w:color w:val="auto"/>
          <w:sz w:val="24"/>
          <w:szCs w:val="24"/>
          <w:highlight w:val="none"/>
        </w:rPr>
        <w:t>五、</w:t>
      </w:r>
      <w:bookmarkStart w:id="68" w:name="_Toc344475125"/>
      <w:r>
        <w:rPr>
          <w:rFonts w:hint="eastAsia" w:ascii="宋体" w:hAnsi="宋体" w:cs="宋体"/>
          <w:color w:val="auto"/>
          <w:sz w:val="24"/>
          <w:szCs w:val="24"/>
          <w:highlight w:val="none"/>
        </w:rPr>
        <w:t>其他</w:t>
      </w:r>
      <w:bookmarkEnd w:id="64"/>
      <w:bookmarkEnd w:id="65"/>
      <w:bookmarkEnd w:id="66"/>
      <w:bookmarkEnd w:id="67"/>
    </w:p>
    <w:bookmarkEnd w:id="68"/>
    <w:p>
      <w:pPr>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color w:val="auto"/>
          <w:sz w:val="24"/>
          <w:szCs w:val="24"/>
          <w:highlight w:val="none"/>
        </w:rPr>
      </w:pPr>
      <w:bookmarkStart w:id="69" w:name="_Toc4632"/>
      <w:bookmarkStart w:id="70" w:name="_Toc30266"/>
      <w:bookmarkStart w:id="71" w:name="_Toc521399414"/>
      <w:bookmarkStart w:id="72" w:name="_Toc23064"/>
      <w:r>
        <w:rPr>
          <w:rFonts w:hint="eastAsia" w:ascii="宋体" w:hAnsi="宋体" w:cs="宋体"/>
          <w:color w:val="auto"/>
          <w:sz w:val="24"/>
          <w:szCs w:val="24"/>
          <w:highlight w:val="none"/>
        </w:rPr>
        <w:t>（一）竞标人必须在响应文件中对以上条款和服务承诺明确列出，承诺内容必须达到本篇及竞争性</w:t>
      </w:r>
      <w:r>
        <w:rPr>
          <w:rFonts w:hint="eastAsia" w:ascii="宋体" w:hAnsi="宋体" w:cs="宋体"/>
          <w:color w:val="auto"/>
          <w:sz w:val="24"/>
          <w:szCs w:val="24"/>
          <w:highlight w:val="none"/>
          <w:lang w:eastAsia="zh-CN"/>
        </w:rPr>
        <w:t>磋商</w:t>
      </w:r>
      <w:r>
        <w:rPr>
          <w:rFonts w:hint="eastAsia" w:ascii="宋体" w:hAnsi="宋体" w:cs="宋体"/>
          <w:color w:val="auto"/>
          <w:sz w:val="24"/>
          <w:szCs w:val="24"/>
          <w:highlight w:val="none"/>
        </w:rPr>
        <w:t>文件其他条款的要求。</w:t>
      </w:r>
    </w:p>
    <w:p>
      <w:pPr>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（二）其他未尽事宜由供需双方在采购合同中详细约定。</w:t>
      </w:r>
    </w:p>
    <w:p>
      <w:pPr>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（三）根据中华人民共和国政府采购实施条例第十八条：除单一来源采购项目外，为采购项目提供整体设计、规范编制或者项目管理、监理、检测等服务的供应商，不得参加该采购项目的其他采购活动。</w:t>
      </w:r>
    </w:p>
    <w:p>
      <w:pPr>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本次采购回避单位为：重庆正晓工程项目管理有限公司；</w:t>
      </w:r>
    </w:p>
    <w:p>
      <w:pPr>
        <w:pStyle w:val="4"/>
        <w:pageBreakBefore w:val="0"/>
        <w:widowControl w:val="0"/>
        <w:kinsoku/>
        <w:wordWrap/>
        <w:overflowPunct/>
        <w:topLinePunct w:val="0"/>
        <w:autoSpaceDE/>
        <w:autoSpaceDN/>
        <w:bidi w:val="0"/>
        <w:spacing w:before="0" w:after="0" w:line="360" w:lineRule="auto"/>
        <w:textAlignment w:val="auto"/>
        <w:rPr>
          <w:rFonts w:ascii="宋体" w:hAnsi="宋体" w:cs="宋体"/>
          <w:color w:val="auto"/>
          <w:sz w:val="24"/>
          <w:szCs w:val="24"/>
          <w:highlight w:val="none"/>
        </w:rPr>
      </w:pPr>
      <w:r>
        <w:rPr>
          <w:rFonts w:hint="eastAsia" w:ascii="宋体" w:hAnsi="宋体" w:cs="宋体"/>
          <w:color w:val="auto"/>
          <w:sz w:val="24"/>
          <w:szCs w:val="24"/>
          <w:highlight w:val="none"/>
        </w:rPr>
        <w:t>六、质量保证及售后服务</w:t>
      </w:r>
      <w:bookmarkEnd w:id="69"/>
      <w:bookmarkEnd w:id="70"/>
      <w:bookmarkEnd w:id="71"/>
      <w:bookmarkEnd w:id="72"/>
    </w:p>
    <w:p>
      <w:pPr>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达到国家现行规范及验收合格标准。</w:t>
      </w:r>
    </w:p>
    <w:p>
      <w:pPr>
        <w:pageBreakBefore w:val="0"/>
        <w:widowControl w:val="0"/>
        <w:kinsoku/>
        <w:wordWrap/>
        <w:overflowPunct/>
        <w:topLinePunct w:val="0"/>
        <w:autoSpaceDE/>
        <w:autoSpaceDN/>
        <w:bidi w:val="0"/>
        <w:spacing w:line="360" w:lineRule="auto"/>
        <w:textAlignment w:val="auto"/>
        <w:rPr>
          <w:color w:val="auto"/>
          <w:highlight w:val="none"/>
          <w:u w:val="single"/>
        </w:rPr>
      </w:pPr>
    </w:p>
    <w:p>
      <w:pPr>
        <w:pStyle w:val="2"/>
        <w:pageBreakBefore w:val="0"/>
        <w:widowControl w:val="0"/>
        <w:kinsoku/>
        <w:wordWrap/>
        <w:overflowPunct/>
        <w:topLinePunct w:val="0"/>
        <w:autoSpaceDE/>
        <w:autoSpaceDN/>
        <w:bidi w:val="0"/>
        <w:spacing w:line="360" w:lineRule="auto"/>
        <w:textAlignment w:val="auto"/>
        <w:rPr>
          <w:color w:val="auto"/>
          <w:highlight w:val="none"/>
          <w:u w:val="single"/>
        </w:rPr>
      </w:pPr>
    </w:p>
    <w:p>
      <w:pPr>
        <w:pStyle w:val="2"/>
        <w:pageBreakBefore w:val="0"/>
        <w:widowControl w:val="0"/>
        <w:kinsoku/>
        <w:wordWrap/>
        <w:overflowPunct/>
        <w:topLinePunct w:val="0"/>
        <w:autoSpaceDE/>
        <w:autoSpaceDN/>
        <w:bidi w:val="0"/>
        <w:spacing w:line="360" w:lineRule="auto"/>
        <w:textAlignment w:val="auto"/>
        <w:rPr>
          <w:color w:val="auto"/>
          <w:highlight w:val="none"/>
          <w:u w:val="single"/>
        </w:rPr>
      </w:pPr>
    </w:p>
    <w:p>
      <w:pPr>
        <w:pStyle w:val="2"/>
        <w:pageBreakBefore w:val="0"/>
        <w:widowControl w:val="0"/>
        <w:kinsoku/>
        <w:wordWrap/>
        <w:overflowPunct/>
        <w:topLinePunct w:val="0"/>
        <w:autoSpaceDE/>
        <w:autoSpaceDN/>
        <w:bidi w:val="0"/>
        <w:spacing w:line="360" w:lineRule="auto"/>
        <w:textAlignment w:val="auto"/>
        <w:rPr>
          <w:color w:val="auto"/>
          <w:highlight w:val="none"/>
          <w:u w:val="single"/>
        </w:rPr>
      </w:pPr>
    </w:p>
    <w:p>
      <w:pPr>
        <w:pStyle w:val="2"/>
        <w:pageBreakBefore w:val="0"/>
        <w:widowControl w:val="0"/>
        <w:kinsoku/>
        <w:wordWrap/>
        <w:overflowPunct/>
        <w:topLinePunct w:val="0"/>
        <w:autoSpaceDE/>
        <w:autoSpaceDN/>
        <w:bidi w:val="0"/>
        <w:spacing w:line="360" w:lineRule="auto"/>
        <w:textAlignment w:val="auto"/>
        <w:rPr>
          <w:color w:val="auto"/>
          <w:highlight w:val="none"/>
          <w:u w:val="single"/>
        </w:rPr>
      </w:pPr>
    </w:p>
    <w:p>
      <w:pPr>
        <w:pStyle w:val="2"/>
        <w:pageBreakBefore w:val="0"/>
        <w:widowControl w:val="0"/>
        <w:kinsoku/>
        <w:wordWrap/>
        <w:overflowPunct/>
        <w:topLinePunct w:val="0"/>
        <w:autoSpaceDE/>
        <w:autoSpaceDN/>
        <w:bidi w:val="0"/>
        <w:spacing w:line="360" w:lineRule="auto"/>
        <w:textAlignment w:val="auto"/>
        <w:rPr>
          <w:color w:val="auto"/>
          <w:highlight w:val="none"/>
          <w:u w:val="single"/>
        </w:rPr>
      </w:pPr>
    </w:p>
    <w:p>
      <w:pPr>
        <w:pStyle w:val="2"/>
        <w:pageBreakBefore w:val="0"/>
        <w:widowControl w:val="0"/>
        <w:kinsoku/>
        <w:wordWrap/>
        <w:overflowPunct/>
        <w:topLinePunct w:val="0"/>
        <w:autoSpaceDE/>
        <w:autoSpaceDN/>
        <w:bidi w:val="0"/>
        <w:spacing w:line="360" w:lineRule="auto"/>
        <w:textAlignment w:val="auto"/>
        <w:rPr>
          <w:color w:val="auto"/>
          <w:highlight w:val="none"/>
          <w:u w:val="single"/>
        </w:rPr>
      </w:pPr>
    </w:p>
    <w:p>
      <w:pPr>
        <w:pStyle w:val="2"/>
        <w:pageBreakBefore w:val="0"/>
        <w:widowControl w:val="0"/>
        <w:kinsoku/>
        <w:wordWrap/>
        <w:overflowPunct/>
        <w:topLinePunct w:val="0"/>
        <w:autoSpaceDE/>
        <w:autoSpaceDN/>
        <w:bidi w:val="0"/>
        <w:spacing w:line="360" w:lineRule="auto"/>
        <w:textAlignment w:val="auto"/>
        <w:rPr>
          <w:color w:val="auto"/>
          <w:highlight w:val="none"/>
          <w:u w:val="single"/>
        </w:rPr>
      </w:pPr>
    </w:p>
    <w:p>
      <w:pPr>
        <w:pStyle w:val="2"/>
        <w:pageBreakBefore w:val="0"/>
        <w:widowControl w:val="0"/>
        <w:kinsoku/>
        <w:wordWrap/>
        <w:overflowPunct/>
        <w:topLinePunct w:val="0"/>
        <w:autoSpaceDE/>
        <w:autoSpaceDN/>
        <w:bidi w:val="0"/>
        <w:spacing w:line="360" w:lineRule="auto"/>
        <w:textAlignment w:val="auto"/>
        <w:rPr>
          <w:color w:val="auto"/>
          <w:highlight w:val="none"/>
          <w:u w:val="single"/>
        </w:rPr>
      </w:pPr>
    </w:p>
    <w:p>
      <w:pPr>
        <w:pStyle w:val="2"/>
        <w:pageBreakBefore w:val="0"/>
        <w:widowControl w:val="0"/>
        <w:kinsoku/>
        <w:wordWrap/>
        <w:overflowPunct/>
        <w:topLinePunct w:val="0"/>
        <w:autoSpaceDE/>
        <w:autoSpaceDN/>
        <w:bidi w:val="0"/>
        <w:spacing w:line="360" w:lineRule="auto"/>
        <w:textAlignment w:val="auto"/>
        <w:rPr>
          <w:color w:val="auto"/>
          <w:highlight w:val="none"/>
          <w:u w:val="single"/>
        </w:rPr>
      </w:pPr>
    </w:p>
    <w:p>
      <w:pPr>
        <w:pStyle w:val="2"/>
        <w:pageBreakBefore w:val="0"/>
        <w:widowControl w:val="0"/>
        <w:kinsoku/>
        <w:wordWrap/>
        <w:overflowPunct/>
        <w:topLinePunct w:val="0"/>
        <w:autoSpaceDE/>
        <w:autoSpaceDN/>
        <w:bidi w:val="0"/>
        <w:spacing w:line="360" w:lineRule="auto"/>
        <w:textAlignment w:val="auto"/>
        <w:rPr>
          <w:color w:val="auto"/>
          <w:highlight w:val="none"/>
          <w:u w:val="single"/>
        </w:rPr>
      </w:pPr>
    </w:p>
    <w:p>
      <w:pPr>
        <w:pStyle w:val="2"/>
        <w:pageBreakBefore w:val="0"/>
        <w:widowControl w:val="0"/>
        <w:kinsoku/>
        <w:wordWrap/>
        <w:overflowPunct/>
        <w:topLinePunct w:val="0"/>
        <w:autoSpaceDE/>
        <w:autoSpaceDN/>
        <w:bidi w:val="0"/>
        <w:spacing w:line="360" w:lineRule="auto"/>
        <w:textAlignment w:val="auto"/>
        <w:rPr>
          <w:color w:val="auto"/>
          <w:highlight w:val="none"/>
          <w:u w:val="single"/>
        </w:rPr>
      </w:pPr>
    </w:p>
    <w:p>
      <w:pPr>
        <w:pStyle w:val="2"/>
        <w:pageBreakBefore w:val="0"/>
        <w:widowControl w:val="0"/>
        <w:kinsoku/>
        <w:wordWrap/>
        <w:overflowPunct/>
        <w:topLinePunct w:val="0"/>
        <w:autoSpaceDE/>
        <w:autoSpaceDN/>
        <w:bidi w:val="0"/>
        <w:spacing w:line="360" w:lineRule="auto"/>
        <w:textAlignment w:val="auto"/>
        <w:rPr>
          <w:color w:val="auto"/>
          <w:highlight w:val="none"/>
          <w:u w:val="single"/>
        </w:rPr>
      </w:pPr>
    </w:p>
    <w:p>
      <w:pPr>
        <w:pStyle w:val="2"/>
        <w:pageBreakBefore w:val="0"/>
        <w:widowControl w:val="0"/>
        <w:kinsoku/>
        <w:wordWrap/>
        <w:overflowPunct/>
        <w:topLinePunct w:val="0"/>
        <w:autoSpaceDE/>
        <w:autoSpaceDN/>
        <w:bidi w:val="0"/>
        <w:spacing w:line="360" w:lineRule="auto"/>
        <w:textAlignment w:val="auto"/>
        <w:rPr>
          <w:color w:val="auto"/>
          <w:highlight w:val="none"/>
          <w:u w:val="single"/>
        </w:rPr>
      </w:pPr>
    </w:p>
    <w:p>
      <w:pPr>
        <w:pStyle w:val="2"/>
        <w:pageBreakBefore w:val="0"/>
        <w:widowControl w:val="0"/>
        <w:kinsoku/>
        <w:wordWrap/>
        <w:overflowPunct/>
        <w:topLinePunct w:val="0"/>
        <w:autoSpaceDE/>
        <w:autoSpaceDN/>
        <w:bidi w:val="0"/>
        <w:spacing w:line="360" w:lineRule="auto"/>
        <w:textAlignment w:val="auto"/>
        <w:rPr>
          <w:color w:val="auto"/>
          <w:highlight w:val="none"/>
          <w:u w:val="single"/>
        </w:rPr>
      </w:pPr>
    </w:p>
    <w:p>
      <w:pPr>
        <w:pStyle w:val="2"/>
        <w:pageBreakBefore w:val="0"/>
        <w:widowControl w:val="0"/>
        <w:kinsoku/>
        <w:wordWrap/>
        <w:overflowPunct/>
        <w:topLinePunct w:val="0"/>
        <w:autoSpaceDE/>
        <w:autoSpaceDN/>
        <w:bidi w:val="0"/>
        <w:spacing w:line="360" w:lineRule="auto"/>
        <w:textAlignment w:val="auto"/>
        <w:rPr>
          <w:color w:val="auto"/>
          <w:highlight w:val="none"/>
          <w:u w:val="single"/>
        </w:rPr>
      </w:pPr>
    </w:p>
    <w:p>
      <w:pPr>
        <w:pStyle w:val="2"/>
        <w:pageBreakBefore w:val="0"/>
        <w:widowControl w:val="0"/>
        <w:kinsoku/>
        <w:wordWrap/>
        <w:overflowPunct/>
        <w:topLinePunct w:val="0"/>
        <w:autoSpaceDE/>
        <w:autoSpaceDN/>
        <w:bidi w:val="0"/>
        <w:spacing w:line="360" w:lineRule="auto"/>
        <w:textAlignment w:val="auto"/>
        <w:rPr>
          <w:color w:val="auto"/>
          <w:highlight w:val="none"/>
          <w:u w:val="single"/>
        </w:rPr>
      </w:pPr>
    </w:p>
    <w:p>
      <w:pPr>
        <w:pStyle w:val="2"/>
        <w:pageBreakBefore w:val="0"/>
        <w:widowControl w:val="0"/>
        <w:kinsoku/>
        <w:wordWrap/>
        <w:overflowPunct/>
        <w:topLinePunct w:val="0"/>
        <w:autoSpaceDE/>
        <w:autoSpaceDN/>
        <w:bidi w:val="0"/>
        <w:spacing w:line="360" w:lineRule="auto"/>
        <w:textAlignment w:val="auto"/>
        <w:rPr>
          <w:color w:val="auto"/>
          <w:highlight w:val="none"/>
          <w:u w:val="single"/>
        </w:rPr>
      </w:pPr>
    </w:p>
    <w:p>
      <w:pPr>
        <w:pStyle w:val="2"/>
        <w:pageBreakBefore w:val="0"/>
        <w:widowControl w:val="0"/>
        <w:kinsoku/>
        <w:wordWrap/>
        <w:overflowPunct/>
        <w:topLinePunct w:val="0"/>
        <w:autoSpaceDE/>
        <w:autoSpaceDN/>
        <w:bidi w:val="0"/>
        <w:spacing w:line="360" w:lineRule="auto"/>
        <w:textAlignment w:val="auto"/>
        <w:rPr>
          <w:color w:val="auto"/>
          <w:highlight w:val="none"/>
          <w:u w:val="single"/>
        </w:rPr>
      </w:pPr>
    </w:p>
    <w:p>
      <w:pPr>
        <w:pStyle w:val="2"/>
        <w:pageBreakBefore w:val="0"/>
        <w:widowControl w:val="0"/>
        <w:kinsoku/>
        <w:wordWrap/>
        <w:overflowPunct/>
        <w:topLinePunct w:val="0"/>
        <w:autoSpaceDE/>
        <w:autoSpaceDN/>
        <w:bidi w:val="0"/>
        <w:spacing w:line="360" w:lineRule="auto"/>
        <w:textAlignment w:val="auto"/>
        <w:rPr>
          <w:color w:val="auto"/>
          <w:highlight w:val="none"/>
          <w:u w:val="single"/>
        </w:rPr>
      </w:pPr>
    </w:p>
    <w:p>
      <w:pPr>
        <w:pStyle w:val="2"/>
        <w:pageBreakBefore w:val="0"/>
        <w:widowControl w:val="0"/>
        <w:kinsoku/>
        <w:wordWrap/>
        <w:overflowPunct/>
        <w:topLinePunct w:val="0"/>
        <w:autoSpaceDE/>
        <w:autoSpaceDN/>
        <w:bidi w:val="0"/>
        <w:spacing w:line="360" w:lineRule="auto"/>
        <w:textAlignment w:val="auto"/>
        <w:rPr>
          <w:color w:val="auto"/>
          <w:highlight w:val="none"/>
          <w:u w:val="single"/>
        </w:rPr>
      </w:pPr>
    </w:p>
    <w:p>
      <w:pPr>
        <w:pStyle w:val="2"/>
        <w:pageBreakBefore w:val="0"/>
        <w:widowControl w:val="0"/>
        <w:kinsoku/>
        <w:wordWrap/>
        <w:overflowPunct/>
        <w:topLinePunct w:val="0"/>
        <w:autoSpaceDE/>
        <w:autoSpaceDN/>
        <w:bidi w:val="0"/>
        <w:spacing w:line="360" w:lineRule="auto"/>
        <w:textAlignment w:val="auto"/>
        <w:rPr>
          <w:color w:val="auto"/>
          <w:highlight w:val="none"/>
          <w:u w:val="single"/>
        </w:rPr>
      </w:pPr>
    </w:p>
    <w:p>
      <w:pPr>
        <w:pStyle w:val="2"/>
        <w:pageBreakBefore w:val="0"/>
        <w:widowControl w:val="0"/>
        <w:kinsoku/>
        <w:wordWrap/>
        <w:overflowPunct/>
        <w:topLinePunct w:val="0"/>
        <w:autoSpaceDE/>
        <w:autoSpaceDN/>
        <w:bidi w:val="0"/>
        <w:spacing w:line="360" w:lineRule="auto"/>
        <w:textAlignment w:val="auto"/>
        <w:rPr>
          <w:color w:val="auto"/>
          <w:highlight w:val="none"/>
          <w:u w:val="single"/>
        </w:rPr>
      </w:pPr>
    </w:p>
    <w:p>
      <w:pPr>
        <w:pStyle w:val="2"/>
        <w:pageBreakBefore w:val="0"/>
        <w:widowControl w:val="0"/>
        <w:kinsoku/>
        <w:wordWrap/>
        <w:overflowPunct/>
        <w:topLinePunct w:val="0"/>
        <w:autoSpaceDE/>
        <w:autoSpaceDN/>
        <w:bidi w:val="0"/>
        <w:spacing w:line="360" w:lineRule="auto"/>
        <w:textAlignment w:val="auto"/>
        <w:rPr>
          <w:color w:val="auto"/>
          <w:highlight w:val="none"/>
          <w:u w:val="single"/>
        </w:rPr>
      </w:pPr>
    </w:p>
    <w:p>
      <w:pPr>
        <w:pStyle w:val="2"/>
        <w:pageBreakBefore w:val="0"/>
        <w:widowControl w:val="0"/>
        <w:kinsoku/>
        <w:wordWrap/>
        <w:overflowPunct/>
        <w:topLinePunct w:val="0"/>
        <w:autoSpaceDE/>
        <w:autoSpaceDN/>
        <w:bidi w:val="0"/>
        <w:spacing w:line="360" w:lineRule="auto"/>
        <w:textAlignment w:val="auto"/>
        <w:rPr>
          <w:color w:val="auto"/>
          <w:highlight w:val="none"/>
          <w:u w:val="single"/>
        </w:rPr>
      </w:pPr>
    </w:p>
    <w:p>
      <w:pPr>
        <w:pStyle w:val="2"/>
        <w:pageBreakBefore w:val="0"/>
        <w:widowControl w:val="0"/>
        <w:kinsoku/>
        <w:wordWrap/>
        <w:overflowPunct/>
        <w:topLinePunct w:val="0"/>
        <w:autoSpaceDE/>
        <w:autoSpaceDN/>
        <w:bidi w:val="0"/>
        <w:spacing w:line="360" w:lineRule="auto"/>
        <w:textAlignment w:val="auto"/>
        <w:rPr>
          <w:color w:val="auto"/>
          <w:highlight w:val="none"/>
          <w:u w:val="single"/>
        </w:rPr>
      </w:pPr>
    </w:p>
    <w:p>
      <w:pPr>
        <w:pStyle w:val="2"/>
        <w:pageBreakBefore w:val="0"/>
        <w:widowControl w:val="0"/>
        <w:kinsoku/>
        <w:wordWrap/>
        <w:overflowPunct/>
        <w:topLinePunct w:val="0"/>
        <w:autoSpaceDE/>
        <w:autoSpaceDN/>
        <w:bidi w:val="0"/>
        <w:spacing w:line="360" w:lineRule="auto"/>
        <w:textAlignment w:val="auto"/>
        <w:rPr>
          <w:color w:val="auto"/>
          <w:highlight w:val="none"/>
          <w:u w:val="single"/>
        </w:rPr>
      </w:pPr>
    </w:p>
    <w:p>
      <w:pPr>
        <w:pStyle w:val="2"/>
        <w:rPr>
          <w:color w:val="auto"/>
          <w:highlight w:val="none"/>
          <w:u w:val="single"/>
        </w:rPr>
      </w:pPr>
    </w:p>
    <w:p>
      <w:pPr>
        <w:snapToGrid w:val="0"/>
        <w:spacing w:line="312" w:lineRule="auto"/>
        <w:ind w:firstLine="360" w:firstLineChars="150"/>
        <w:rPr>
          <w:rFonts w:ascii="宋体" w:hAnsi="宋体" w:cs="宋体"/>
          <w:color w:val="auto"/>
          <w:sz w:val="24"/>
          <w:szCs w:val="24"/>
          <w:highlight w:val="none"/>
        </w:rPr>
      </w:pPr>
    </w:p>
    <w:p>
      <w:pPr>
        <w:pStyle w:val="3"/>
        <w:spacing w:before="0" w:after="0" w:line="312" w:lineRule="auto"/>
        <w:rPr>
          <w:rFonts w:ascii="宋体" w:hAnsi="宋体" w:eastAsia="宋体" w:cs="宋体"/>
          <w:bCs/>
          <w:color w:val="auto"/>
          <w:sz w:val="36"/>
          <w:szCs w:val="30"/>
          <w:highlight w:val="none"/>
        </w:rPr>
      </w:pPr>
      <w:bookmarkStart w:id="73" w:name="_Toc27969"/>
      <w:bookmarkStart w:id="74" w:name="_Toc5086"/>
      <w:bookmarkStart w:id="75" w:name="_Toc27244"/>
      <w:r>
        <w:rPr>
          <w:rFonts w:hint="eastAsia" w:ascii="宋体" w:hAnsi="宋体" w:eastAsia="宋体" w:cs="宋体"/>
          <w:bCs/>
          <w:color w:val="auto"/>
          <w:sz w:val="36"/>
          <w:szCs w:val="30"/>
          <w:highlight w:val="none"/>
        </w:rPr>
        <w:t xml:space="preserve">第四篇 </w:t>
      </w:r>
      <w:r>
        <w:rPr>
          <w:rFonts w:hint="eastAsia" w:ascii="宋体" w:hAnsi="宋体" w:eastAsia="宋体" w:cs="宋体"/>
          <w:bCs/>
          <w:color w:val="auto"/>
          <w:sz w:val="36"/>
          <w:szCs w:val="30"/>
          <w:highlight w:val="none"/>
          <w:lang w:eastAsia="zh-CN"/>
        </w:rPr>
        <w:t>磋商</w:t>
      </w:r>
      <w:r>
        <w:rPr>
          <w:rFonts w:hint="eastAsia" w:ascii="宋体" w:hAnsi="宋体" w:eastAsia="宋体" w:cs="宋体"/>
          <w:bCs/>
          <w:color w:val="auto"/>
          <w:sz w:val="36"/>
          <w:szCs w:val="30"/>
          <w:highlight w:val="none"/>
        </w:rPr>
        <w:t>程序及方法、评审标准、无效响应和</w:t>
      </w:r>
      <w:r>
        <w:rPr>
          <w:rFonts w:hint="eastAsia" w:ascii="宋体" w:hAnsi="宋体" w:eastAsia="宋体" w:cs="宋体"/>
          <w:bCs/>
          <w:color w:val="auto"/>
          <w:sz w:val="36"/>
          <w:szCs w:val="36"/>
          <w:highlight w:val="none"/>
        </w:rPr>
        <w:t>采购终止</w:t>
      </w:r>
      <w:bookmarkEnd w:id="73"/>
      <w:bookmarkEnd w:id="74"/>
      <w:bookmarkEnd w:id="75"/>
    </w:p>
    <w:p>
      <w:pPr>
        <w:pStyle w:val="4"/>
        <w:spacing w:before="0" w:after="0" w:line="312" w:lineRule="auto"/>
        <w:rPr>
          <w:rFonts w:ascii="宋体" w:hAnsi="宋体" w:cs="宋体"/>
          <w:color w:val="auto"/>
          <w:sz w:val="24"/>
          <w:szCs w:val="24"/>
          <w:highlight w:val="none"/>
        </w:rPr>
      </w:pPr>
      <w:bookmarkStart w:id="76" w:name="_Toc10110"/>
      <w:bookmarkStart w:id="77" w:name="_Toc16377"/>
      <w:bookmarkStart w:id="78" w:name="_Toc15209"/>
      <w:r>
        <w:rPr>
          <w:rFonts w:hint="eastAsia" w:ascii="宋体" w:hAnsi="宋体" w:cs="宋体"/>
          <w:color w:val="auto"/>
          <w:sz w:val="24"/>
          <w:szCs w:val="24"/>
          <w:highlight w:val="none"/>
        </w:rPr>
        <w:t>一、</w:t>
      </w:r>
      <w:r>
        <w:rPr>
          <w:rFonts w:hint="eastAsia" w:ascii="宋体" w:hAnsi="宋体" w:cs="宋体"/>
          <w:color w:val="auto"/>
          <w:sz w:val="24"/>
          <w:szCs w:val="24"/>
          <w:highlight w:val="none"/>
          <w:lang w:eastAsia="zh-CN"/>
        </w:rPr>
        <w:t>磋商</w:t>
      </w:r>
      <w:r>
        <w:rPr>
          <w:rFonts w:hint="eastAsia" w:ascii="宋体" w:hAnsi="宋体" w:cs="宋体"/>
          <w:color w:val="auto"/>
          <w:sz w:val="24"/>
          <w:szCs w:val="24"/>
          <w:highlight w:val="none"/>
        </w:rPr>
        <w:t>程序及方法</w:t>
      </w:r>
      <w:bookmarkEnd w:id="76"/>
      <w:bookmarkEnd w:id="77"/>
      <w:bookmarkEnd w:id="78"/>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w:t>
      </w:r>
      <w:r>
        <w:rPr>
          <w:rFonts w:hint="eastAsia" w:ascii="宋体" w:hAnsi="宋体" w:cs="宋体"/>
          <w:color w:val="auto"/>
          <w:sz w:val="24"/>
          <w:szCs w:val="24"/>
          <w:highlight w:val="none"/>
          <w:lang w:eastAsia="zh-CN"/>
        </w:rPr>
        <w:t>磋商</w:t>
      </w:r>
      <w:r>
        <w:rPr>
          <w:rFonts w:hint="eastAsia" w:ascii="宋体" w:hAnsi="宋体" w:cs="宋体"/>
          <w:color w:val="auto"/>
          <w:sz w:val="24"/>
          <w:szCs w:val="24"/>
          <w:highlight w:val="none"/>
        </w:rPr>
        <w:t>按</w:t>
      </w:r>
      <w:r>
        <w:rPr>
          <w:rFonts w:hint="eastAsia" w:ascii="宋体" w:hAnsi="宋体" w:cs="宋体"/>
          <w:color w:val="auto"/>
          <w:sz w:val="24"/>
          <w:szCs w:val="24"/>
          <w:highlight w:val="none"/>
          <w:lang w:eastAsia="zh-CN"/>
        </w:rPr>
        <w:t>磋商</w:t>
      </w:r>
      <w:r>
        <w:rPr>
          <w:rFonts w:hint="eastAsia" w:ascii="宋体" w:hAnsi="宋体" w:cs="宋体"/>
          <w:color w:val="auto"/>
          <w:sz w:val="24"/>
          <w:szCs w:val="24"/>
          <w:highlight w:val="none"/>
        </w:rPr>
        <w:t>文件规定的时间和地点进行，供应商须有法定代表人或其授权代表参加并签到。</w:t>
      </w:r>
      <w:r>
        <w:rPr>
          <w:rFonts w:hint="eastAsia" w:ascii="方正仿宋_GBK" w:hAnsi="宋体" w:eastAsia="方正仿宋_GBK"/>
          <w:b/>
          <w:color w:val="auto"/>
          <w:szCs w:val="28"/>
          <w:highlight w:val="none"/>
        </w:rPr>
        <w:t>法定代表人或其授权代表须提供身份证原件核验身份，如无身份证原件核验身份的，无权行使相应权利</w:t>
      </w:r>
      <w:r>
        <w:rPr>
          <w:rFonts w:hint="eastAsia" w:ascii="方正仿宋_GBK" w:hAnsi="宋体" w:eastAsia="方正仿宋_GBK"/>
          <w:color w:val="auto"/>
          <w:sz w:val="24"/>
          <w:szCs w:val="24"/>
          <w:highlight w:val="none"/>
        </w:rPr>
        <w:t>。</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w:t>
      </w:r>
      <w:r>
        <w:rPr>
          <w:rFonts w:hint="eastAsia" w:ascii="宋体" w:hAnsi="宋体" w:cs="宋体"/>
          <w:color w:val="auto"/>
          <w:sz w:val="24"/>
          <w:szCs w:val="24"/>
          <w:highlight w:val="none"/>
          <w:lang w:eastAsia="zh-CN"/>
        </w:rPr>
        <w:t>磋商</w:t>
      </w:r>
      <w:r>
        <w:rPr>
          <w:rFonts w:hint="eastAsia" w:ascii="宋体" w:hAnsi="宋体" w:cs="宋体"/>
          <w:color w:val="auto"/>
          <w:sz w:val="24"/>
          <w:szCs w:val="24"/>
          <w:highlight w:val="none"/>
        </w:rPr>
        <w:t>小组对各供应商的资格条件、响应文件的有效性、完整性和响应程度进行审查。各供应商只有在完全符合要求的前提下，才能参与正式</w:t>
      </w:r>
      <w:r>
        <w:rPr>
          <w:rFonts w:hint="eastAsia" w:ascii="宋体" w:hAnsi="宋体" w:cs="宋体"/>
          <w:color w:val="auto"/>
          <w:sz w:val="24"/>
          <w:szCs w:val="24"/>
          <w:highlight w:val="none"/>
          <w:lang w:eastAsia="zh-CN"/>
        </w:rPr>
        <w:t>磋商</w:t>
      </w:r>
      <w:r>
        <w:rPr>
          <w:rFonts w:hint="eastAsia" w:ascii="宋体" w:hAnsi="宋体" w:cs="宋体"/>
          <w:color w:val="auto"/>
          <w:sz w:val="24"/>
          <w:szCs w:val="24"/>
          <w:highlight w:val="none"/>
        </w:rPr>
        <w:t>。</w:t>
      </w:r>
    </w:p>
    <w:p>
      <w:pPr>
        <w:snapToGrid w:val="0"/>
        <w:spacing w:line="312" w:lineRule="auto"/>
        <w:ind w:firstLine="480" w:firstLineChars="200"/>
        <w:rPr>
          <w:rFonts w:ascii="宋体" w:hAnsi="宋体" w:cs="宋体"/>
          <w:color w:val="auto"/>
          <w:kern w:val="0"/>
          <w:sz w:val="24"/>
          <w:szCs w:val="24"/>
          <w:highlight w:val="none"/>
        </w:rPr>
      </w:pPr>
      <w:r>
        <w:rPr>
          <w:rFonts w:hint="eastAsia" w:ascii="宋体" w:hAnsi="宋体" w:cs="宋体"/>
          <w:color w:val="auto"/>
          <w:sz w:val="24"/>
          <w:szCs w:val="24"/>
          <w:highlight w:val="none"/>
        </w:rPr>
        <w:t>1、</w:t>
      </w:r>
      <w:r>
        <w:rPr>
          <w:rFonts w:hint="eastAsia" w:ascii="宋体" w:hAnsi="宋体" w:cs="宋体"/>
          <w:color w:val="auto"/>
          <w:kern w:val="0"/>
          <w:sz w:val="24"/>
          <w:szCs w:val="24"/>
          <w:highlight w:val="none"/>
        </w:rPr>
        <w:t>资格性检查。依据法律法规和</w:t>
      </w:r>
      <w:r>
        <w:rPr>
          <w:rFonts w:hint="eastAsia" w:ascii="宋体" w:hAnsi="宋体" w:cs="宋体"/>
          <w:color w:val="auto"/>
          <w:kern w:val="0"/>
          <w:sz w:val="24"/>
          <w:szCs w:val="24"/>
          <w:highlight w:val="none"/>
          <w:lang w:eastAsia="zh-CN"/>
        </w:rPr>
        <w:t>磋商</w:t>
      </w:r>
      <w:r>
        <w:rPr>
          <w:rFonts w:hint="eastAsia" w:ascii="宋体" w:hAnsi="宋体" w:cs="宋体"/>
          <w:color w:val="auto"/>
          <w:kern w:val="0"/>
          <w:sz w:val="24"/>
          <w:szCs w:val="24"/>
          <w:highlight w:val="none"/>
        </w:rPr>
        <w:t>采购文件的规定，对响应文件中的资格证明进行审查，以确定供应商是否具备</w:t>
      </w:r>
      <w:r>
        <w:rPr>
          <w:rFonts w:hint="eastAsia" w:ascii="宋体" w:hAnsi="宋体" w:cs="宋体"/>
          <w:color w:val="auto"/>
          <w:kern w:val="0"/>
          <w:sz w:val="24"/>
          <w:szCs w:val="24"/>
          <w:highlight w:val="none"/>
          <w:lang w:eastAsia="zh-CN"/>
        </w:rPr>
        <w:t>磋商</w:t>
      </w:r>
      <w:r>
        <w:rPr>
          <w:rFonts w:hint="eastAsia" w:ascii="宋体" w:hAnsi="宋体" w:cs="宋体"/>
          <w:color w:val="auto"/>
          <w:kern w:val="0"/>
          <w:sz w:val="24"/>
          <w:szCs w:val="24"/>
          <w:highlight w:val="none"/>
        </w:rPr>
        <w:t>资格1。资格性检查资料表如下：</w:t>
      </w:r>
    </w:p>
    <w:tbl>
      <w:tblPr>
        <w:tblStyle w:val="1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676" w:type="dxa"/>
            <w:vAlign w:val="center"/>
          </w:tcPr>
          <w:p>
            <w:pPr>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序号</w:t>
            </w:r>
          </w:p>
        </w:tc>
        <w:tc>
          <w:tcPr>
            <w:tcW w:w="5388" w:type="dxa"/>
            <w:gridSpan w:val="2"/>
            <w:vAlign w:val="center"/>
          </w:tcPr>
          <w:p>
            <w:pPr>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检查因素</w:t>
            </w:r>
          </w:p>
        </w:tc>
        <w:tc>
          <w:tcPr>
            <w:tcW w:w="3542" w:type="dxa"/>
            <w:vAlign w:val="center"/>
          </w:tcPr>
          <w:p>
            <w:pPr>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2" w:hRule="atLeast"/>
        </w:trPr>
        <w:tc>
          <w:tcPr>
            <w:tcW w:w="676" w:type="dxa"/>
            <w:vMerge w:val="restart"/>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1</w:t>
            </w:r>
          </w:p>
          <w:p>
            <w:pPr>
              <w:jc w:val="center"/>
              <w:rPr>
                <w:rFonts w:ascii="宋体" w:hAnsi="宋体" w:cs="宋体"/>
                <w:color w:val="auto"/>
                <w:sz w:val="21"/>
                <w:szCs w:val="21"/>
                <w:highlight w:val="none"/>
              </w:rPr>
            </w:pPr>
          </w:p>
        </w:tc>
        <w:tc>
          <w:tcPr>
            <w:tcW w:w="709" w:type="dxa"/>
            <w:vMerge w:val="restart"/>
            <w:vAlign w:val="center"/>
          </w:tcPr>
          <w:p>
            <w:pPr>
              <w:rPr>
                <w:rFonts w:ascii="宋体" w:hAnsi="宋体" w:cs="宋体"/>
                <w:color w:val="auto"/>
                <w:sz w:val="21"/>
                <w:szCs w:val="21"/>
                <w:highlight w:val="none"/>
                <w:lang w:val="zh-CN"/>
              </w:rPr>
            </w:pPr>
            <w:r>
              <w:rPr>
                <w:rFonts w:hint="eastAsia" w:ascii="宋体" w:hAnsi="宋体" w:cs="宋体"/>
                <w:color w:val="auto"/>
                <w:sz w:val="21"/>
                <w:szCs w:val="21"/>
                <w:highlight w:val="none"/>
              </w:rPr>
              <w:t>供应商</w:t>
            </w:r>
            <w:r>
              <w:rPr>
                <w:rFonts w:hint="eastAsia" w:ascii="宋体" w:hAnsi="宋体" w:cs="宋体"/>
                <w:color w:val="auto"/>
                <w:sz w:val="21"/>
                <w:szCs w:val="21"/>
                <w:highlight w:val="none"/>
                <w:lang w:val="zh-CN"/>
              </w:rPr>
              <w:t>应符合的基本资格条件</w:t>
            </w:r>
          </w:p>
        </w:tc>
        <w:tc>
          <w:tcPr>
            <w:tcW w:w="4679"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（1）具有独立承担民事责任的能力</w:t>
            </w:r>
          </w:p>
        </w:tc>
        <w:tc>
          <w:tcPr>
            <w:tcW w:w="3542"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供应商法人营业执照（副本）或事业单位法人证书（副本）或个体工商户营业执照、组织机构代码证复印件（注</w:t>
            </w: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eq \o\ac(○,</w:instrText>
            </w:r>
            <w:r>
              <w:rPr>
                <w:rFonts w:hint="eastAsia" w:ascii="宋体" w:hAnsi="宋体" w:cs="宋体"/>
                <w:color w:val="auto"/>
                <w:kern w:val="0"/>
                <w:position w:val="3"/>
                <w:sz w:val="16"/>
                <w:szCs w:val="24"/>
                <w:highlight w:val="none"/>
              </w:rPr>
              <w:instrText xml:space="preserve">1</w:instrText>
            </w:r>
            <w:r>
              <w:rPr>
                <w:rFonts w:hint="eastAsia" w:ascii="宋体" w:hAnsi="宋体" w:cs="宋体"/>
                <w:color w:val="auto"/>
                <w:kern w:val="0"/>
                <w:sz w:val="24"/>
                <w:szCs w:val="24"/>
                <w:highlight w:val="none"/>
              </w:rPr>
              <w:instrText xml:space="preserve">)</w:instrText>
            </w:r>
            <w:r>
              <w:rPr>
                <w:rFonts w:hint="eastAsia" w:ascii="宋体" w:hAnsi="宋体" w:cs="宋体"/>
                <w:color w:val="auto"/>
                <w:kern w:val="0"/>
                <w:sz w:val="24"/>
                <w:szCs w:val="24"/>
                <w:highlight w:val="none"/>
              </w:rPr>
              <w:fldChar w:fldCharType="end"/>
            </w:r>
            <w:r>
              <w:rPr>
                <w:rFonts w:hint="eastAsia" w:ascii="宋体" w:hAnsi="宋体" w:cs="宋体"/>
                <w:color w:val="auto"/>
                <w:sz w:val="21"/>
                <w:szCs w:val="21"/>
                <w:highlight w:val="none"/>
              </w:rPr>
              <w:t xml:space="preserve">）； </w:t>
            </w:r>
          </w:p>
          <w:p>
            <w:pPr>
              <w:rPr>
                <w:rFonts w:ascii="宋体" w:hAnsi="宋体" w:cs="宋体"/>
                <w:color w:val="auto"/>
                <w:sz w:val="21"/>
                <w:szCs w:val="21"/>
                <w:highlight w:val="none"/>
              </w:rPr>
            </w:pPr>
            <w:r>
              <w:rPr>
                <w:rFonts w:hint="eastAsia" w:ascii="宋体" w:hAnsi="宋体" w:cs="宋体"/>
                <w:color w:val="auto"/>
                <w:sz w:val="21"/>
                <w:szCs w:val="21"/>
                <w:highlight w:val="none"/>
              </w:rPr>
              <w:t>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4" w:hRule="atLeast"/>
        </w:trPr>
        <w:tc>
          <w:tcPr>
            <w:tcW w:w="676" w:type="dxa"/>
            <w:vMerge w:val="continue"/>
            <w:vAlign w:val="center"/>
          </w:tcPr>
          <w:p>
            <w:pPr>
              <w:jc w:val="center"/>
              <w:rPr>
                <w:rFonts w:ascii="宋体" w:hAnsi="宋体" w:cs="宋体"/>
                <w:color w:val="auto"/>
                <w:sz w:val="21"/>
                <w:szCs w:val="21"/>
                <w:highlight w:val="none"/>
              </w:rPr>
            </w:pPr>
          </w:p>
        </w:tc>
        <w:tc>
          <w:tcPr>
            <w:tcW w:w="709" w:type="dxa"/>
            <w:vMerge w:val="continue"/>
            <w:vAlign w:val="center"/>
          </w:tcPr>
          <w:p>
            <w:pPr>
              <w:rPr>
                <w:rFonts w:ascii="宋体" w:hAnsi="宋体" w:cs="宋体"/>
                <w:color w:val="auto"/>
                <w:sz w:val="21"/>
                <w:szCs w:val="21"/>
                <w:highlight w:val="none"/>
                <w:lang w:val="zh-CN"/>
              </w:rPr>
            </w:pPr>
          </w:p>
        </w:tc>
        <w:tc>
          <w:tcPr>
            <w:tcW w:w="4679"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lang w:val="zh-CN"/>
              </w:rPr>
              <w:t>（2）</w:t>
            </w:r>
            <w:r>
              <w:rPr>
                <w:rFonts w:hint="eastAsia" w:ascii="宋体" w:hAnsi="宋体" w:cs="宋体"/>
                <w:color w:val="auto"/>
                <w:sz w:val="21"/>
                <w:szCs w:val="21"/>
                <w:highlight w:val="none"/>
              </w:rPr>
              <w:t>具有良好的商业信誉和健全的财务会计制度</w:t>
            </w:r>
          </w:p>
        </w:tc>
        <w:tc>
          <w:tcPr>
            <w:tcW w:w="3542" w:type="dxa"/>
            <w:vMerge w:val="restart"/>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供应商提供“基本资格条件承诺函”（格式详见第七篇）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trPr>
        <w:tc>
          <w:tcPr>
            <w:tcW w:w="676" w:type="dxa"/>
            <w:vMerge w:val="continue"/>
            <w:vAlign w:val="center"/>
          </w:tcPr>
          <w:p>
            <w:pPr>
              <w:jc w:val="center"/>
              <w:rPr>
                <w:rFonts w:ascii="宋体" w:hAnsi="宋体" w:cs="宋体"/>
                <w:color w:val="auto"/>
                <w:sz w:val="21"/>
                <w:szCs w:val="21"/>
                <w:highlight w:val="none"/>
              </w:rPr>
            </w:pPr>
          </w:p>
        </w:tc>
        <w:tc>
          <w:tcPr>
            <w:tcW w:w="709" w:type="dxa"/>
            <w:vMerge w:val="continue"/>
            <w:vAlign w:val="center"/>
          </w:tcPr>
          <w:p>
            <w:pPr>
              <w:rPr>
                <w:rFonts w:ascii="宋体" w:hAnsi="宋体" w:cs="宋体"/>
                <w:color w:val="auto"/>
                <w:sz w:val="21"/>
                <w:szCs w:val="21"/>
                <w:highlight w:val="none"/>
                <w:lang w:val="zh-CN"/>
              </w:rPr>
            </w:pPr>
          </w:p>
        </w:tc>
        <w:tc>
          <w:tcPr>
            <w:tcW w:w="4679" w:type="dxa"/>
            <w:vAlign w:val="center"/>
          </w:tcPr>
          <w:p>
            <w:pPr>
              <w:rPr>
                <w:rFonts w:ascii="宋体" w:hAnsi="宋体" w:cs="宋体"/>
                <w:color w:val="auto"/>
                <w:sz w:val="21"/>
                <w:szCs w:val="21"/>
                <w:highlight w:val="none"/>
                <w:lang w:val="zh-CN"/>
              </w:rPr>
            </w:pPr>
            <w:r>
              <w:rPr>
                <w:rFonts w:hint="eastAsia" w:ascii="宋体" w:hAnsi="宋体" w:cs="宋体"/>
                <w:color w:val="auto"/>
                <w:sz w:val="21"/>
                <w:szCs w:val="21"/>
                <w:highlight w:val="none"/>
                <w:lang w:val="zh-CN"/>
              </w:rPr>
              <w:t>（3）具有履行合同所必需的设备和专业技术能力</w:t>
            </w:r>
          </w:p>
        </w:tc>
        <w:tc>
          <w:tcPr>
            <w:tcW w:w="3542" w:type="dxa"/>
            <w:vMerge w:val="continue"/>
            <w:vAlign w:val="center"/>
          </w:tcPr>
          <w:p>
            <w:pP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atLeast"/>
        </w:trPr>
        <w:tc>
          <w:tcPr>
            <w:tcW w:w="676" w:type="dxa"/>
            <w:vMerge w:val="continue"/>
            <w:vAlign w:val="center"/>
          </w:tcPr>
          <w:p>
            <w:pPr>
              <w:jc w:val="center"/>
              <w:rPr>
                <w:rFonts w:ascii="宋体" w:hAnsi="宋体" w:cs="宋体"/>
                <w:color w:val="auto"/>
                <w:sz w:val="21"/>
                <w:szCs w:val="21"/>
                <w:highlight w:val="none"/>
              </w:rPr>
            </w:pPr>
          </w:p>
        </w:tc>
        <w:tc>
          <w:tcPr>
            <w:tcW w:w="709" w:type="dxa"/>
            <w:vMerge w:val="continue"/>
            <w:vAlign w:val="center"/>
          </w:tcPr>
          <w:p>
            <w:pPr>
              <w:rPr>
                <w:rFonts w:ascii="宋体" w:hAnsi="宋体" w:cs="宋体"/>
                <w:color w:val="auto"/>
                <w:sz w:val="21"/>
                <w:szCs w:val="21"/>
                <w:highlight w:val="none"/>
                <w:lang w:val="zh-CN"/>
              </w:rPr>
            </w:pPr>
          </w:p>
        </w:tc>
        <w:tc>
          <w:tcPr>
            <w:tcW w:w="4679" w:type="dxa"/>
            <w:vAlign w:val="center"/>
          </w:tcPr>
          <w:p>
            <w:pPr>
              <w:rPr>
                <w:rFonts w:ascii="宋体" w:hAnsi="宋体" w:cs="宋体"/>
                <w:color w:val="auto"/>
                <w:sz w:val="21"/>
                <w:szCs w:val="21"/>
                <w:highlight w:val="none"/>
                <w:lang w:val="zh-CN"/>
              </w:rPr>
            </w:pPr>
            <w:r>
              <w:rPr>
                <w:rFonts w:hint="eastAsia" w:ascii="宋体" w:hAnsi="宋体" w:cs="宋体"/>
                <w:color w:val="auto"/>
                <w:sz w:val="21"/>
                <w:szCs w:val="21"/>
                <w:highlight w:val="none"/>
                <w:lang w:val="zh-CN"/>
              </w:rPr>
              <w:t>（4）有依法缴纳税收和社会保障金的良好记录</w:t>
            </w:r>
          </w:p>
        </w:tc>
        <w:tc>
          <w:tcPr>
            <w:tcW w:w="3542" w:type="dxa"/>
            <w:vMerge w:val="continue"/>
            <w:vAlign w:val="center"/>
          </w:tcPr>
          <w:p>
            <w:pP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75" w:hRule="atLeast"/>
        </w:trPr>
        <w:tc>
          <w:tcPr>
            <w:tcW w:w="676" w:type="dxa"/>
            <w:vMerge w:val="continue"/>
            <w:vAlign w:val="center"/>
          </w:tcPr>
          <w:p>
            <w:pPr>
              <w:jc w:val="center"/>
              <w:rPr>
                <w:rFonts w:ascii="宋体" w:hAnsi="宋体" w:cs="宋体"/>
                <w:color w:val="auto"/>
                <w:sz w:val="21"/>
                <w:szCs w:val="21"/>
                <w:highlight w:val="none"/>
              </w:rPr>
            </w:pPr>
          </w:p>
        </w:tc>
        <w:tc>
          <w:tcPr>
            <w:tcW w:w="709" w:type="dxa"/>
            <w:vMerge w:val="continue"/>
            <w:vAlign w:val="center"/>
          </w:tcPr>
          <w:p>
            <w:pPr>
              <w:rPr>
                <w:rFonts w:ascii="宋体" w:hAnsi="宋体" w:cs="宋体"/>
                <w:color w:val="auto"/>
                <w:sz w:val="21"/>
                <w:szCs w:val="21"/>
                <w:highlight w:val="none"/>
                <w:lang w:val="zh-CN"/>
              </w:rPr>
            </w:pPr>
          </w:p>
        </w:tc>
        <w:tc>
          <w:tcPr>
            <w:tcW w:w="4679" w:type="dxa"/>
            <w:vAlign w:val="center"/>
          </w:tcPr>
          <w:p>
            <w:pPr>
              <w:rPr>
                <w:rFonts w:ascii="宋体" w:hAnsi="宋体" w:cs="宋体"/>
                <w:color w:val="auto"/>
                <w:sz w:val="21"/>
                <w:szCs w:val="21"/>
                <w:highlight w:val="none"/>
                <w:lang w:val="zh-CN"/>
              </w:rPr>
            </w:pPr>
            <w:r>
              <w:rPr>
                <w:rFonts w:hint="eastAsia" w:ascii="宋体" w:hAnsi="宋体" w:cs="宋体"/>
                <w:color w:val="auto"/>
                <w:sz w:val="21"/>
                <w:szCs w:val="21"/>
                <w:highlight w:val="none"/>
              </w:rPr>
              <w:t>（5）参加政府采购活动前三年内，在经营活动中没有重大违法记录</w:t>
            </w:r>
            <w:r>
              <w:rPr>
                <w:rFonts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eq \o\ac(○,2)</w:instrText>
            </w:r>
            <w:r>
              <w:rPr>
                <w:rFonts w:ascii="宋体" w:hAnsi="宋体" w:cs="宋体"/>
                <w:color w:val="auto"/>
                <w:kern w:val="0"/>
                <w:sz w:val="24"/>
                <w:szCs w:val="24"/>
                <w:highlight w:val="none"/>
              </w:rPr>
              <w:fldChar w:fldCharType="end"/>
            </w:r>
          </w:p>
        </w:tc>
        <w:tc>
          <w:tcPr>
            <w:tcW w:w="3542" w:type="dxa"/>
            <w:vMerge w:val="continue"/>
            <w:vAlign w:val="center"/>
          </w:tcPr>
          <w:p>
            <w:pP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Merge w:val="continue"/>
            <w:vAlign w:val="center"/>
          </w:tcPr>
          <w:p>
            <w:pPr>
              <w:jc w:val="center"/>
              <w:rPr>
                <w:rFonts w:ascii="宋体" w:hAnsi="宋体" w:cs="宋体"/>
                <w:color w:val="auto"/>
                <w:sz w:val="21"/>
                <w:szCs w:val="21"/>
                <w:highlight w:val="none"/>
              </w:rPr>
            </w:pPr>
          </w:p>
        </w:tc>
        <w:tc>
          <w:tcPr>
            <w:tcW w:w="709" w:type="dxa"/>
            <w:vMerge w:val="continue"/>
            <w:vAlign w:val="center"/>
          </w:tcPr>
          <w:p>
            <w:pPr>
              <w:rPr>
                <w:rFonts w:ascii="宋体" w:hAnsi="宋体" w:cs="宋体"/>
                <w:color w:val="auto"/>
                <w:sz w:val="21"/>
                <w:szCs w:val="21"/>
                <w:highlight w:val="none"/>
                <w:lang w:val="zh-CN"/>
              </w:rPr>
            </w:pPr>
          </w:p>
        </w:tc>
        <w:tc>
          <w:tcPr>
            <w:tcW w:w="4679"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（6）法律、行政法规规定的其他条件</w:t>
            </w:r>
          </w:p>
        </w:tc>
        <w:tc>
          <w:tcPr>
            <w:tcW w:w="3542" w:type="dxa"/>
            <w:vAlign w:val="center"/>
          </w:tcPr>
          <w:p>
            <w:pP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Merge w:val="continue"/>
            <w:vAlign w:val="center"/>
          </w:tcPr>
          <w:p>
            <w:pPr>
              <w:jc w:val="center"/>
              <w:rPr>
                <w:rFonts w:ascii="宋体" w:hAnsi="宋体" w:cs="宋体"/>
                <w:color w:val="auto"/>
                <w:sz w:val="21"/>
                <w:szCs w:val="21"/>
                <w:highlight w:val="none"/>
              </w:rPr>
            </w:pPr>
          </w:p>
        </w:tc>
        <w:tc>
          <w:tcPr>
            <w:tcW w:w="709" w:type="dxa"/>
            <w:vAlign w:val="center"/>
          </w:tcPr>
          <w:p>
            <w:pPr>
              <w:tabs>
                <w:tab w:val="left" w:pos="1494"/>
              </w:tabs>
              <w:rPr>
                <w:rFonts w:ascii="宋体" w:hAnsi="宋体" w:cs="宋体"/>
                <w:color w:val="auto"/>
                <w:sz w:val="21"/>
                <w:szCs w:val="21"/>
                <w:highlight w:val="none"/>
              </w:rPr>
            </w:pPr>
          </w:p>
        </w:tc>
        <w:tc>
          <w:tcPr>
            <w:tcW w:w="4679" w:type="dxa"/>
            <w:vAlign w:val="center"/>
          </w:tcPr>
          <w:p>
            <w:pPr>
              <w:tabs>
                <w:tab w:val="left" w:pos="1494"/>
              </w:tabs>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特定资格条件</w:t>
            </w:r>
          </w:p>
        </w:tc>
        <w:tc>
          <w:tcPr>
            <w:tcW w:w="3542"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按“第一篇三、供应商资格要求（三）本项目的特定资格要求”的要求提交（如果有）。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p>
        </w:tc>
        <w:tc>
          <w:tcPr>
            <w:tcW w:w="5388" w:type="dxa"/>
            <w:gridSpan w:val="2"/>
            <w:vAlign w:val="center"/>
          </w:tcPr>
          <w:p>
            <w:pPr>
              <w:tabs>
                <w:tab w:val="left" w:pos="1494"/>
              </w:tabs>
              <w:rPr>
                <w:rFonts w:hint="eastAsia" w:ascii="宋体" w:hAnsi="宋体" w:cs="宋体"/>
                <w:color w:val="auto"/>
                <w:sz w:val="21"/>
                <w:szCs w:val="21"/>
                <w:highlight w:val="none"/>
              </w:rPr>
            </w:pPr>
            <w:r>
              <w:rPr>
                <w:rFonts w:hint="eastAsia" w:ascii="宋体" w:hAnsi="宋体" w:cs="宋体"/>
                <w:color w:val="auto"/>
                <w:sz w:val="21"/>
                <w:szCs w:val="21"/>
                <w:highlight w:val="none"/>
              </w:rPr>
              <w:t>落实政府采购政策需满足的资格要求</w:t>
            </w:r>
          </w:p>
        </w:tc>
        <w:tc>
          <w:tcPr>
            <w:tcW w:w="3542" w:type="dxa"/>
            <w:vAlign w:val="center"/>
          </w:tcPr>
          <w:p>
            <w:pPr>
              <w:rPr>
                <w:rFonts w:hint="eastAsia" w:ascii="宋体" w:hAnsi="宋体" w:cs="宋体"/>
                <w:color w:val="auto"/>
                <w:sz w:val="21"/>
                <w:szCs w:val="21"/>
                <w:highlight w:val="none"/>
              </w:rPr>
            </w:pPr>
            <w:r>
              <w:rPr>
                <w:rFonts w:hint="eastAsia" w:ascii="宋体" w:hAnsi="宋体" w:cs="宋体"/>
                <w:color w:val="auto"/>
                <w:sz w:val="21"/>
                <w:szCs w:val="21"/>
                <w:highlight w:val="none"/>
              </w:rPr>
              <w:t>按“第一篇三、供应商资格要求（二）落实政府采购政策需满足的资格要求”的要求提交（如果有）。</w:t>
            </w:r>
          </w:p>
        </w:tc>
      </w:tr>
    </w:tbl>
    <w:p>
      <w:pPr>
        <w:snapToGrid w:val="0"/>
        <w:spacing w:line="312"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eq \o\ac(○,</w:instrText>
      </w:r>
      <w:r>
        <w:rPr>
          <w:rFonts w:hint="eastAsia" w:ascii="宋体" w:hAnsi="宋体" w:cs="宋体"/>
          <w:color w:val="auto"/>
          <w:kern w:val="0"/>
          <w:position w:val="3"/>
          <w:sz w:val="16"/>
          <w:szCs w:val="24"/>
          <w:highlight w:val="none"/>
        </w:rPr>
        <w:instrText xml:space="preserve">1</w:instrText>
      </w:r>
      <w:r>
        <w:rPr>
          <w:rFonts w:hint="eastAsia" w:ascii="宋体" w:hAnsi="宋体" w:cs="宋体"/>
          <w:color w:val="auto"/>
          <w:kern w:val="0"/>
          <w:sz w:val="24"/>
          <w:szCs w:val="24"/>
          <w:highlight w:val="none"/>
        </w:rPr>
        <w:instrText xml:space="preserve">)</w:instrText>
      </w:r>
      <w:r>
        <w:rPr>
          <w:rFonts w:hint="eastAsia" w:ascii="宋体" w:hAnsi="宋体" w:cs="宋体"/>
          <w:color w:val="auto"/>
          <w:kern w:val="0"/>
          <w:sz w:val="24"/>
          <w:szCs w:val="24"/>
          <w:highlight w:val="none"/>
        </w:rPr>
        <w:fldChar w:fldCharType="end"/>
      </w:r>
      <w:r>
        <w:rPr>
          <w:rFonts w:hint="eastAsia" w:ascii="宋体" w:hAnsi="宋体" w:cs="宋体"/>
          <w:color w:val="auto"/>
          <w:kern w:val="0"/>
          <w:sz w:val="24"/>
          <w:szCs w:val="24"/>
          <w:highlight w:val="none"/>
        </w:rPr>
        <w:t>供应商按“三证合一”登记制度办理营业执照的，组织机构代码证和税务登记证（副本）以供应商所提供的营业执照（副本）复印件为准。</w:t>
      </w:r>
    </w:p>
    <w:p>
      <w:pPr>
        <w:snapToGrid w:val="0"/>
        <w:spacing w:line="312"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eq \o\ac(○,2)</w:instrText>
      </w:r>
      <w:r>
        <w:rPr>
          <w:rFonts w:ascii="宋体" w:hAnsi="宋体" w:cs="宋体"/>
          <w:color w:val="auto"/>
          <w:kern w:val="0"/>
          <w:sz w:val="24"/>
          <w:szCs w:val="24"/>
          <w:highlight w:val="none"/>
        </w:rPr>
        <w:fldChar w:fldCharType="end"/>
      </w:r>
      <w:r>
        <w:rPr>
          <w:rFonts w:hint="eastAsia" w:ascii="宋体" w:hAnsi="宋体" w:cs="宋体"/>
          <w:color w:val="auto"/>
          <w:kern w:val="0"/>
          <w:sz w:val="24"/>
          <w:szCs w:val="24"/>
          <w:highlight w:val="none"/>
        </w:rPr>
        <w:t>注：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按照“财政部关于《中华人民共和国政府采购法实施条例》第十九条第一款“较大数额罚款”具体适用问题的意见（财库〔2022〕3 号）”执行。供应商可于响应文件递交截止时间前通过 “信用中国”网站(www.creditchina.gov.cn)、"中国政府采购网"(www.ccgp.gov.cn)等渠道查询信用记录。</w:t>
      </w:r>
    </w:p>
    <w:p>
      <w:pPr>
        <w:snapToGrid w:val="0"/>
        <w:spacing w:line="312"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2、符合性检查。依据</w:t>
      </w:r>
      <w:r>
        <w:rPr>
          <w:rFonts w:hint="eastAsia" w:ascii="宋体" w:hAnsi="宋体" w:cs="宋体"/>
          <w:color w:val="auto"/>
          <w:kern w:val="0"/>
          <w:sz w:val="24"/>
          <w:szCs w:val="24"/>
          <w:highlight w:val="none"/>
          <w:lang w:eastAsia="zh-CN"/>
        </w:rPr>
        <w:t>磋商</w:t>
      </w:r>
      <w:r>
        <w:rPr>
          <w:rFonts w:ascii="宋体" w:hAnsi="宋体" w:cs="宋体"/>
          <w:color w:val="auto"/>
          <w:kern w:val="0"/>
          <w:sz w:val="24"/>
          <w:szCs w:val="24"/>
          <w:highlight w:val="none"/>
        </w:rPr>
        <w:t>采购</w:t>
      </w:r>
      <w:r>
        <w:rPr>
          <w:rFonts w:hint="eastAsia" w:ascii="宋体" w:hAnsi="宋体" w:cs="宋体"/>
          <w:color w:val="auto"/>
          <w:kern w:val="0"/>
          <w:sz w:val="24"/>
          <w:szCs w:val="24"/>
          <w:highlight w:val="none"/>
        </w:rPr>
        <w:t>文件的规定，从响应文件的有效性、完整性和对</w:t>
      </w:r>
      <w:r>
        <w:rPr>
          <w:rFonts w:hint="eastAsia" w:ascii="宋体" w:hAnsi="宋体" w:cs="宋体"/>
          <w:color w:val="auto"/>
          <w:kern w:val="0"/>
          <w:sz w:val="24"/>
          <w:szCs w:val="24"/>
          <w:highlight w:val="none"/>
          <w:lang w:eastAsia="zh-CN"/>
        </w:rPr>
        <w:t>磋商</w:t>
      </w:r>
      <w:r>
        <w:rPr>
          <w:rFonts w:ascii="宋体" w:hAnsi="宋体" w:cs="宋体"/>
          <w:color w:val="auto"/>
          <w:kern w:val="0"/>
          <w:sz w:val="24"/>
          <w:szCs w:val="24"/>
          <w:highlight w:val="none"/>
        </w:rPr>
        <w:t>采购</w:t>
      </w:r>
      <w:r>
        <w:rPr>
          <w:rFonts w:hint="eastAsia" w:ascii="宋体" w:hAnsi="宋体" w:cs="宋体"/>
          <w:color w:val="auto"/>
          <w:kern w:val="0"/>
          <w:sz w:val="24"/>
          <w:szCs w:val="24"/>
          <w:highlight w:val="none"/>
        </w:rPr>
        <w:t>文件的响应程度进行审查，以确定是否对</w:t>
      </w:r>
      <w:r>
        <w:rPr>
          <w:rFonts w:hint="eastAsia" w:ascii="宋体" w:hAnsi="宋体" w:cs="宋体"/>
          <w:color w:val="auto"/>
          <w:kern w:val="0"/>
          <w:sz w:val="24"/>
          <w:szCs w:val="24"/>
          <w:highlight w:val="none"/>
          <w:lang w:eastAsia="zh-CN"/>
        </w:rPr>
        <w:t>磋商</w:t>
      </w:r>
      <w:r>
        <w:rPr>
          <w:rFonts w:ascii="宋体" w:hAnsi="宋体" w:cs="宋体"/>
          <w:color w:val="auto"/>
          <w:kern w:val="0"/>
          <w:sz w:val="24"/>
          <w:szCs w:val="24"/>
          <w:highlight w:val="none"/>
        </w:rPr>
        <w:t>采购</w:t>
      </w:r>
      <w:r>
        <w:rPr>
          <w:rFonts w:hint="eastAsia" w:ascii="宋体" w:hAnsi="宋体" w:cs="宋体"/>
          <w:color w:val="auto"/>
          <w:kern w:val="0"/>
          <w:sz w:val="24"/>
          <w:szCs w:val="24"/>
          <w:highlight w:val="none"/>
        </w:rPr>
        <w:t>文件的实质性要求作出响应。符合性检查资料表如下：</w:t>
      </w:r>
    </w:p>
    <w:tbl>
      <w:tblPr>
        <w:tblStyle w:val="1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vAlign w:val="center"/>
          </w:tcPr>
          <w:p>
            <w:pPr>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序号</w:t>
            </w:r>
          </w:p>
        </w:tc>
        <w:tc>
          <w:tcPr>
            <w:tcW w:w="3544" w:type="dxa"/>
            <w:gridSpan w:val="2"/>
            <w:vAlign w:val="center"/>
          </w:tcPr>
          <w:p>
            <w:pPr>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评审因素</w:t>
            </w:r>
          </w:p>
        </w:tc>
        <w:tc>
          <w:tcPr>
            <w:tcW w:w="5409" w:type="dxa"/>
            <w:vAlign w:val="center"/>
          </w:tcPr>
          <w:p>
            <w:pPr>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75" w:type="dxa"/>
            <w:vMerge w:val="restart"/>
            <w:vAlign w:val="center"/>
          </w:tcPr>
          <w:p>
            <w:pPr>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1560" w:type="dxa"/>
            <w:vMerge w:val="restart"/>
            <w:vAlign w:val="center"/>
          </w:tcPr>
          <w:p>
            <w:pPr>
              <w:rPr>
                <w:rFonts w:ascii="宋体" w:hAnsi="宋体" w:cs="宋体"/>
                <w:color w:val="auto"/>
                <w:kern w:val="0"/>
                <w:sz w:val="21"/>
                <w:szCs w:val="21"/>
                <w:highlight w:val="none"/>
              </w:rPr>
            </w:pPr>
            <w:r>
              <w:rPr>
                <w:rFonts w:hint="eastAsia" w:ascii="宋体" w:hAnsi="宋体" w:cs="宋体"/>
                <w:color w:val="auto"/>
                <w:kern w:val="0"/>
                <w:sz w:val="21"/>
                <w:szCs w:val="21"/>
                <w:highlight w:val="none"/>
              </w:rPr>
              <w:t>有效性审查</w:t>
            </w:r>
          </w:p>
        </w:tc>
        <w:tc>
          <w:tcPr>
            <w:tcW w:w="1984" w:type="dxa"/>
            <w:vAlign w:val="center"/>
          </w:tcPr>
          <w:p>
            <w:pPr>
              <w:rPr>
                <w:rFonts w:ascii="宋体" w:hAnsi="宋体" w:cs="宋体"/>
                <w:color w:val="auto"/>
                <w:kern w:val="0"/>
                <w:sz w:val="21"/>
                <w:szCs w:val="21"/>
                <w:highlight w:val="none"/>
              </w:rPr>
            </w:pPr>
            <w:r>
              <w:rPr>
                <w:rFonts w:hint="eastAsia" w:ascii="宋体" w:hAnsi="宋体" w:cs="宋体"/>
                <w:color w:val="auto"/>
                <w:sz w:val="21"/>
                <w:szCs w:val="21"/>
                <w:highlight w:val="none"/>
              </w:rPr>
              <w:t>响应文件签署</w:t>
            </w:r>
          </w:p>
        </w:tc>
        <w:tc>
          <w:tcPr>
            <w:tcW w:w="5409" w:type="dxa"/>
            <w:vAlign w:val="center"/>
          </w:tcPr>
          <w:p>
            <w:pPr>
              <w:rPr>
                <w:rFonts w:ascii="宋体" w:hAnsi="宋体" w:cs="宋体"/>
                <w:color w:val="auto"/>
                <w:kern w:val="0"/>
                <w:sz w:val="21"/>
                <w:szCs w:val="21"/>
                <w:highlight w:val="none"/>
              </w:rPr>
            </w:pPr>
            <w:r>
              <w:rPr>
                <w:rFonts w:hint="eastAsia" w:ascii="宋体" w:hAnsi="宋体" w:cs="宋体"/>
                <w:color w:val="auto"/>
                <w:sz w:val="21"/>
                <w:szCs w:val="21"/>
                <w:highlight w:val="none"/>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75" w:type="dxa"/>
            <w:vMerge w:val="continue"/>
            <w:vAlign w:val="center"/>
          </w:tcPr>
          <w:p>
            <w:pPr>
              <w:jc w:val="center"/>
              <w:rPr>
                <w:rFonts w:ascii="宋体" w:hAnsi="宋体" w:cs="宋体"/>
                <w:color w:val="auto"/>
                <w:kern w:val="0"/>
                <w:sz w:val="21"/>
                <w:szCs w:val="21"/>
                <w:highlight w:val="none"/>
              </w:rPr>
            </w:pPr>
          </w:p>
        </w:tc>
        <w:tc>
          <w:tcPr>
            <w:tcW w:w="1560" w:type="dxa"/>
            <w:vMerge w:val="continue"/>
            <w:vAlign w:val="center"/>
          </w:tcPr>
          <w:p>
            <w:pPr>
              <w:rPr>
                <w:rFonts w:ascii="宋体" w:hAnsi="宋体" w:cs="宋体"/>
                <w:color w:val="auto"/>
                <w:kern w:val="0"/>
                <w:sz w:val="21"/>
                <w:szCs w:val="21"/>
                <w:highlight w:val="none"/>
              </w:rPr>
            </w:pPr>
          </w:p>
        </w:tc>
        <w:tc>
          <w:tcPr>
            <w:tcW w:w="1984"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法定代表人身份证明及授权委托书</w:t>
            </w:r>
          </w:p>
        </w:tc>
        <w:tc>
          <w:tcPr>
            <w:tcW w:w="5409"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法定代表人身份证明及授权委托书有效，符合</w:t>
            </w:r>
            <w:r>
              <w:rPr>
                <w:rFonts w:hint="eastAsia" w:ascii="宋体" w:hAnsi="宋体" w:cs="宋体"/>
                <w:color w:val="auto"/>
                <w:sz w:val="21"/>
                <w:szCs w:val="21"/>
                <w:highlight w:val="none"/>
                <w:lang w:eastAsia="zh-CN"/>
              </w:rPr>
              <w:t>磋商</w:t>
            </w:r>
            <w:r>
              <w:rPr>
                <w:rFonts w:hint="eastAsia" w:ascii="宋体" w:hAnsi="宋体" w:cs="宋体"/>
                <w:color w:val="auto"/>
                <w:sz w:val="21"/>
                <w:szCs w:val="21"/>
                <w:highlight w:val="none"/>
              </w:rPr>
              <w:t>采购文件规定的格式，签字或盖章齐全。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75" w:type="dxa"/>
            <w:vMerge w:val="continue"/>
            <w:vAlign w:val="center"/>
          </w:tcPr>
          <w:p>
            <w:pPr>
              <w:jc w:val="center"/>
              <w:rPr>
                <w:rFonts w:ascii="宋体" w:hAnsi="宋体" w:cs="宋体"/>
                <w:color w:val="auto"/>
                <w:kern w:val="0"/>
                <w:sz w:val="21"/>
                <w:szCs w:val="21"/>
                <w:highlight w:val="none"/>
              </w:rPr>
            </w:pPr>
          </w:p>
        </w:tc>
        <w:tc>
          <w:tcPr>
            <w:tcW w:w="1560" w:type="dxa"/>
            <w:vMerge w:val="continue"/>
            <w:vAlign w:val="center"/>
          </w:tcPr>
          <w:p>
            <w:pPr>
              <w:rPr>
                <w:rFonts w:ascii="宋体" w:hAnsi="宋体" w:cs="宋体"/>
                <w:color w:val="auto"/>
                <w:kern w:val="0"/>
                <w:sz w:val="21"/>
                <w:szCs w:val="21"/>
                <w:highlight w:val="none"/>
              </w:rPr>
            </w:pPr>
          </w:p>
        </w:tc>
        <w:tc>
          <w:tcPr>
            <w:tcW w:w="1984" w:type="dxa"/>
            <w:vAlign w:val="center"/>
          </w:tcPr>
          <w:p>
            <w:pPr>
              <w:rPr>
                <w:rFonts w:ascii="宋体" w:hAnsi="宋体" w:cs="宋体"/>
                <w:color w:val="auto"/>
                <w:sz w:val="21"/>
                <w:szCs w:val="21"/>
                <w:highlight w:val="none"/>
                <w:lang w:val="zh-CN"/>
              </w:rPr>
            </w:pPr>
            <w:r>
              <w:rPr>
                <w:rFonts w:hint="eastAsia" w:ascii="宋体" w:hAnsi="宋体" w:cs="宋体"/>
                <w:color w:val="auto"/>
                <w:sz w:val="21"/>
                <w:szCs w:val="21"/>
                <w:highlight w:val="none"/>
              </w:rPr>
              <w:t>响应</w:t>
            </w:r>
            <w:r>
              <w:rPr>
                <w:rFonts w:hint="eastAsia" w:ascii="宋体" w:hAnsi="宋体" w:cs="宋体"/>
                <w:color w:val="auto"/>
                <w:sz w:val="21"/>
                <w:szCs w:val="21"/>
                <w:highlight w:val="none"/>
                <w:lang w:val="zh-CN"/>
              </w:rPr>
              <w:t>方案</w:t>
            </w:r>
          </w:p>
        </w:tc>
        <w:tc>
          <w:tcPr>
            <w:tcW w:w="5409" w:type="dxa"/>
            <w:vAlign w:val="center"/>
          </w:tcPr>
          <w:p>
            <w:pPr>
              <w:rPr>
                <w:rFonts w:ascii="宋体" w:hAnsi="宋体" w:cs="宋体"/>
                <w:color w:val="auto"/>
                <w:kern w:val="0"/>
                <w:sz w:val="21"/>
                <w:szCs w:val="21"/>
                <w:highlight w:val="none"/>
              </w:rPr>
            </w:pPr>
            <w:r>
              <w:rPr>
                <w:rFonts w:hint="eastAsia" w:ascii="宋体" w:hAnsi="宋体" w:cs="宋体"/>
                <w:color w:val="auto"/>
                <w:sz w:val="21"/>
                <w:szCs w:val="21"/>
                <w:highlight w:val="none"/>
                <w:lang w:val="zh-CN"/>
              </w:rPr>
              <w:t>每个分包只能有一个</w:t>
            </w:r>
            <w:r>
              <w:rPr>
                <w:rFonts w:hint="eastAsia" w:ascii="宋体" w:hAnsi="宋体" w:cs="宋体"/>
                <w:color w:val="auto"/>
                <w:sz w:val="21"/>
                <w:szCs w:val="21"/>
                <w:highlight w:val="none"/>
              </w:rPr>
              <w:t>响应</w:t>
            </w:r>
            <w:r>
              <w:rPr>
                <w:rFonts w:hint="eastAsia" w:ascii="宋体" w:hAnsi="宋体" w:cs="宋体"/>
                <w:color w:val="auto"/>
                <w:sz w:val="21"/>
                <w:szCs w:val="21"/>
                <w:highlight w:val="none"/>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vAlign w:val="center"/>
          </w:tcPr>
          <w:p>
            <w:pPr>
              <w:jc w:val="center"/>
              <w:rPr>
                <w:rFonts w:ascii="宋体" w:hAnsi="宋体" w:cs="宋体"/>
                <w:color w:val="auto"/>
                <w:kern w:val="0"/>
                <w:sz w:val="21"/>
                <w:szCs w:val="21"/>
                <w:highlight w:val="none"/>
              </w:rPr>
            </w:pPr>
          </w:p>
        </w:tc>
        <w:tc>
          <w:tcPr>
            <w:tcW w:w="1560" w:type="dxa"/>
            <w:vMerge w:val="continue"/>
            <w:vAlign w:val="center"/>
          </w:tcPr>
          <w:p>
            <w:pPr>
              <w:rPr>
                <w:rFonts w:ascii="宋体" w:hAnsi="宋体" w:cs="宋体"/>
                <w:color w:val="auto"/>
                <w:kern w:val="0"/>
                <w:sz w:val="21"/>
                <w:szCs w:val="21"/>
                <w:highlight w:val="none"/>
              </w:rPr>
            </w:pPr>
          </w:p>
        </w:tc>
        <w:tc>
          <w:tcPr>
            <w:tcW w:w="1984" w:type="dxa"/>
            <w:vAlign w:val="center"/>
          </w:tcPr>
          <w:p>
            <w:pPr>
              <w:rPr>
                <w:rFonts w:ascii="宋体" w:hAnsi="宋体" w:cs="宋体"/>
                <w:color w:val="auto"/>
                <w:sz w:val="21"/>
                <w:szCs w:val="21"/>
                <w:highlight w:val="none"/>
                <w:lang w:val="zh-CN"/>
              </w:rPr>
            </w:pPr>
            <w:r>
              <w:rPr>
                <w:rFonts w:hint="eastAsia" w:ascii="宋体" w:hAnsi="宋体" w:cs="宋体"/>
                <w:color w:val="auto"/>
                <w:sz w:val="21"/>
                <w:szCs w:val="21"/>
                <w:highlight w:val="none"/>
              </w:rPr>
              <w:t>报价唯一</w:t>
            </w:r>
          </w:p>
        </w:tc>
        <w:tc>
          <w:tcPr>
            <w:tcW w:w="5409" w:type="dxa"/>
            <w:vAlign w:val="center"/>
          </w:tcPr>
          <w:p>
            <w:pPr>
              <w:rPr>
                <w:rFonts w:ascii="宋体" w:hAnsi="宋体" w:cs="宋体"/>
                <w:color w:val="auto"/>
                <w:kern w:val="0"/>
                <w:sz w:val="21"/>
                <w:szCs w:val="21"/>
                <w:highlight w:val="none"/>
              </w:rPr>
            </w:pPr>
            <w:r>
              <w:rPr>
                <w:rFonts w:hint="eastAsia" w:ascii="宋体" w:hAnsi="宋体" w:cs="宋体"/>
                <w:color w:val="auto"/>
                <w:sz w:val="21"/>
                <w:szCs w:val="21"/>
                <w:highlight w:val="none"/>
                <w:lang w:val="zh-CN"/>
              </w:rPr>
              <w:t>只能在采购预算范围内报价，</w:t>
            </w:r>
            <w:r>
              <w:rPr>
                <w:rFonts w:hint="eastAsia" w:ascii="宋体" w:hAnsi="宋体" w:cs="宋体"/>
                <w:color w:val="auto"/>
                <w:sz w:val="21"/>
                <w:szCs w:val="21"/>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675" w:type="dxa"/>
            <w:vMerge w:val="restart"/>
            <w:vAlign w:val="center"/>
          </w:tcPr>
          <w:p>
            <w:pPr>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c>
          <w:tcPr>
            <w:tcW w:w="1560" w:type="dxa"/>
            <w:vMerge w:val="restart"/>
            <w:vAlign w:val="center"/>
          </w:tcPr>
          <w:p>
            <w:pPr>
              <w:rPr>
                <w:rFonts w:ascii="宋体" w:hAnsi="宋体" w:cs="宋体"/>
                <w:color w:val="auto"/>
                <w:kern w:val="0"/>
                <w:sz w:val="21"/>
                <w:szCs w:val="21"/>
                <w:highlight w:val="none"/>
              </w:rPr>
            </w:pPr>
            <w:r>
              <w:rPr>
                <w:rFonts w:hint="eastAsia" w:ascii="宋体" w:hAnsi="宋体" w:cs="宋体"/>
                <w:color w:val="auto"/>
                <w:kern w:val="0"/>
                <w:sz w:val="21"/>
                <w:szCs w:val="21"/>
                <w:highlight w:val="none"/>
              </w:rPr>
              <w:t>完整性审查</w:t>
            </w:r>
          </w:p>
        </w:tc>
        <w:tc>
          <w:tcPr>
            <w:tcW w:w="1984" w:type="dxa"/>
            <w:vAlign w:val="center"/>
          </w:tcPr>
          <w:p>
            <w:pPr>
              <w:rPr>
                <w:rFonts w:ascii="宋体" w:hAnsi="宋体" w:cs="宋体"/>
                <w:color w:val="auto"/>
                <w:kern w:val="0"/>
                <w:sz w:val="21"/>
                <w:szCs w:val="21"/>
                <w:highlight w:val="none"/>
              </w:rPr>
            </w:pPr>
            <w:r>
              <w:rPr>
                <w:rFonts w:hint="eastAsia" w:ascii="宋体" w:hAnsi="宋体" w:cs="宋体"/>
                <w:color w:val="auto"/>
                <w:sz w:val="21"/>
                <w:szCs w:val="21"/>
                <w:highlight w:val="none"/>
              </w:rPr>
              <w:t>响应</w:t>
            </w:r>
            <w:r>
              <w:rPr>
                <w:rFonts w:hint="eastAsia" w:ascii="宋体" w:hAnsi="宋体" w:cs="宋体"/>
                <w:color w:val="auto"/>
                <w:sz w:val="21"/>
                <w:szCs w:val="21"/>
                <w:highlight w:val="none"/>
                <w:lang w:val="zh-CN"/>
              </w:rPr>
              <w:t>文件份数</w:t>
            </w:r>
          </w:p>
        </w:tc>
        <w:tc>
          <w:tcPr>
            <w:tcW w:w="5409" w:type="dxa"/>
            <w:vAlign w:val="center"/>
          </w:tcPr>
          <w:p>
            <w:pPr>
              <w:rPr>
                <w:rFonts w:ascii="宋体" w:hAnsi="宋体" w:cs="宋体"/>
                <w:color w:val="auto"/>
                <w:kern w:val="0"/>
                <w:sz w:val="21"/>
                <w:szCs w:val="21"/>
                <w:highlight w:val="none"/>
              </w:rPr>
            </w:pPr>
            <w:r>
              <w:rPr>
                <w:rFonts w:hint="eastAsia" w:ascii="宋体" w:hAnsi="宋体" w:cs="宋体"/>
                <w:color w:val="auto"/>
                <w:sz w:val="21"/>
                <w:szCs w:val="21"/>
                <w:highlight w:val="none"/>
              </w:rPr>
              <w:t>响应</w:t>
            </w:r>
            <w:r>
              <w:rPr>
                <w:rFonts w:hint="eastAsia" w:ascii="宋体" w:hAnsi="宋体" w:cs="宋体"/>
                <w:color w:val="auto"/>
                <w:sz w:val="21"/>
                <w:szCs w:val="21"/>
                <w:highlight w:val="none"/>
                <w:lang w:val="zh-CN"/>
              </w:rPr>
              <w:t>文件正、副本数量符合磋商采购文件要求。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675" w:type="dxa"/>
            <w:vMerge w:val="continue"/>
            <w:vAlign w:val="center"/>
          </w:tcPr>
          <w:p>
            <w:pPr>
              <w:jc w:val="center"/>
              <w:rPr>
                <w:rFonts w:ascii="宋体" w:hAnsi="宋体" w:cs="宋体"/>
                <w:color w:val="auto"/>
                <w:kern w:val="0"/>
                <w:sz w:val="21"/>
                <w:szCs w:val="21"/>
                <w:highlight w:val="none"/>
              </w:rPr>
            </w:pPr>
          </w:p>
        </w:tc>
        <w:tc>
          <w:tcPr>
            <w:tcW w:w="1560" w:type="dxa"/>
            <w:vMerge w:val="continue"/>
            <w:vAlign w:val="center"/>
          </w:tcPr>
          <w:p>
            <w:pPr>
              <w:rPr>
                <w:rFonts w:ascii="宋体" w:hAnsi="宋体" w:cs="宋体"/>
                <w:color w:val="auto"/>
                <w:kern w:val="0"/>
                <w:sz w:val="21"/>
                <w:szCs w:val="21"/>
                <w:highlight w:val="none"/>
              </w:rPr>
            </w:pPr>
          </w:p>
        </w:tc>
        <w:tc>
          <w:tcPr>
            <w:tcW w:w="1984" w:type="dxa"/>
            <w:vAlign w:val="center"/>
          </w:tcPr>
          <w:p>
            <w:pPr>
              <w:rPr>
                <w:rFonts w:ascii="宋体" w:hAnsi="宋体" w:cs="宋体"/>
                <w:color w:val="auto"/>
                <w:sz w:val="21"/>
                <w:szCs w:val="21"/>
                <w:highlight w:val="none"/>
                <w:lang w:val="zh-CN"/>
              </w:rPr>
            </w:pPr>
            <w:r>
              <w:rPr>
                <w:rFonts w:hint="eastAsia" w:ascii="宋体" w:hAnsi="宋体" w:cs="宋体"/>
                <w:color w:val="auto"/>
                <w:sz w:val="21"/>
                <w:szCs w:val="21"/>
                <w:highlight w:val="none"/>
              </w:rPr>
              <w:t>响应</w:t>
            </w:r>
            <w:r>
              <w:rPr>
                <w:rFonts w:hint="eastAsia" w:ascii="宋体" w:hAnsi="宋体" w:cs="宋体"/>
                <w:color w:val="auto"/>
                <w:sz w:val="21"/>
                <w:szCs w:val="21"/>
                <w:highlight w:val="none"/>
                <w:lang w:val="zh-CN"/>
              </w:rPr>
              <w:t>文件内容</w:t>
            </w:r>
          </w:p>
        </w:tc>
        <w:tc>
          <w:tcPr>
            <w:tcW w:w="5409" w:type="dxa"/>
            <w:vAlign w:val="center"/>
          </w:tcPr>
          <w:p>
            <w:pPr>
              <w:rPr>
                <w:rFonts w:ascii="宋体" w:hAnsi="宋体" w:cs="宋体"/>
                <w:color w:val="auto"/>
                <w:sz w:val="21"/>
                <w:szCs w:val="21"/>
                <w:highlight w:val="none"/>
                <w:lang w:val="zh-CN"/>
              </w:rPr>
            </w:pPr>
            <w:r>
              <w:rPr>
                <w:rFonts w:hint="eastAsia" w:ascii="宋体" w:hAnsi="宋体" w:cs="宋体"/>
                <w:color w:val="auto"/>
                <w:sz w:val="21"/>
                <w:szCs w:val="21"/>
                <w:highlight w:val="none"/>
              </w:rPr>
              <w:t>响应</w:t>
            </w:r>
            <w:r>
              <w:rPr>
                <w:rFonts w:hint="eastAsia" w:ascii="宋体" w:hAnsi="宋体" w:cs="宋体"/>
                <w:color w:val="auto"/>
                <w:sz w:val="21"/>
                <w:szCs w:val="21"/>
                <w:highlight w:val="none"/>
                <w:lang w:val="zh-CN"/>
              </w:rPr>
              <w:t>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675" w:type="dxa"/>
            <w:vMerge w:val="restart"/>
            <w:vAlign w:val="center"/>
          </w:tcPr>
          <w:p>
            <w:pPr>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3</w:t>
            </w:r>
          </w:p>
        </w:tc>
        <w:tc>
          <w:tcPr>
            <w:tcW w:w="1560" w:type="dxa"/>
            <w:vMerge w:val="restart"/>
            <w:vAlign w:val="center"/>
          </w:tcPr>
          <w:p>
            <w:pPr>
              <w:rPr>
                <w:rFonts w:ascii="宋体" w:hAnsi="宋体" w:cs="宋体"/>
                <w:color w:val="auto"/>
                <w:sz w:val="21"/>
                <w:szCs w:val="21"/>
                <w:highlight w:val="none"/>
                <w:lang w:val="zh-CN"/>
              </w:rPr>
            </w:pPr>
            <w:r>
              <w:rPr>
                <w:rFonts w:hint="eastAsia" w:ascii="宋体" w:hAnsi="宋体" w:cs="宋体"/>
                <w:color w:val="auto"/>
                <w:kern w:val="0"/>
                <w:sz w:val="21"/>
                <w:szCs w:val="21"/>
                <w:highlight w:val="none"/>
                <w:lang w:eastAsia="zh-CN"/>
              </w:rPr>
              <w:t>磋商</w:t>
            </w:r>
            <w:r>
              <w:rPr>
                <w:rFonts w:ascii="宋体" w:hAnsi="宋体" w:cs="宋体"/>
                <w:color w:val="auto"/>
                <w:kern w:val="0"/>
                <w:sz w:val="21"/>
                <w:szCs w:val="21"/>
                <w:highlight w:val="none"/>
              </w:rPr>
              <w:t>采购</w:t>
            </w:r>
            <w:r>
              <w:rPr>
                <w:rFonts w:hint="eastAsia" w:ascii="宋体" w:hAnsi="宋体" w:cs="宋体"/>
                <w:color w:val="auto"/>
                <w:kern w:val="0"/>
                <w:sz w:val="21"/>
                <w:szCs w:val="21"/>
                <w:highlight w:val="none"/>
              </w:rPr>
              <w:t>文件的响应程度审查</w:t>
            </w:r>
          </w:p>
        </w:tc>
        <w:tc>
          <w:tcPr>
            <w:tcW w:w="1984" w:type="dxa"/>
            <w:vAlign w:val="center"/>
          </w:tcPr>
          <w:p>
            <w:pPr>
              <w:rPr>
                <w:rFonts w:ascii="宋体" w:hAnsi="宋体" w:cs="宋体"/>
                <w:color w:val="auto"/>
                <w:kern w:val="0"/>
                <w:sz w:val="21"/>
                <w:szCs w:val="21"/>
                <w:highlight w:val="none"/>
              </w:rPr>
            </w:pPr>
            <w:r>
              <w:rPr>
                <w:rFonts w:hint="eastAsia" w:ascii="宋体" w:hAnsi="宋体" w:cs="宋体"/>
                <w:color w:val="auto"/>
                <w:kern w:val="0"/>
                <w:sz w:val="21"/>
                <w:szCs w:val="21"/>
                <w:highlight w:val="none"/>
              </w:rPr>
              <w:t>响应文件内容</w:t>
            </w:r>
          </w:p>
        </w:tc>
        <w:tc>
          <w:tcPr>
            <w:tcW w:w="5409" w:type="dxa"/>
            <w:vAlign w:val="center"/>
          </w:tcPr>
          <w:p>
            <w:pPr>
              <w:pStyle w:val="7"/>
              <w:rPr>
                <w:rFonts w:ascii="宋体" w:hAnsi="宋体" w:cs="宋体"/>
                <w:color w:val="auto"/>
                <w:kern w:val="0"/>
                <w:sz w:val="21"/>
                <w:szCs w:val="21"/>
                <w:highlight w:val="none"/>
              </w:rPr>
            </w:pPr>
            <w:r>
              <w:rPr>
                <w:rFonts w:hint="eastAsia" w:ascii="宋体" w:hAnsi="宋体" w:cs="宋体"/>
                <w:color w:val="auto"/>
                <w:kern w:val="0"/>
                <w:sz w:val="21"/>
                <w:szCs w:val="21"/>
                <w:highlight w:val="none"/>
              </w:rPr>
              <w:t>满足对</w:t>
            </w:r>
            <w:r>
              <w:rPr>
                <w:rFonts w:hint="eastAsia" w:ascii="宋体" w:hAnsi="宋体" w:cs="宋体"/>
                <w:color w:val="auto"/>
                <w:kern w:val="0"/>
                <w:sz w:val="21"/>
                <w:szCs w:val="21"/>
                <w:highlight w:val="none"/>
                <w:lang w:eastAsia="zh-CN"/>
              </w:rPr>
              <w:t>磋商</w:t>
            </w:r>
            <w:r>
              <w:rPr>
                <w:rFonts w:hint="eastAsia" w:ascii="宋体" w:hAnsi="宋体" w:cs="宋体"/>
                <w:color w:val="auto"/>
                <w:kern w:val="0"/>
                <w:sz w:val="21"/>
                <w:szCs w:val="21"/>
                <w:highlight w:val="none"/>
              </w:rPr>
              <w:t>采购文件第二、三篇规定的</w:t>
            </w:r>
            <w:r>
              <w:rPr>
                <w:rFonts w:hint="eastAsia" w:ascii="宋体" w:hAnsi="宋体" w:cs="宋体"/>
                <w:color w:val="auto"/>
                <w:kern w:val="0"/>
                <w:sz w:val="21"/>
                <w:szCs w:val="21"/>
                <w:highlight w:val="none"/>
                <w:lang w:eastAsia="zh-CN"/>
              </w:rPr>
              <w:t>磋商</w:t>
            </w:r>
            <w:r>
              <w:rPr>
                <w:rFonts w:hint="eastAsia" w:ascii="宋体" w:hAnsi="宋体" w:cs="宋体"/>
                <w:color w:val="auto"/>
                <w:kern w:val="0"/>
                <w:sz w:val="21"/>
                <w:szCs w:val="21"/>
                <w:highlight w:val="none"/>
              </w:rPr>
              <w:t>内容，并作出响应。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5" w:type="dxa"/>
            <w:vMerge w:val="continue"/>
            <w:vAlign w:val="center"/>
          </w:tcPr>
          <w:p>
            <w:pPr>
              <w:jc w:val="center"/>
              <w:rPr>
                <w:rFonts w:ascii="宋体" w:hAnsi="宋体" w:cs="宋体"/>
                <w:color w:val="auto"/>
                <w:kern w:val="0"/>
                <w:sz w:val="21"/>
                <w:szCs w:val="21"/>
                <w:highlight w:val="none"/>
              </w:rPr>
            </w:pPr>
          </w:p>
        </w:tc>
        <w:tc>
          <w:tcPr>
            <w:tcW w:w="1560" w:type="dxa"/>
            <w:vMerge w:val="continue"/>
            <w:vAlign w:val="center"/>
          </w:tcPr>
          <w:p>
            <w:pPr>
              <w:rPr>
                <w:rFonts w:ascii="宋体" w:hAnsi="宋体" w:cs="宋体"/>
                <w:color w:val="auto"/>
                <w:sz w:val="21"/>
                <w:szCs w:val="21"/>
                <w:highlight w:val="none"/>
                <w:lang w:val="zh-CN"/>
              </w:rPr>
            </w:pPr>
          </w:p>
        </w:tc>
        <w:tc>
          <w:tcPr>
            <w:tcW w:w="1984" w:type="dxa"/>
            <w:vAlign w:val="center"/>
          </w:tcPr>
          <w:p>
            <w:pPr>
              <w:rPr>
                <w:rFonts w:ascii="宋体" w:hAnsi="宋体" w:cs="宋体"/>
                <w:color w:val="auto"/>
                <w:kern w:val="0"/>
                <w:sz w:val="21"/>
                <w:szCs w:val="21"/>
                <w:highlight w:val="none"/>
              </w:rPr>
            </w:pPr>
            <w:r>
              <w:rPr>
                <w:rFonts w:hint="eastAsia" w:ascii="宋体" w:hAnsi="宋体" w:cs="宋体"/>
                <w:color w:val="auto"/>
                <w:kern w:val="0"/>
                <w:sz w:val="21"/>
                <w:szCs w:val="21"/>
                <w:highlight w:val="none"/>
                <w:lang w:eastAsia="zh-CN"/>
              </w:rPr>
              <w:t>磋商</w:t>
            </w:r>
            <w:r>
              <w:rPr>
                <w:rFonts w:hint="eastAsia" w:ascii="宋体" w:hAnsi="宋体" w:cs="宋体"/>
                <w:color w:val="auto"/>
                <w:kern w:val="0"/>
                <w:sz w:val="21"/>
                <w:szCs w:val="21"/>
                <w:highlight w:val="none"/>
              </w:rPr>
              <w:t>有效期</w:t>
            </w:r>
          </w:p>
        </w:tc>
        <w:tc>
          <w:tcPr>
            <w:tcW w:w="5409" w:type="dxa"/>
            <w:vAlign w:val="center"/>
          </w:tcPr>
          <w:p>
            <w:pPr>
              <w:rPr>
                <w:rFonts w:ascii="宋体" w:hAnsi="宋体" w:cs="宋体"/>
                <w:color w:val="auto"/>
                <w:kern w:val="0"/>
                <w:sz w:val="21"/>
                <w:szCs w:val="21"/>
                <w:highlight w:val="none"/>
              </w:rPr>
            </w:pPr>
            <w:r>
              <w:rPr>
                <w:rFonts w:hint="eastAsia" w:ascii="宋体" w:hAnsi="宋体" w:cs="宋体"/>
                <w:color w:val="auto"/>
                <w:kern w:val="0"/>
                <w:sz w:val="21"/>
                <w:szCs w:val="21"/>
                <w:highlight w:val="none"/>
              </w:rPr>
              <w:t>满足</w:t>
            </w:r>
            <w:r>
              <w:rPr>
                <w:rFonts w:hint="eastAsia" w:ascii="宋体" w:hAnsi="宋体" w:cs="宋体"/>
                <w:color w:val="auto"/>
                <w:kern w:val="0"/>
                <w:sz w:val="21"/>
                <w:szCs w:val="21"/>
                <w:highlight w:val="none"/>
                <w:lang w:eastAsia="zh-CN"/>
              </w:rPr>
              <w:t>磋商</w:t>
            </w:r>
            <w:r>
              <w:rPr>
                <w:rFonts w:hint="eastAsia" w:ascii="宋体" w:hAnsi="宋体" w:cs="宋体"/>
                <w:color w:val="auto"/>
                <w:kern w:val="0"/>
                <w:sz w:val="21"/>
                <w:szCs w:val="21"/>
                <w:highlight w:val="none"/>
              </w:rPr>
              <w:t>文件</w:t>
            </w:r>
            <w:r>
              <w:rPr>
                <w:rFonts w:hint="eastAsia" w:ascii="宋体" w:hAnsi="宋体" w:cs="宋体"/>
                <w:color w:val="auto"/>
                <w:sz w:val="21"/>
                <w:szCs w:val="21"/>
                <w:highlight w:val="none"/>
                <w:lang w:val="zh-CN"/>
              </w:rPr>
              <w:t>规定。</w:t>
            </w:r>
          </w:p>
        </w:tc>
      </w:tr>
    </w:tbl>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（三）澄清有关问题。</w:t>
      </w:r>
      <w:r>
        <w:rPr>
          <w:rFonts w:hint="eastAsia" w:ascii="宋体" w:hAnsi="宋体" w:cs="宋体"/>
          <w:color w:val="auto"/>
          <w:sz w:val="24"/>
          <w:szCs w:val="24"/>
          <w:highlight w:val="none"/>
          <w:lang w:eastAsia="zh-CN"/>
        </w:rPr>
        <w:t>磋商</w:t>
      </w:r>
      <w:r>
        <w:rPr>
          <w:rFonts w:hint="eastAsia" w:ascii="宋体" w:hAnsi="宋体" w:cs="宋体"/>
          <w:color w:val="auto"/>
          <w:sz w:val="24"/>
          <w:szCs w:val="24"/>
          <w:highlight w:val="none"/>
        </w:rPr>
        <w:t>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w:t>
      </w:r>
      <w:r>
        <w:rPr>
          <w:rFonts w:hint="eastAsia" w:ascii="宋体" w:hAnsi="宋体" w:cs="宋体"/>
          <w:color w:val="auto"/>
          <w:sz w:val="24"/>
          <w:szCs w:val="24"/>
          <w:highlight w:val="none"/>
          <w:lang w:eastAsia="zh-CN"/>
        </w:rPr>
        <w:t>磋商</w:t>
      </w:r>
      <w:r>
        <w:rPr>
          <w:rFonts w:hint="eastAsia" w:ascii="宋体" w:hAnsi="宋体" w:cs="宋体"/>
          <w:color w:val="auto"/>
          <w:sz w:val="24"/>
          <w:szCs w:val="24"/>
          <w:highlight w:val="none"/>
        </w:rPr>
        <w:t>小组要求供应商澄清、说明或者更正响应文件应当以书面形式作出。供应商的澄清、说明或者更正应当由法定代表人或其授权代表签字或者加盖公章。由授权代表签字的，应当附法定代表人授权书。</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（五）在</w:t>
      </w:r>
      <w:r>
        <w:rPr>
          <w:rFonts w:hint="eastAsia" w:ascii="宋体" w:hAnsi="宋体" w:cs="宋体"/>
          <w:color w:val="auto"/>
          <w:sz w:val="24"/>
          <w:szCs w:val="24"/>
          <w:highlight w:val="none"/>
          <w:lang w:eastAsia="zh-CN"/>
        </w:rPr>
        <w:t>磋商</w:t>
      </w:r>
      <w:r>
        <w:rPr>
          <w:rFonts w:hint="eastAsia" w:ascii="宋体" w:hAnsi="宋体" w:cs="宋体"/>
          <w:color w:val="auto"/>
          <w:sz w:val="24"/>
          <w:szCs w:val="24"/>
          <w:highlight w:val="none"/>
        </w:rPr>
        <w:t>过程中</w:t>
      </w:r>
      <w:r>
        <w:rPr>
          <w:rFonts w:hint="eastAsia" w:ascii="宋体" w:hAnsi="宋体" w:cs="宋体"/>
          <w:color w:val="auto"/>
          <w:sz w:val="24"/>
          <w:szCs w:val="24"/>
          <w:highlight w:val="none"/>
          <w:lang w:eastAsia="zh-CN"/>
        </w:rPr>
        <w:t>磋商</w:t>
      </w:r>
      <w:r>
        <w:rPr>
          <w:rFonts w:hint="eastAsia" w:ascii="宋体" w:hAnsi="宋体" w:cs="宋体"/>
          <w:color w:val="auto"/>
          <w:sz w:val="24"/>
          <w:szCs w:val="24"/>
          <w:highlight w:val="none"/>
        </w:rPr>
        <w:t>的任何一方不得向他人透露与</w:t>
      </w:r>
      <w:r>
        <w:rPr>
          <w:rFonts w:hint="eastAsia" w:ascii="宋体" w:hAnsi="宋体" w:cs="宋体"/>
          <w:color w:val="auto"/>
          <w:sz w:val="24"/>
          <w:szCs w:val="24"/>
          <w:highlight w:val="none"/>
          <w:lang w:eastAsia="zh-CN"/>
        </w:rPr>
        <w:t>磋商</w:t>
      </w:r>
      <w:r>
        <w:rPr>
          <w:rFonts w:hint="eastAsia" w:ascii="宋体" w:hAnsi="宋体" w:cs="宋体"/>
          <w:color w:val="auto"/>
          <w:sz w:val="24"/>
          <w:szCs w:val="24"/>
          <w:highlight w:val="none"/>
        </w:rPr>
        <w:t>有关的技术资料、价格或其他信息。</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（六）在</w:t>
      </w:r>
      <w:r>
        <w:rPr>
          <w:rFonts w:hint="eastAsia" w:ascii="宋体" w:hAnsi="宋体" w:cs="宋体"/>
          <w:color w:val="auto"/>
          <w:sz w:val="24"/>
          <w:szCs w:val="24"/>
          <w:highlight w:val="none"/>
          <w:lang w:eastAsia="zh-CN"/>
        </w:rPr>
        <w:t>磋商</w:t>
      </w:r>
      <w:r>
        <w:rPr>
          <w:rFonts w:hint="eastAsia" w:ascii="宋体" w:hAnsi="宋体" w:cs="宋体"/>
          <w:color w:val="auto"/>
          <w:sz w:val="24"/>
          <w:szCs w:val="24"/>
          <w:highlight w:val="none"/>
        </w:rPr>
        <w:t>过程中，</w:t>
      </w:r>
      <w:r>
        <w:rPr>
          <w:rFonts w:hint="eastAsia" w:ascii="宋体" w:hAnsi="宋体" w:cs="宋体"/>
          <w:color w:val="auto"/>
          <w:sz w:val="24"/>
          <w:szCs w:val="24"/>
          <w:highlight w:val="none"/>
          <w:lang w:eastAsia="zh-CN"/>
        </w:rPr>
        <w:t>磋商</w:t>
      </w:r>
      <w:r>
        <w:rPr>
          <w:rFonts w:hint="eastAsia" w:ascii="宋体" w:hAnsi="宋体" w:cs="宋体"/>
          <w:color w:val="auto"/>
          <w:sz w:val="24"/>
          <w:szCs w:val="24"/>
          <w:highlight w:val="none"/>
        </w:rPr>
        <w:t>小组可以根据竞</w:t>
      </w:r>
      <w:r>
        <w:rPr>
          <w:rFonts w:hint="eastAsia" w:ascii="宋体" w:hAnsi="宋体" w:cs="宋体"/>
          <w:color w:val="auto"/>
          <w:sz w:val="24"/>
          <w:szCs w:val="24"/>
          <w:highlight w:val="none"/>
          <w:lang w:eastAsia="zh-CN"/>
        </w:rPr>
        <w:t>磋商</w:t>
      </w:r>
      <w:r>
        <w:rPr>
          <w:rFonts w:hint="eastAsia" w:ascii="宋体" w:hAnsi="宋体" w:cs="宋体"/>
          <w:color w:val="auto"/>
          <w:sz w:val="24"/>
          <w:szCs w:val="24"/>
          <w:highlight w:val="none"/>
        </w:rPr>
        <w:t>采购文件和</w:t>
      </w:r>
      <w:r>
        <w:rPr>
          <w:rFonts w:hint="eastAsia" w:ascii="宋体" w:hAnsi="宋体" w:cs="宋体"/>
          <w:color w:val="auto"/>
          <w:sz w:val="24"/>
          <w:szCs w:val="24"/>
          <w:highlight w:val="none"/>
          <w:lang w:eastAsia="zh-CN"/>
        </w:rPr>
        <w:t>磋商</w:t>
      </w:r>
      <w:r>
        <w:rPr>
          <w:rFonts w:hint="eastAsia" w:ascii="宋体" w:hAnsi="宋体" w:cs="宋体"/>
          <w:color w:val="auto"/>
          <w:sz w:val="24"/>
          <w:szCs w:val="24"/>
          <w:highlight w:val="none"/>
        </w:rPr>
        <w:t>情况实质性变动采购需求中的技术、服务要求以及合同草案条款，但不得变动</w:t>
      </w:r>
      <w:r>
        <w:rPr>
          <w:rFonts w:hint="eastAsia" w:ascii="宋体" w:hAnsi="宋体" w:cs="宋体"/>
          <w:color w:val="auto"/>
          <w:sz w:val="24"/>
          <w:szCs w:val="24"/>
          <w:highlight w:val="none"/>
          <w:lang w:eastAsia="zh-CN"/>
        </w:rPr>
        <w:t>磋商</w:t>
      </w:r>
      <w:r>
        <w:rPr>
          <w:rFonts w:ascii="宋体" w:hAnsi="宋体" w:cs="宋体"/>
          <w:color w:val="auto"/>
          <w:sz w:val="24"/>
          <w:szCs w:val="24"/>
          <w:highlight w:val="none"/>
        </w:rPr>
        <w:t>采购</w:t>
      </w:r>
      <w:r>
        <w:rPr>
          <w:rFonts w:hint="eastAsia" w:ascii="宋体" w:hAnsi="宋体" w:cs="宋体"/>
          <w:color w:val="auto"/>
          <w:sz w:val="24"/>
          <w:szCs w:val="24"/>
          <w:highlight w:val="none"/>
        </w:rPr>
        <w:t>文件中的其他内容。实质性变动的内容，须经采购人代表确认。对</w:t>
      </w:r>
      <w:r>
        <w:rPr>
          <w:rFonts w:hint="eastAsia" w:ascii="宋体" w:hAnsi="宋体" w:cs="宋体"/>
          <w:color w:val="auto"/>
          <w:sz w:val="24"/>
          <w:szCs w:val="24"/>
          <w:highlight w:val="none"/>
          <w:lang w:eastAsia="zh-CN"/>
        </w:rPr>
        <w:t>磋商</w:t>
      </w:r>
      <w:r>
        <w:rPr>
          <w:rFonts w:ascii="宋体" w:hAnsi="宋体" w:cs="宋体"/>
          <w:color w:val="auto"/>
          <w:sz w:val="24"/>
          <w:szCs w:val="24"/>
          <w:highlight w:val="none"/>
        </w:rPr>
        <w:t>采购</w:t>
      </w:r>
      <w:r>
        <w:rPr>
          <w:rFonts w:hint="eastAsia" w:ascii="宋体" w:hAnsi="宋体" w:cs="宋体"/>
          <w:color w:val="auto"/>
          <w:sz w:val="24"/>
          <w:szCs w:val="24"/>
          <w:highlight w:val="none"/>
        </w:rPr>
        <w:t>文件作出的实质性变动是</w:t>
      </w:r>
      <w:r>
        <w:rPr>
          <w:rFonts w:hint="eastAsia" w:ascii="宋体" w:hAnsi="宋体" w:cs="宋体"/>
          <w:color w:val="auto"/>
          <w:sz w:val="24"/>
          <w:szCs w:val="24"/>
          <w:highlight w:val="none"/>
          <w:lang w:eastAsia="zh-CN"/>
        </w:rPr>
        <w:t>磋商</w:t>
      </w:r>
      <w:r>
        <w:rPr>
          <w:rFonts w:ascii="宋体" w:hAnsi="宋体" w:cs="宋体"/>
          <w:color w:val="auto"/>
          <w:sz w:val="24"/>
          <w:szCs w:val="24"/>
          <w:highlight w:val="none"/>
        </w:rPr>
        <w:t>采购</w:t>
      </w:r>
      <w:r>
        <w:rPr>
          <w:rFonts w:hint="eastAsia" w:ascii="宋体" w:hAnsi="宋体" w:cs="宋体"/>
          <w:color w:val="auto"/>
          <w:sz w:val="24"/>
          <w:szCs w:val="24"/>
          <w:highlight w:val="none"/>
        </w:rPr>
        <w:t>文件的有效组成部分，</w:t>
      </w:r>
      <w:r>
        <w:rPr>
          <w:rFonts w:hint="eastAsia" w:ascii="宋体" w:hAnsi="宋体" w:cs="宋体"/>
          <w:color w:val="auto"/>
          <w:sz w:val="24"/>
          <w:szCs w:val="24"/>
          <w:highlight w:val="none"/>
          <w:lang w:eastAsia="zh-CN"/>
        </w:rPr>
        <w:t>磋商</w:t>
      </w:r>
      <w:r>
        <w:rPr>
          <w:rFonts w:hint="eastAsia" w:ascii="宋体" w:hAnsi="宋体" w:cs="宋体"/>
          <w:color w:val="auto"/>
          <w:sz w:val="24"/>
          <w:szCs w:val="24"/>
          <w:highlight w:val="none"/>
        </w:rPr>
        <w:t>小组应当及时以书面形式同时通知所有参加</w:t>
      </w:r>
      <w:r>
        <w:rPr>
          <w:rFonts w:hint="eastAsia" w:ascii="宋体" w:hAnsi="宋体" w:cs="宋体"/>
          <w:color w:val="auto"/>
          <w:sz w:val="24"/>
          <w:szCs w:val="24"/>
          <w:highlight w:val="none"/>
          <w:lang w:eastAsia="zh-CN"/>
        </w:rPr>
        <w:t>磋商</w:t>
      </w:r>
      <w:r>
        <w:rPr>
          <w:rFonts w:hint="eastAsia" w:ascii="宋体" w:hAnsi="宋体" w:cs="宋体"/>
          <w:color w:val="auto"/>
          <w:sz w:val="24"/>
          <w:szCs w:val="24"/>
          <w:highlight w:val="none"/>
        </w:rPr>
        <w:t>的供应商。</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（七）供应商在</w:t>
      </w:r>
      <w:r>
        <w:rPr>
          <w:rFonts w:hint="eastAsia" w:ascii="宋体" w:hAnsi="宋体" w:cs="宋体"/>
          <w:color w:val="auto"/>
          <w:sz w:val="24"/>
          <w:szCs w:val="24"/>
          <w:highlight w:val="none"/>
          <w:lang w:eastAsia="zh-CN"/>
        </w:rPr>
        <w:t>磋商</w:t>
      </w:r>
      <w:r>
        <w:rPr>
          <w:rFonts w:hint="eastAsia" w:ascii="宋体" w:hAnsi="宋体" w:cs="宋体"/>
          <w:color w:val="auto"/>
          <w:sz w:val="24"/>
          <w:szCs w:val="24"/>
          <w:highlight w:val="none"/>
        </w:rPr>
        <w:t>时作出的所有书面承诺须由法定代表人或其授权代表签字。</w:t>
      </w:r>
    </w:p>
    <w:p>
      <w:pPr>
        <w:spacing w:line="312"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sz w:val="24"/>
          <w:szCs w:val="24"/>
          <w:highlight w:val="none"/>
        </w:rPr>
        <w:t>（八）</w:t>
      </w:r>
      <w:r>
        <w:rPr>
          <w:rFonts w:hint="eastAsia" w:ascii="宋体" w:hAnsi="宋体" w:cs="宋体"/>
          <w:color w:val="auto"/>
          <w:kern w:val="0"/>
          <w:sz w:val="24"/>
          <w:szCs w:val="24"/>
          <w:highlight w:val="none"/>
          <w:lang w:eastAsia="zh-CN"/>
        </w:rPr>
        <w:t>磋商</w:t>
      </w:r>
      <w:r>
        <w:rPr>
          <w:rFonts w:hint="eastAsia" w:ascii="宋体" w:hAnsi="宋体" w:cs="宋体"/>
          <w:color w:val="auto"/>
          <w:kern w:val="0"/>
          <w:sz w:val="24"/>
          <w:szCs w:val="24"/>
          <w:highlight w:val="none"/>
        </w:rPr>
        <w:t>结束后，</w:t>
      </w:r>
      <w:r>
        <w:rPr>
          <w:rFonts w:hint="eastAsia" w:ascii="宋体" w:hAnsi="宋体" w:cs="宋体"/>
          <w:color w:val="auto"/>
          <w:kern w:val="0"/>
          <w:sz w:val="24"/>
          <w:szCs w:val="24"/>
          <w:highlight w:val="none"/>
          <w:lang w:eastAsia="zh-CN"/>
        </w:rPr>
        <w:t>磋商</w:t>
      </w:r>
      <w:r>
        <w:rPr>
          <w:rFonts w:hint="eastAsia" w:ascii="宋体" w:hAnsi="宋体" w:cs="宋体"/>
          <w:color w:val="auto"/>
          <w:kern w:val="0"/>
          <w:sz w:val="24"/>
          <w:szCs w:val="24"/>
          <w:highlight w:val="none"/>
        </w:rPr>
        <w:t>小组要求所有参加正式</w:t>
      </w:r>
      <w:r>
        <w:rPr>
          <w:rFonts w:hint="eastAsia" w:ascii="宋体" w:hAnsi="宋体" w:cs="宋体"/>
          <w:color w:val="auto"/>
          <w:kern w:val="0"/>
          <w:sz w:val="24"/>
          <w:szCs w:val="24"/>
          <w:highlight w:val="none"/>
          <w:lang w:eastAsia="zh-CN"/>
        </w:rPr>
        <w:t>磋商</w:t>
      </w:r>
      <w:r>
        <w:rPr>
          <w:rFonts w:hint="eastAsia" w:ascii="宋体" w:hAnsi="宋体" w:cs="宋体"/>
          <w:color w:val="auto"/>
          <w:kern w:val="0"/>
          <w:sz w:val="24"/>
          <w:szCs w:val="24"/>
          <w:highlight w:val="none"/>
        </w:rPr>
        <w:t>的</w:t>
      </w:r>
      <w:r>
        <w:rPr>
          <w:rFonts w:hint="eastAsia" w:ascii="宋体" w:hAnsi="宋体" w:cs="宋体"/>
          <w:color w:val="auto"/>
          <w:sz w:val="24"/>
          <w:szCs w:val="24"/>
          <w:highlight w:val="none"/>
        </w:rPr>
        <w:t>供应商</w:t>
      </w:r>
      <w:r>
        <w:rPr>
          <w:rFonts w:hint="eastAsia" w:ascii="宋体" w:hAnsi="宋体" w:cs="宋体"/>
          <w:color w:val="auto"/>
          <w:kern w:val="0"/>
          <w:sz w:val="24"/>
          <w:szCs w:val="24"/>
          <w:highlight w:val="none"/>
        </w:rPr>
        <w:t>在规定时间内同时书面提交最后报价及有关承诺（由法定代表人或其授权代表现场填写《最后报价表》并按手印提交）。已提交响应文件但未在规定时间内进行最后报价的供应商，视为放弃最后报价，以供应商响应文件中的报价为准；若第二次报价高于报价文件报价，则视为无效报价，不能成为成交候选人。</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（九）</w:t>
      </w:r>
      <w:r>
        <w:rPr>
          <w:rFonts w:hint="eastAsia" w:ascii="宋体" w:hAnsi="宋体" w:cs="宋体"/>
          <w:color w:val="auto"/>
          <w:sz w:val="24"/>
          <w:szCs w:val="24"/>
          <w:highlight w:val="none"/>
          <w:lang w:eastAsia="zh-CN"/>
        </w:rPr>
        <w:t>磋商</w:t>
      </w:r>
      <w:r>
        <w:rPr>
          <w:rFonts w:hint="eastAsia" w:ascii="宋体" w:hAnsi="宋体" w:cs="宋体"/>
          <w:color w:val="auto"/>
          <w:sz w:val="24"/>
          <w:szCs w:val="24"/>
          <w:highlight w:val="none"/>
        </w:rPr>
        <w:t>小组采用综合评分法对提交最后报价的供应商的响应文件和最后报价</w:t>
      </w:r>
      <w:r>
        <w:rPr>
          <w:rFonts w:hint="eastAsia" w:ascii="宋体" w:hAnsi="宋体" w:cs="宋体"/>
          <w:color w:val="auto"/>
          <w:kern w:val="0"/>
          <w:sz w:val="24"/>
          <w:szCs w:val="24"/>
          <w:highlight w:val="none"/>
        </w:rPr>
        <w:t>（含有效书面承诺）</w:t>
      </w:r>
      <w:r>
        <w:rPr>
          <w:rFonts w:hint="eastAsia" w:ascii="宋体" w:hAnsi="宋体" w:cs="宋体"/>
          <w:color w:val="auto"/>
          <w:sz w:val="24"/>
          <w:szCs w:val="24"/>
          <w:highlight w:val="none"/>
        </w:rPr>
        <w:t>进行综合评分。</w:t>
      </w:r>
      <w:r>
        <w:rPr>
          <w:rFonts w:hint="eastAsia" w:ascii="宋体" w:hAnsi="宋体" w:cs="宋体"/>
          <w:color w:val="auto"/>
          <w:kern w:val="0"/>
          <w:sz w:val="24"/>
          <w:szCs w:val="24"/>
          <w:highlight w:val="none"/>
        </w:rPr>
        <w:t>综合评分法，是指响应文件满足</w:t>
      </w:r>
      <w:r>
        <w:rPr>
          <w:rFonts w:hint="eastAsia" w:ascii="宋体" w:hAnsi="宋体" w:cs="宋体"/>
          <w:color w:val="auto"/>
          <w:kern w:val="0"/>
          <w:sz w:val="24"/>
          <w:szCs w:val="24"/>
          <w:highlight w:val="none"/>
          <w:lang w:eastAsia="zh-CN"/>
        </w:rPr>
        <w:t>磋商</w:t>
      </w:r>
      <w:r>
        <w:rPr>
          <w:rFonts w:ascii="宋体" w:hAnsi="宋体" w:cs="宋体"/>
          <w:color w:val="auto"/>
          <w:kern w:val="0"/>
          <w:sz w:val="24"/>
          <w:szCs w:val="24"/>
          <w:highlight w:val="none"/>
        </w:rPr>
        <w:t>采购</w:t>
      </w:r>
      <w:r>
        <w:rPr>
          <w:rFonts w:hint="eastAsia" w:ascii="宋体" w:hAnsi="宋体" w:cs="宋体"/>
          <w:color w:val="auto"/>
          <w:kern w:val="0"/>
          <w:sz w:val="24"/>
          <w:szCs w:val="24"/>
          <w:highlight w:val="none"/>
        </w:rPr>
        <w:t>文件全部实质性要求且按照评审因素的量化指标评审得分最高的供应商为成交候选供应商的评审方法。供应商总得分为价格、商务、技术等评定因素分别按照相应权重值计算分项得分后相加，满分为100分</w:t>
      </w:r>
      <w:r>
        <w:rPr>
          <w:rFonts w:hint="eastAsia" w:ascii="宋体" w:hAnsi="宋体" w:cs="宋体"/>
          <w:color w:val="auto"/>
          <w:sz w:val="24"/>
          <w:szCs w:val="24"/>
          <w:highlight w:val="none"/>
        </w:rPr>
        <w:t>。（详见评审标准）。</w:t>
      </w:r>
    </w:p>
    <w:p>
      <w:pPr>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（十）</w:t>
      </w:r>
      <w:r>
        <w:rPr>
          <w:rFonts w:hint="eastAsia" w:ascii="宋体" w:hAnsi="宋体" w:cs="宋体"/>
          <w:color w:val="auto"/>
          <w:sz w:val="24"/>
          <w:szCs w:val="24"/>
          <w:highlight w:val="none"/>
          <w:lang w:eastAsia="zh-CN"/>
        </w:rPr>
        <w:t>磋商</w:t>
      </w:r>
      <w:r>
        <w:rPr>
          <w:rFonts w:hint="eastAsia" w:ascii="宋体" w:hAnsi="宋体" w:cs="宋体"/>
          <w:color w:val="auto"/>
          <w:sz w:val="24"/>
          <w:szCs w:val="24"/>
          <w:highlight w:val="none"/>
        </w:rPr>
        <w:t>小组各成员独立对每个</w:t>
      </w:r>
      <w:r>
        <w:rPr>
          <w:rFonts w:hint="eastAsia" w:ascii="宋体" w:hAnsi="宋体" w:cs="宋体"/>
          <w:color w:val="auto"/>
          <w:kern w:val="0"/>
          <w:sz w:val="24"/>
          <w:szCs w:val="24"/>
          <w:highlight w:val="none"/>
        </w:rPr>
        <w:t>实质性响应</w:t>
      </w:r>
      <w:r>
        <w:rPr>
          <w:rFonts w:hint="eastAsia" w:ascii="宋体" w:hAnsi="宋体" w:cs="宋体"/>
          <w:color w:val="auto"/>
          <w:sz w:val="24"/>
          <w:szCs w:val="24"/>
          <w:highlight w:val="none"/>
        </w:rPr>
        <w:t>文件进行评价、打分，然后汇总每个供应商每项评分因素的得分，并根据综合评分情况按照评审得分由高到低顺序推荐成交候选供应商，并编写评审报告。若供应商的评审得分相同的，按照最后报价由低到高的顺序排列推荐。评审得分且最后报价相同的，按照服务指标优劣顺序排列推荐。（提示：请慎重考虑是否推荐服务部分得分为0分的供应商成为成交候选供应商，应在竞争性磋商文件中对该种情况的处理方式予以明确。）</w:t>
      </w:r>
    </w:p>
    <w:p>
      <w:pPr>
        <w:spacing w:line="312" w:lineRule="auto"/>
        <w:rPr>
          <w:rFonts w:ascii="宋体" w:hAnsi="宋体" w:cs="宋体"/>
          <w:color w:val="auto"/>
          <w:sz w:val="24"/>
          <w:szCs w:val="24"/>
          <w:highlight w:val="none"/>
        </w:rPr>
      </w:pPr>
      <w:r>
        <w:rPr>
          <w:rFonts w:hint="eastAsia" w:ascii="宋体" w:hAnsi="宋体" w:cs="宋体"/>
          <w:b/>
          <w:bCs/>
          <w:color w:val="auto"/>
          <w:sz w:val="24"/>
          <w:szCs w:val="24"/>
          <w:highlight w:val="none"/>
        </w:rPr>
        <w:t>二、评审标准</w:t>
      </w:r>
    </w:p>
    <w:tbl>
      <w:tblPr>
        <w:tblStyle w:val="12"/>
        <w:tblW w:w="98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432"/>
        <w:gridCol w:w="893"/>
        <w:gridCol w:w="4508"/>
        <w:gridCol w:w="2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561" w:type="dxa"/>
            <w:noWrap/>
            <w:vAlign w:val="center"/>
          </w:tcPr>
          <w:p>
            <w:pPr>
              <w:spacing w:line="400" w:lineRule="exact"/>
              <w:jc w:val="center"/>
              <w:rPr>
                <w:rFonts w:ascii="宋体" w:hAnsi="宋体" w:cs="宋体"/>
                <w:b/>
                <w:color w:val="auto"/>
                <w:sz w:val="24"/>
                <w:highlight w:val="none"/>
              </w:rPr>
            </w:pPr>
            <w:bookmarkStart w:id="79" w:name="_Toc23540"/>
            <w:bookmarkStart w:id="80" w:name="_Toc29019"/>
            <w:bookmarkStart w:id="81" w:name="_Toc24050"/>
            <w:bookmarkStart w:id="82" w:name="_Toc102227320"/>
            <w:bookmarkStart w:id="83" w:name="_Toc342913394"/>
            <w:r>
              <w:rPr>
                <w:rFonts w:hint="eastAsia" w:ascii="宋体" w:hAnsi="宋体" w:cs="宋体"/>
                <w:b/>
                <w:color w:val="auto"/>
                <w:sz w:val="24"/>
                <w:highlight w:val="none"/>
              </w:rPr>
              <w:t>序号</w:t>
            </w:r>
          </w:p>
        </w:tc>
        <w:tc>
          <w:tcPr>
            <w:tcW w:w="1432" w:type="dxa"/>
            <w:noWrap/>
            <w:vAlign w:val="center"/>
          </w:tcPr>
          <w:p>
            <w:pPr>
              <w:spacing w:line="400" w:lineRule="exact"/>
              <w:jc w:val="center"/>
              <w:rPr>
                <w:rFonts w:ascii="宋体" w:hAnsi="宋体" w:cs="宋体"/>
                <w:b/>
                <w:color w:val="auto"/>
                <w:sz w:val="24"/>
                <w:highlight w:val="none"/>
              </w:rPr>
            </w:pPr>
            <w:r>
              <w:rPr>
                <w:rFonts w:hint="eastAsia" w:ascii="宋体" w:hAnsi="宋体" w:cs="宋体"/>
                <w:b/>
                <w:color w:val="auto"/>
                <w:sz w:val="24"/>
                <w:highlight w:val="none"/>
              </w:rPr>
              <w:t>评分权重</w:t>
            </w:r>
          </w:p>
        </w:tc>
        <w:tc>
          <w:tcPr>
            <w:tcW w:w="893" w:type="dxa"/>
            <w:noWrap/>
            <w:vAlign w:val="center"/>
          </w:tcPr>
          <w:p>
            <w:pPr>
              <w:spacing w:line="400" w:lineRule="exact"/>
              <w:jc w:val="center"/>
              <w:rPr>
                <w:rFonts w:ascii="宋体" w:hAnsi="宋体" w:cs="宋体"/>
                <w:b/>
                <w:color w:val="auto"/>
                <w:sz w:val="24"/>
                <w:highlight w:val="none"/>
              </w:rPr>
            </w:pPr>
            <w:r>
              <w:rPr>
                <w:rFonts w:hint="eastAsia" w:ascii="宋体" w:hAnsi="宋体" w:cs="宋体"/>
                <w:b/>
                <w:color w:val="auto"/>
                <w:sz w:val="24"/>
                <w:highlight w:val="none"/>
              </w:rPr>
              <w:t>分值</w:t>
            </w:r>
          </w:p>
        </w:tc>
        <w:tc>
          <w:tcPr>
            <w:tcW w:w="4508" w:type="dxa"/>
            <w:noWrap/>
            <w:vAlign w:val="center"/>
          </w:tcPr>
          <w:p>
            <w:pPr>
              <w:spacing w:line="400" w:lineRule="exact"/>
              <w:jc w:val="center"/>
              <w:rPr>
                <w:rFonts w:ascii="宋体" w:hAnsi="宋体" w:cs="宋体"/>
                <w:b/>
                <w:color w:val="auto"/>
                <w:sz w:val="24"/>
                <w:highlight w:val="none"/>
              </w:rPr>
            </w:pPr>
            <w:r>
              <w:rPr>
                <w:rFonts w:hint="eastAsia" w:ascii="宋体" w:hAnsi="宋体" w:cs="宋体"/>
                <w:b/>
                <w:color w:val="auto"/>
                <w:sz w:val="24"/>
                <w:highlight w:val="none"/>
              </w:rPr>
              <w:t>评分标准</w:t>
            </w:r>
          </w:p>
        </w:tc>
        <w:tc>
          <w:tcPr>
            <w:tcW w:w="2446" w:type="dxa"/>
            <w:noWrap/>
            <w:vAlign w:val="center"/>
          </w:tcPr>
          <w:p>
            <w:pPr>
              <w:spacing w:line="400" w:lineRule="exact"/>
              <w:jc w:val="center"/>
              <w:rPr>
                <w:rFonts w:ascii="宋体" w:hAnsi="宋体" w:cs="宋体"/>
                <w:b/>
                <w:color w:val="auto"/>
                <w:sz w:val="24"/>
                <w:highlight w:val="none"/>
              </w:rPr>
            </w:pPr>
            <w:r>
              <w:rPr>
                <w:rFonts w:hint="eastAsia" w:ascii="宋体" w:hAnsi="宋体" w:cs="宋体"/>
                <w:b/>
                <w:color w:val="auto"/>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3" w:hRule="atLeast"/>
          <w:jc w:val="center"/>
        </w:trPr>
        <w:tc>
          <w:tcPr>
            <w:tcW w:w="561" w:type="dxa"/>
            <w:noWrap/>
            <w:vAlign w:val="center"/>
          </w:tcPr>
          <w:p>
            <w:pPr>
              <w:spacing w:line="40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p>
        </w:tc>
        <w:tc>
          <w:tcPr>
            <w:tcW w:w="1432" w:type="dxa"/>
            <w:noWrap/>
            <w:vAlign w:val="center"/>
          </w:tcPr>
          <w:p>
            <w:pPr>
              <w:spacing w:line="40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投标报价（</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0%）</w:t>
            </w:r>
          </w:p>
        </w:tc>
        <w:tc>
          <w:tcPr>
            <w:tcW w:w="893" w:type="dxa"/>
            <w:noWrap/>
            <w:vAlign w:val="center"/>
          </w:tcPr>
          <w:p>
            <w:pPr>
              <w:spacing w:line="40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0分</w:t>
            </w:r>
          </w:p>
        </w:tc>
        <w:tc>
          <w:tcPr>
            <w:tcW w:w="4508" w:type="dxa"/>
            <w:noWrap/>
            <w:vAlign w:val="center"/>
          </w:tcPr>
          <w:p>
            <w:pPr>
              <w:spacing w:line="40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有效的投标报价中的最低价为评标基准价，按照下列公式计算每个投标人的投标价格得分。</w:t>
            </w:r>
          </w:p>
          <w:p>
            <w:pPr>
              <w:spacing w:line="40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投标报价得分＝（评标基准价/投标报价）×价格权重×100，得数保留至小数点后两位。</w:t>
            </w:r>
          </w:p>
        </w:tc>
        <w:tc>
          <w:tcPr>
            <w:tcW w:w="2446" w:type="dxa"/>
            <w:noWrap/>
            <w:vAlign w:val="center"/>
          </w:tcPr>
          <w:p>
            <w:pPr>
              <w:spacing w:line="400" w:lineRule="exact"/>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4" w:hRule="atLeast"/>
          <w:jc w:val="center"/>
        </w:trPr>
        <w:tc>
          <w:tcPr>
            <w:tcW w:w="561" w:type="dxa"/>
            <w:vMerge w:val="restart"/>
            <w:noWrap/>
            <w:vAlign w:val="center"/>
          </w:tcPr>
          <w:p>
            <w:pPr>
              <w:spacing w:line="400" w:lineRule="exact"/>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w:t>
            </w:r>
          </w:p>
        </w:tc>
        <w:tc>
          <w:tcPr>
            <w:tcW w:w="1432" w:type="dxa"/>
            <w:vMerge w:val="restart"/>
            <w:noWrap/>
            <w:vAlign w:val="center"/>
          </w:tcPr>
          <w:p>
            <w:pPr>
              <w:spacing w:line="40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商务部分（ </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0%）</w:t>
            </w:r>
          </w:p>
        </w:tc>
        <w:tc>
          <w:tcPr>
            <w:tcW w:w="893" w:type="dxa"/>
            <w:noWrap/>
            <w:vAlign w:val="center"/>
          </w:tcPr>
          <w:p>
            <w:pPr>
              <w:spacing w:line="40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业绩</w:t>
            </w:r>
          </w:p>
          <w:p>
            <w:pPr>
              <w:spacing w:line="40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分</w:t>
            </w:r>
          </w:p>
        </w:tc>
        <w:tc>
          <w:tcPr>
            <w:tcW w:w="4508" w:type="dxa"/>
            <w:noWrap/>
            <w:vAlign w:val="center"/>
          </w:tcPr>
          <w:p>
            <w:pPr>
              <w:spacing w:line="40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2019年1月1日至投标截止时间，完成类似投资项目4500万元及以上的预算编制、预/结算审核或全过程造价控制咨询服务业绩的，每提供有1个业绩得2.5分，最高得5分；（提供合同复印件并加盖投标人公章，合同上未体现金额的，需提供相关证明资料）。</w:t>
            </w:r>
          </w:p>
        </w:tc>
        <w:tc>
          <w:tcPr>
            <w:tcW w:w="2446" w:type="dxa"/>
            <w:noWrap/>
            <w:vAlign w:val="center"/>
          </w:tcPr>
          <w:p>
            <w:pPr>
              <w:spacing w:line="40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人需提供咨询合同复印件并加盖投标人公章，若咨询合同中不能体现时间及业绩规模的，投标人需提交业主单位盖章的相关证明文件及相关资料并加盖投标人公章，否则视为无效业绩，不予认定，相应部分不得分。</w:t>
            </w:r>
          </w:p>
          <w:p>
            <w:pPr>
              <w:spacing w:line="40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原件带至开标现场备查。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6" w:hRule="atLeast"/>
          <w:jc w:val="center"/>
        </w:trPr>
        <w:tc>
          <w:tcPr>
            <w:tcW w:w="561" w:type="dxa"/>
            <w:vMerge w:val="continue"/>
            <w:noWrap/>
            <w:vAlign w:val="center"/>
          </w:tcPr>
          <w:p>
            <w:pPr>
              <w:spacing w:line="400" w:lineRule="exact"/>
              <w:rPr>
                <w:rFonts w:hint="eastAsia" w:asciiTheme="minorEastAsia" w:hAnsiTheme="minorEastAsia" w:eastAsiaTheme="minorEastAsia" w:cstheme="minorEastAsia"/>
                <w:color w:val="auto"/>
                <w:sz w:val="24"/>
                <w:szCs w:val="24"/>
                <w:highlight w:val="none"/>
              </w:rPr>
            </w:pPr>
          </w:p>
        </w:tc>
        <w:tc>
          <w:tcPr>
            <w:tcW w:w="1432" w:type="dxa"/>
            <w:vMerge w:val="continue"/>
            <w:noWrap/>
            <w:vAlign w:val="center"/>
          </w:tcPr>
          <w:p>
            <w:pPr>
              <w:spacing w:line="400" w:lineRule="exact"/>
              <w:rPr>
                <w:rFonts w:hint="eastAsia" w:asciiTheme="minorEastAsia" w:hAnsiTheme="minorEastAsia" w:eastAsiaTheme="minorEastAsia" w:cstheme="minorEastAsia"/>
                <w:color w:val="auto"/>
                <w:sz w:val="24"/>
                <w:szCs w:val="24"/>
                <w:highlight w:val="none"/>
              </w:rPr>
            </w:pPr>
          </w:p>
        </w:tc>
        <w:tc>
          <w:tcPr>
            <w:tcW w:w="893" w:type="dxa"/>
            <w:noWrap/>
            <w:vAlign w:val="center"/>
          </w:tcPr>
          <w:p>
            <w:pPr>
              <w:spacing w:line="400" w:lineRule="exact"/>
              <w:rPr>
                <w:rFonts w:hint="eastAsia" w:asciiTheme="minorEastAsia" w:hAnsiTheme="minorEastAsia" w:eastAsiaTheme="minorEastAsia" w:cstheme="minorEastAsia"/>
                <w:color w:val="auto"/>
                <w:sz w:val="24"/>
                <w:szCs w:val="24"/>
                <w:highlight w:val="none"/>
              </w:rPr>
            </w:pPr>
          </w:p>
          <w:p>
            <w:pPr>
              <w:spacing w:line="400" w:lineRule="exact"/>
              <w:rPr>
                <w:rFonts w:hint="eastAsia" w:asciiTheme="minorEastAsia" w:hAnsiTheme="minorEastAsia" w:eastAsiaTheme="minorEastAsia" w:cstheme="minorEastAsia"/>
                <w:color w:val="auto"/>
                <w:sz w:val="24"/>
                <w:szCs w:val="24"/>
                <w:highlight w:val="none"/>
              </w:rPr>
            </w:pPr>
          </w:p>
          <w:p>
            <w:pPr>
              <w:spacing w:line="40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人员</w:t>
            </w:r>
          </w:p>
          <w:p>
            <w:pPr>
              <w:spacing w:line="40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0分</w:t>
            </w:r>
          </w:p>
        </w:tc>
        <w:tc>
          <w:tcPr>
            <w:tcW w:w="4508" w:type="dxa"/>
            <w:noWrap/>
            <w:vAlign w:val="center"/>
          </w:tcPr>
          <w:p>
            <w:pPr>
              <w:spacing w:line="40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1、拟派到本项目的项目负责人，在满足特定资格条件的基础上，同时具备高级技术职称（专业要求为工程类或经济类）得5分，不满足不得分，具有绩效评价师得5分，不满足不得分；</w:t>
            </w:r>
          </w:p>
          <w:p>
            <w:pPr>
              <w:spacing w:line="400" w:lineRule="exact"/>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2、拟派到本项目的项目负责人取得注册造价工程师执业资格5年及以上得1分，每增加一年加1分，最多得5分（未满5年的不得分，以初始注册时间为准）</w:t>
            </w:r>
            <w:r>
              <w:rPr>
                <w:rFonts w:hint="eastAsia" w:asciiTheme="minorEastAsia" w:hAnsiTheme="minorEastAsia" w:eastAsiaTheme="minorEastAsia" w:cstheme="minorEastAsia"/>
                <w:color w:val="auto"/>
                <w:sz w:val="24"/>
                <w:szCs w:val="24"/>
                <w:highlight w:val="none"/>
                <w:lang w:val="en-US" w:eastAsia="zh-CN"/>
              </w:rPr>
              <w:t>;</w:t>
            </w:r>
          </w:p>
          <w:p>
            <w:pPr>
              <w:spacing w:line="400" w:lineRule="exact"/>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3、投标人每具有 1 名中华人民共和国一级注册造价工程师（土木建筑工程或安装工程）的得3 分，每具有 1 名中华人民共和国二级注册造价工程师（土木建筑工程或安装工程）的得 2 分；本项最多得 15 分。</w:t>
            </w:r>
          </w:p>
        </w:tc>
        <w:tc>
          <w:tcPr>
            <w:tcW w:w="2446" w:type="dxa"/>
            <w:noWrap/>
            <w:vAlign w:val="center"/>
          </w:tcPr>
          <w:p>
            <w:pPr>
              <w:spacing w:line="400" w:lineRule="exact"/>
              <w:rPr>
                <w:rFonts w:hint="eastAsia" w:asciiTheme="minorEastAsia" w:hAnsiTheme="minorEastAsia" w:eastAsiaTheme="minorEastAsia" w:cstheme="minorEastAsia"/>
                <w:color w:val="auto"/>
                <w:sz w:val="24"/>
                <w:szCs w:val="24"/>
                <w:highlight w:val="none"/>
              </w:rPr>
            </w:pPr>
          </w:p>
          <w:p>
            <w:pPr>
              <w:spacing w:line="40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须提供相应人员执业资格证、注册证书、职称证书，复印件并加盖投标人公章，原件带至开标现场备查。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7" w:hRule="atLeast"/>
          <w:jc w:val="center"/>
        </w:trPr>
        <w:tc>
          <w:tcPr>
            <w:tcW w:w="561" w:type="dxa"/>
            <w:vMerge w:val="continue"/>
            <w:noWrap/>
            <w:vAlign w:val="center"/>
          </w:tcPr>
          <w:p>
            <w:pPr>
              <w:spacing w:line="400" w:lineRule="exact"/>
              <w:rPr>
                <w:rFonts w:hint="eastAsia" w:asciiTheme="minorEastAsia" w:hAnsiTheme="minorEastAsia" w:eastAsiaTheme="minorEastAsia" w:cstheme="minorEastAsia"/>
                <w:color w:val="auto"/>
                <w:sz w:val="24"/>
                <w:szCs w:val="24"/>
                <w:highlight w:val="none"/>
              </w:rPr>
            </w:pPr>
          </w:p>
        </w:tc>
        <w:tc>
          <w:tcPr>
            <w:tcW w:w="1432" w:type="dxa"/>
            <w:vMerge w:val="continue"/>
            <w:noWrap/>
            <w:vAlign w:val="center"/>
          </w:tcPr>
          <w:p>
            <w:pPr>
              <w:spacing w:line="400" w:lineRule="exact"/>
              <w:rPr>
                <w:rFonts w:hint="eastAsia" w:asciiTheme="minorEastAsia" w:hAnsiTheme="minorEastAsia" w:eastAsiaTheme="minorEastAsia" w:cstheme="minorEastAsia"/>
                <w:color w:val="auto"/>
                <w:sz w:val="24"/>
                <w:szCs w:val="24"/>
                <w:highlight w:val="none"/>
              </w:rPr>
            </w:pPr>
          </w:p>
        </w:tc>
        <w:tc>
          <w:tcPr>
            <w:tcW w:w="893" w:type="dxa"/>
            <w:noWrap/>
            <w:vAlign w:val="center"/>
          </w:tcPr>
          <w:p>
            <w:pPr>
              <w:spacing w:line="40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行业信誉和公信力</w:t>
            </w:r>
            <w:r>
              <w:rPr>
                <w:rFonts w:hint="eastAsia" w:asciiTheme="minorEastAsia" w:hAnsiTheme="minorEastAsia" w:eastAsiaTheme="minorEastAsia" w:cstheme="minorEastAsia"/>
                <w:color w:val="auto"/>
                <w:sz w:val="24"/>
                <w:szCs w:val="24"/>
                <w:highlight w:val="none"/>
                <w:lang w:val="en-US" w:eastAsia="zh-CN"/>
              </w:rPr>
              <w:t>15</w:t>
            </w:r>
            <w:r>
              <w:rPr>
                <w:rFonts w:hint="eastAsia" w:asciiTheme="minorEastAsia" w:hAnsiTheme="minorEastAsia" w:eastAsiaTheme="minorEastAsia" w:cstheme="minorEastAsia"/>
                <w:color w:val="auto"/>
                <w:sz w:val="24"/>
                <w:szCs w:val="24"/>
                <w:highlight w:val="none"/>
              </w:rPr>
              <w:t xml:space="preserve">分 </w:t>
            </w:r>
          </w:p>
        </w:tc>
        <w:tc>
          <w:tcPr>
            <w:tcW w:w="4508" w:type="dxa"/>
            <w:noWrap/>
            <w:vAlign w:val="center"/>
          </w:tcPr>
          <w:p>
            <w:pPr>
              <w:numPr>
                <w:ilvl w:val="0"/>
                <w:numId w:val="3"/>
              </w:numPr>
              <w:spacing w:line="400" w:lineRule="exac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荣获中国建设工程造价管理协会企业行业信用评价AA级的得1分，AAA-的得3分，AAA级的得5分，本项最高得5分。（同一企业按其信用评价最高等级为准）</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投标人2018年1月1日起至投标截止日止获得省（直辖市）级及以上建设工程造价管理协会颁发的优秀造价成果奖1个得2分，此项最多得4分（以具体颁发时间为准）</w:t>
            </w:r>
            <w:r>
              <w:rPr>
                <w:rFonts w:hint="eastAsia" w:asciiTheme="minorEastAsia" w:hAnsiTheme="minorEastAsia" w:eastAsiaTheme="minorEastAsia" w:cstheme="minorEastAsia"/>
                <w:color w:val="auto"/>
                <w:sz w:val="24"/>
                <w:szCs w:val="24"/>
                <w:highlight w:val="none"/>
                <w:lang w:eastAsia="zh-CN"/>
              </w:rPr>
              <w:t>。</w:t>
            </w:r>
          </w:p>
          <w:p>
            <w:pPr>
              <w:numPr>
                <w:ilvl w:val="0"/>
                <w:numId w:val="0"/>
              </w:numPr>
              <w:spacing w:line="400" w:lineRule="exact"/>
              <w:rPr>
                <w:rFonts w:hint="eastAsia"/>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投标人响应服务（如服务项目现场踏勘、项目接洽、协调等），60 分钟内能到达指定地点的得 6分，120 分钟内能到达指定地点的得 4 分，180 分钟内能到达指定地点的得 2 分，其余不得分，本项最高得</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分。提供承诺函原件。</w:t>
            </w:r>
          </w:p>
        </w:tc>
        <w:tc>
          <w:tcPr>
            <w:tcW w:w="2446" w:type="dxa"/>
            <w:noWrap/>
            <w:vAlign w:val="center"/>
          </w:tcPr>
          <w:p>
            <w:pPr>
              <w:spacing w:line="40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提供相关证书复印件并加盖投标人公章，原件带至开标现场备查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2" w:hRule="atLeast"/>
          <w:jc w:val="center"/>
        </w:trPr>
        <w:tc>
          <w:tcPr>
            <w:tcW w:w="561" w:type="dxa"/>
            <w:noWrap/>
            <w:vAlign w:val="center"/>
          </w:tcPr>
          <w:p>
            <w:pPr>
              <w:spacing w:line="40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p>
        </w:tc>
        <w:tc>
          <w:tcPr>
            <w:tcW w:w="1432" w:type="dxa"/>
            <w:noWrap/>
            <w:vAlign w:val="center"/>
          </w:tcPr>
          <w:p>
            <w:pPr>
              <w:spacing w:line="40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技术部分</w:t>
            </w:r>
          </w:p>
          <w:p>
            <w:pPr>
              <w:spacing w:line="40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0%）</w:t>
            </w:r>
          </w:p>
        </w:tc>
        <w:tc>
          <w:tcPr>
            <w:tcW w:w="893" w:type="dxa"/>
            <w:noWrap/>
            <w:vAlign w:val="center"/>
          </w:tcPr>
          <w:p>
            <w:pPr>
              <w:spacing w:line="40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0分</w:t>
            </w:r>
          </w:p>
        </w:tc>
        <w:tc>
          <w:tcPr>
            <w:tcW w:w="4508" w:type="dxa"/>
            <w:noWrap/>
            <w:vAlign w:val="center"/>
          </w:tcPr>
          <w:p>
            <w:pPr>
              <w:numPr>
                <w:ilvl w:val="0"/>
                <w:numId w:val="4"/>
              </w:numPr>
              <w:spacing w:line="40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全过程造价控制工作指导思想明确，工作目标清晰，由高到低评分，满分10分，优秀：10-7分 ；良好：6~3分 ；一般：2-0分。</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2、全过程造价控制咨询机构技术力量配置合理，分工明确，项目全过程造价控制咨询人员岗位职责及制度健全，专业人员配置满足项目需求。由高到低评分，满分10分，优秀：10-7分 ；良好：6~3分 ；一般：2-0分。</w:t>
            </w:r>
          </w:p>
          <w:p>
            <w:pPr>
              <w:spacing w:line="312"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3、根据本工程造价控制难点提出可行的措施，同时针对本工程分析重难点及合理化建议，提出解决方法，根据合理性和可行性由高到低评分，满分10分，优秀：10-7分 ；良好：6~3分 ；一般：2-0分。</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4、</w:t>
            </w:r>
            <w:r>
              <w:rPr>
                <w:rFonts w:hint="eastAsia" w:asciiTheme="minorEastAsia" w:hAnsiTheme="minorEastAsia" w:eastAsiaTheme="minorEastAsia" w:cstheme="minorEastAsia"/>
                <w:color w:val="auto"/>
                <w:sz w:val="24"/>
                <w:szCs w:val="24"/>
                <w:highlight w:val="none"/>
                <w:lang w:val="en-US" w:eastAsia="zh-CN"/>
              </w:rPr>
              <w:t>工程投资控制方法科学，措施合理，进度管理措施符合项目特点，财务风险管理措施齐全由高到低评分，满分10分，优秀：10-7分 ；良好：6~3分 ；一般：2-0分。</w:t>
            </w:r>
          </w:p>
        </w:tc>
        <w:tc>
          <w:tcPr>
            <w:tcW w:w="2446" w:type="dxa"/>
            <w:noWrap/>
            <w:vAlign w:val="center"/>
          </w:tcPr>
          <w:p>
            <w:pPr>
              <w:spacing w:line="400" w:lineRule="exact"/>
              <w:rPr>
                <w:rFonts w:hint="eastAsia" w:asciiTheme="minorEastAsia" w:hAnsiTheme="minorEastAsia" w:eastAsiaTheme="minorEastAsia" w:cstheme="minorEastAsia"/>
                <w:color w:val="auto"/>
                <w:sz w:val="24"/>
                <w:szCs w:val="24"/>
                <w:highlight w:val="none"/>
              </w:rPr>
            </w:pPr>
          </w:p>
        </w:tc>
      </w:tr>
    </w:tbl>
    <w:p>
      <w:pPr>
        <w:spacing w:line="320" w:lineRule="exact"/>
        <w:rPr>
          <w:rFonts w:hint="eastAsia" w:asciiTheme="minorEastAsia" w:hAnsiTheme="minorEastAsia" w:eastAsiaTheme="minorEastAsia" w:cstheme="minorEastAsia"/>
          <w:color w:val="auto"/>
          <w:sz w:val="24"/>
          <w:szCs w:val="24"/>
          <w:highlight w:val="none"/>
        </w:rPr>
      </w:pPr>
    </w:p>
    <w:p>
      <w:pPr>
        <w:snapToGrid w:val="0"/>
        <w:spacing w:line="312"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1、投标人为非联合体投标的，对小微型企业给予6%的扣除，以扣除后的报价参与评审。</w:t>
      </w:r>
    </w:p>
    <w:p>
      <w:pPr>
        <w:pStyle w:val="4"/>
        <w:spacing w:before="0" w:after="0" w:line="312" w:lineRule="auto"/>
        <w:rPr>
          <w:rFonts w:ascii="宋体" w:hAnsi="宋体" w:cs="宋体"/>
          <w:color w:val="auto"/>
          <w:sz w:val="24"/>
          <w:szCs w:val="24"/>
          <w:highlight w:val="none"/>
        </w:rPr>
      </w:pPr>
      <w:r>
        <w:rPr>
          <w:rFonts w:hint="eastAsia" w:ascii="宋体" w:hAnsi="宋体" w:cs="宋体"/>
          <w:color w:val="auto"/>
          <w:sz w:val="24"/>
          <w:szCs w:val="24"/>
          <w:highlight w:val="none"/>
        </w:rPr>
        <w:t>三、无效响应</w:t>
      </w:r>
      <w:bookmarkEnd w:id="79"/>
      <w:bookmarkEnd w:id="80"/>
      <w:bookmarkEnd w:id="81"/>
    </w:p>
    <w:p>
      <w:pPr>
        <w:snapToGrid w:val="0"/>
        <w:spacing w:line="312" w:lineRule="auto"/>
        <w:ind w:firstLine="465"/>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供应商发生以下条款情况之一者，视为无效响应，其响应文件将被拒绝：</w:t>
      </w:r>
    </w:p>
    <w:p>
      <w:pPr>
        <w:snapToGrid w:val="0"/>
        <w:spacing w:line="312" w:lineRule="auto"/>
        <w:ind w:firstLine="465"/>
        <w:rPr>
          <w:rFonts w:hint="eastAsia" w:ascii="宋体" w:hAnsi="宋体" w:eastAsia="宋体" w:cs="宋体"/>
          <w:color w:val="auto"/>
          <w:sz w:val="24"/>
          <w:szCs w:val="24"/>
          <w:highlight w:val="none"/>
        </w:rPr>
      </w:pPr>
      <w:bookmarkStart w:id="84" w:name="_Toc30355"/>
      <w:bookmarkStart w:id="85" w:name="_Toc23907"/>
      <w:bookmarkStart w:id="86" w:name="_Toc25841"/>
      <w:r>
        <w:rPr>
          <w:rFonts w:hint="eastAsia" w:ascii="宋体" w:hAnsi="宋体" w:eastAsia="宋体" w:cs="宋体"/>
          <w:color w:val="auto"/>
          <w:sz w:val="24"/>
          <w:szCs w:val="24"/>
          <w:highlight w:val="none"/>
        </w:rPr>
        <w:t>（一）供应商不符合规定的资格条件的；</w:t>
      </w:r>
    </w:p>
    <w:p>
      <w:pPr>
        <w:snapToGrid w:val="0"/>
        <w:spacing w:line="312" w:lineRule="auto"/>
        <w:ind w:firstLine="46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（二）供应商的法定代表人（或其授权代表）或自然人未参加磋商；</w:t>
      </w:r>
    </w:p>
    <w:p>
      <w:pPr>
        <w:snapToGrid w:val="0"/>
        <w:spacing w:line="312" w:lineRule="auto"/>
        <w:ind w:firstLine="46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（三）供应商所提交的响应文件不按“第七篇响应文件编制要求”要求签署或盖章；</w:t>
      </w:r>
    </w:p>
    <w:p>
      <w:pPr>
        <w:snapToGrid w:val="0"/>
        <w:spacing w:line="312" w:lineRule="auto"/>
        <w:ind w:firstLine="46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（四）供应商的最后报价超过采购预算或最高限价的；</w:t>
      </w:r>
    </w:p>
    <w:p>
      <w:pPr>
        <w:snapToGrid w:val="0"/>
        <w:spacing w:line="312" w:lineRule="auto"/>
        <w:ind w:firstLine="46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（五）法定代表人为同一个人的两个及两个以上法人，母公司、全资子公司及其控股公司，在同一包采购中同时参与磋商；</w:t>
      </w:r>
    </w:p>
    <w:p>
      <w:pPr>
        <w:snapToGrid w:val="0"/>
        <w:spacing w:line="312" w:lineRule="auto"/>
        <w:ind w:firstLine="46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（六）单位负责人为同一人或者存在直接控股、管理关系的不同供应商，参加同一合同项下的政府采购活动的；</w:t>
      </w:r>
    </w:p>
    <w:p>
      <w:pPr>
        <w:snapToGrid w:val="0"/>
        <w:spacing w:line="312" w:lineRule="auto"/>
        <w:ind w:firstLine="46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（七）为采购项目提供整体设计、规范编制或者项目管理、监理、检测等服务的供应商，再参加该采购项目的其他采购活动；</w:t>
      </w:r>
    </w:p>
    <w:p>
      <w:pPr>
        <w:snapToGrid w:val="0"/>
        <w:spacing w:line="312" w:lineRule="auto"/>
        <w:ind w:firstLine="46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（八）供应商磋商有效期不满足竞争性磋商文件要求的；</w:t>
      </w:r>
    </w:p>
    <w:p>
      <w:pPr>
        <w:snapToGrid w:val="0"/>
        <w:spacing w:line="312" w:lineRule="auto"/>
        <w:ind w:firstLine="46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（九）供应商响应文件内容有与国家现行法律法规相违背的内容，或附有采购人无法接受的条件；</w:t>
      </w:r>
    </w:p>
    <w:p>
      <w:pPr>
        <w:snapToGrid w:val="0"/>
        <w:spacing w:line="312" w:lineRule="auto"/>
        <w:ind w:firstLine="46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（十）法律、法规和竞争性磋商文件规定的其他无效情形。</w:t>
      </w:r>
    </w:p>
    <w:p>
      <w:pPr>
        <w:pStyle w:val="4"/>
        <w:spacing w:before="0" w:after="0" w:line="312" w:lineRule="auto"/>
        <w:rPr>
          <w:rFonts w:ascii="宋体" w:hAnsi="宋体" w:cs="宋体"/>
          <w:color w:val="auto"/>
          <w:sz w:val="24"/>
          <w:szCs w:val="24"/>
          <w:highlight w:val="none"/>
        </w:rPr>
      </w:pPr>
      <w:r>
        <w:rPr>
          <w:rFonts w:hint="eastAsia" w:ascii="宋体" w:hAnsi="宋体" w:cs="宋体"/>
          <w:color w:val="auto"/>
          <w:sz w:val="24"/>
          <w:szCs w:val="24"/>
          <w:highlight w:val="none"/>
        </w:rPr>
        <w:t>四、</w:t>
      </w:r>
      <w:bookmarkEnd w:id="82"/>
      <w:bookmarkEnd w:id="83"/>
      <w:r>
        <w:rPr>
          <w:rFonts w:hint="eastAsia" w:ascii="宋体" w:hAnsi="宋体" w:cs="宋体"/>
          <w:color w:val="auto"/>
          <w:sz w:val="24"/>
          <w:szCs w:val="24"/>
          <w:highlight w:val="none"/>
        </w:rPr>
        <w:t>采购终止</w:t>
      </w:r>
      <w:bookmarkEnd w:id="84"/>
      <w:bookmarkEnd w:id="85"/>
      <w:bookmarkEnd w:id="86"/>
    </w:p>
    <w:p>
      <w:pPr>
        <w:snapToGrid w:val="0"/>
        <w:spacing w:line="312"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出现下列情形之一的，采购人应当终止</w:t>
      </w:r>
      <w:r>
        <w:rPr>
          <w:rFonts w:hint="eastAsia" w:ascii="宋体" w:hAnsi="宋体" w:cs="宋体"/>
          <w:color w:val="auto"/>
          <w:sz w:val="24"/>
          <w:szCs w:val="24"/>
          <w:highlight w:val="none"/>
          <w:lang w:eastAsia="zh-CN"/>
        </w:rPr>
        <w:t>磋商</w:t>
      </w:r>
      <w:r>
        <w:rPr>
          <w:rFonts w:ascii="宋体" w:hAnsi="宋体" w:cs="宋体"/>
          <w:color w:val="auto"/>
          <w:sz w:val="24"/>
          <w:szCs w:val="24"/>
          <w:highlight w:val="none"/>
        </w:rPr>
        <w:t>采购</w:t>
      </w:r>
      <w:r>
        <w:rPr>
          <w:rFonts w:hint="eastAsia" w:ascii="宋体" w:hAnsi="宋体" w:cs="宋体"/>
          <w:color w:val="auto"/>
          <w:sz w:val="24"/>
          <w:szCs w:val="24"/>
          <w:highlight w:val="none"/>
        </w:rPr>
        <w:t>采购活动，发布项目终止公告并说明原因，重新开展采购活动：</w:t>
      </w:r>
    </w:p>
    <w:p>
      <w:pPr>
        <w:snapToGrid w:val="0"/>
        <w:spacing w:line="312"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（一）因情况变化，不再符合规定的</w:t>
      </w:r>
      <w:r>
        <w:rPr>
          <w:rFonts w:hint="eastAsia" w:ascii="宋体" w:hAnsi="宋体" w:cs="宋体"/>
          <w:color w:val="auto"/>
          <w:sz w:val="24"/>
          <w:szCs w:val="24"/>
          <w:highlight w:val="none"/>
          <w:lang w:eastAsia="zh-CN"/>
        </w:rPr>
        <w:t>磋商</w:t>
      </w:r>
      <w:r>
        <w:rPr>
          <w:rFonts w:ascii="宋体" w:hAnsi="宋体" w:cs="宋体"/>
          <w:color w:val="auto"/>
          <w:sz w:val="24"/>
          <w:szCs w:val="24"/>
          <w:highlight w:val="none"/>
        </w:rPr>
        <w:t>采购</w:t>
      </w:r>
      <w:r>
        <w:rPr>
          <w:rFonts w:hint="eastAsia" w:ascii="宋体" w:hAnsi="宋体" w:cs="宋体"/>
          <w:color w:val="auto"/>
          <w:sz w:val="24"/>
          <w:szCs w:val="24"/>
          <w:highlight w:val="none"/>
        </w:rPr>
        <w:t>采购方式适用情形的；</w:t>
      </w:r>
    </w:p>
    <w:p>
      <w:pPr>
        <w:snapToGrid w:val="0"/>
        <w:spacing w:line="312"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（二）出现影响采购公正的违法、违规行为的；</w:t>
      </w:r>
    </w:p>
    <w:p>
      <w:pPr>
        <w:snapToGrid w:val="0"/>
        <w:spacing w:line="312" w:lineRule="auto"/>
        <w:ind w:firstLine="465"/>
        <w:rPr>
          <w:rFonts w:hint="eastAsia" w:ascii="宋体" w:hAnsi="宋体" w:cs="宋体"/>
          <w:color w:val="auto"/>
          <w:sz w:val="24"/>
          <w:szCs w:val="24"/>
          <w:highlight w:val="none"/>
        </w:rPr>
      </w:pPr>
      <w:r>
        <w:rPr>
          <w:rFonts w:hint="eastAsia" w:ascii="宋体" w:hAnsi="宋体" w:cs="宋体"/>
          <w:color w:val="auto"/>
          <w:sz w:val="24"/>
          <w:szCs w:val="24"/>
          <w:highlight w:val="none"/>
        </w:rPr>
        <w:t>（三）在采购过程中符合要求的供应商或者报价未超过采购预算的供应商不足3家的，但《政府采购竞争性磋商采购方式管理暂行办法》第二十一条第三款规定的情形除外。</w:t>
      </w:r>
    </w:p>
    <w:p>
      <w:pPr>
        <w:snapToGrid w:val="0"/>
        <w:spacing w:line="312" w:lineRule="auto"/>
        <w:ind w:firstLine="465"/>
        <w:rPr>
          <w:rFonts w:ascii="宋体" w:hAnsi="宋体" w:cs="宋体"/>
          <w:color w:val="auto"/>
          <w:sz w:val="24"/>
          <w:szCs w:val="24"/>
          <w:highlight w:val="none"/>
        </w:rPr>
        <w:sectPr>
          <w:footerReference r:id="rId11" w:type="default"/>
          <w:footerReference r:id="rId12" w:type="even"/>
          <w:pgSz w:w="11907" w:h="16840"/>
          <w:pgMar w:top="1134" w:right="1191" w:bottom="1134" w:left="1304" w:header="964" w:footer="992" w:gutter="0"/>
          <w:pgNumType w:fmt="numberInDash"/>
          <w:cols w:space="720" w:num="1"/>
          <w:docGrid w:linePitch="312" w:charSpace="0"/>
        </w:sectPr>
      </w:pPr>
    </w:p>
    <w:p>
      <w:pPr>
        <w:pStyle w:val="3"/>
        <w:spacing w:line="312" w:lineRule="auto"/>
        <w:jc w:val="center"/>
        <w:rPr>
          <w:rFonts w:ascii="宋体" w:hAnsi="宋体" w:eastAsia="宋体" w:cs="宋体"/>
          <w:bCs/>
          <w:color w:val="auto"/>
          <w:szCs w:val="30"/>
          <w:highlight w:val="none"/>
        </w:rPr>
      </w:pPr>
      <w:bookmarkStart w:id="87" w:name="_Toc102227313"/>
      <w:bookmarkStart w:id="88" w:name="_Toc25636"/>
      <w:bookmarkStart w:id="89" w:name="_Toc21400"/>
      <w:bookmarkStart w:id="90" w:name="_Toc25652"/>
      <w:r>
        <w:rPr>
          <w:rFonts w:hint="eastAsia" w:ascii="宋体" w:hAnsi="宋体" w:eastAsia="宋体" w:cs="宋体"/>
          <w:bCs/>
          <w:color w:val="auto"/>
          <w:sz w:val="36"/>
          <w:szCs w:val="30"/>
          <w:highlight w:val="none"/>
        </w:rPr>
        <w:t>第五篇  供应商须知</w:t>
      </w:r>
      <w:bookmarkEnd w:id="87"/>
      <w:bookmarkEnd w:id="88"/>
      <w:bookmarkEnd w:id="89"/>
      <w:bookmarkEnd w:id="90"/>
    </w:p>
    <w:p>
      <w:pPr>
        <w:pStyle w:val="4"/>
        <w:spacing w:before="0" w:after="0" w:line="360" w:lineRule="auto"/>
        <w:rPr>
          <w:rFonts w:ascii="宋体" w:hAnsi="宋体" w:cs="宋体"/>
          <w:color w:val="auto"/>
          <w:sz w:val="24"/>
          <w:szCs w:val="24"/>
          <w:highlight w:val="none"/>
        </w:rPr>
      </w:pPr>
      <w:bookmarkStart w:id="91" w:name="_Toc24338"/>
      <w:bookmarkStart w:id="92" w:name="_Toc465"/>
      <w:bookmarkStart w:id="93" w:name="_Toc18058"/>
      <w:bookmarkStart w:id="94" w:name="_Toc342913389"/>
      <w:r>
        <w:rPr>
          <w:rFonts w:hint="eastAsia" w:ascii="宋体" w:hAnsi="宋体" w:cs="宋体"/>
          <w:color w:val="auto"/>
          <w:sz w:val="24"/>
          <w:szCs w:val="24"/>
          <w:highlight w:val="none"/>
        </w:rPr>
        <w:t>一、</w:t>
      </w:r>
      <w:r>
        <w:rPr>
          <w:rFonts w:hint="eastAsia" w:ascii="宋体" w:hAnsi="宋体" w:cs="宋体"/>
          <w:color w:val="auto"/>
          <w:sz w:val="24"/>
          <w:szCs w:val="24"/>
          <w:highlight w:val="none"/>
          <w:lang w:eastAsia="zh-CN"/>
        </w:rPr>
        <w:t>磋商</w:t>
      </w:r>
      <w:r>
        <w:rPr>
          <w:rFonts w:hint="eastAsia" w:ascii="宋体" w:hAnsi="宋体" w:cs="宋体"/>
          <w:color w:val="auto"/>
          <w:sz w:val="24"/>
          <w:szCs w:val="24"/>
          <w:highlight w:val="none"/>
        </w:rPr>
        <w:t>费用</w:t>
      </w:r>
      <w:bookmarkEnd w:id="91"/>
      <w:bookmarkEnd w:id="92"/>
      <w:bookmarkEnd w:id="93"/>
      <w:bookmarkEnd w:id="94"/>
    </w:p>
    <w:p>
      <w:pPr>
        <w:pStyle w:val="15"/>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参与</w:t>
      </w:r>
      <w:r>
        <w:rPr>
          <w:rFonts w:hint="eastAsia" w:hAnsi="宋体" w:cs="宋体"/>
          <w:color w:val="auto"/>
          <w:sz w:val="24"/>
          <w:szCs w:val="24"/>
          <w:highlight w:val="none"/>
          <w:lang w:eastAsia="zh-CN"/>
        </w:rPr>
        <w:t>磋商</w:t>
      </w:r>
      <w:r>
        <w:rPr>
          <w:rFonts w:hint="eastAsia" w:hAnsi="宋体" w:cs="宋体"/>
          <w:color w:val="auto"/>
          <w:sz w:val="24"/>
          <w:szCs w:val="24"/>
          <w:highlight w:val="none"/>
        </w:rPr>
        <w:t>的供应商应承担其编制响应文件与递交响应文件所涉及的一切费用，不论</w:t>
      </w:r>
      <w:r>
        <w:rPr>
          <w:rFonts w:hint="eastAsia" w:hAnsi="宋体" w:cs="宋体"/>
          <w:color w:val="auto"/>
          <w:sz w:val="24"/>
          <w:szCs w:val="24"/>
          <w:highlight w:val="none"/>
          <w:lang w:eastAsia="zh-CN"/>
        </w:rPr>
        <w:t>磋商</w:t>
      </w:r>
      <w:r>
        <w:rPr>
          <w:rFonts w:hint="eastAsia" w:hAnsi="宋体" w:cs="宋体"/>
          <w:color w:val="auto"/>
          <w:sz w:val="24"/>
          <w:szCs w:val="24"/>
          <w:highlight w:val="none"/>
        </w:rPr>
        <w:t>结果如何，采购人在任何情况下无义务也无责任承担这些费用。</w:t>
      </w:r>
    </w:p>
    <w:p>
      <w:pPr>
        <w:pStyle w:val="4"/>
        <w:tabs>
          <w:tab w:val="left" w:pos="2640"/>
        </w:tabs>
        <w:spacing w:before="0" w:after="0" w:line="360" w:lineRule="auto"/>
        <w:rPr>
          <w:rFonts w:ascii="宋体" w:hAnsi="宋体" w:cs="宋体"/>
          <w:color w:val="auto"/>
          <w:sz w:val="24"/>
          <w:szCs w:val="24"/>
          <w:highlight w:val="none"/>
        </w:rPr>
      </w:pPr>
      <w:bookmarkStart w:id="95" w:name="_Toc342913391"/>
      <w:bookmarkStart w:id="96" w:name="_Toc29852"/>
      <w:bookmarkStart w:id="97" w:name="_Toc9574"/>
      <w:bookmarkStart w:id="98" w:name="_Toc889"/>
      <w:r>
        <w:rPr>
          <w:rFonts w:hint="eastAsia" w:ascii="宋体" w:hAnsi="宋体" w:cs="宋体"/>
          <w:color w:val="auto"/>
          <w:sz w:val="24"/>
          <w:szCs w:val="24"/>
          <w:highlight w:val="none"/>
        </w:rPr>
        <w:t>二、</w:t>
      </w:r>
      <w:r>
        <w:rPr>
          <w:rFonts w:hint="eastAsia" w:ascii="宋体" w:hAnsi="宋体" w:cs="宋体"/>
          <w:color w:val="auto"/>
          <w:sz w:val="24"/>
          <w:szCs w:val="24"/>
          <w:highlight w:val="none"/>
          <w:lang w:eastAsia="zh-CN"/>
        </w:rPr>
        <w:t>磋商</w:t>
      </w:r>
      <w:r>
        <w:rPr>
          <w:rFonts w:ascii="宋体" w:hAnsi="宋体" w:cs="宋体"/>
          <w:color w:val="auto"/>
          <w:sz w:val="24"/>
          <w:szCs w:val="24"/>
          <w:highlight w:val="none"/>
        </w:rPr>
        <w:t>采购</w:t>
      </w:r>
      <w:r>
        <w:rPr>
          <w:rFonts w:hint="eastAsia" w:ascii="宋体" w:hAnsi="宋体" w:cs="宋体"/>
          <w:color w:val="auto"/>
          <w:sz w:val="24"/>
          <w:szCs w:val="24"/>
          <w:highlight w:val="none"/>
        </w:rPr>
        <w:t>文件</w:t>
      </w:r>
      <w:bookmarkEnd w:id="95"/>
      <w:bookmarkEnd w:id="96"/>
      <w:bookmarkEnd w:id="97"/>
      <w:bookmarkEnd w:id="98"/>
    </w:p>
    <w:p>
      <w:pPr>
        <w:pStyle w:val="4"/>
        <w:spacing w:before="0" w:after="0" w:line="360" w:lineRule="auto"/>
        <w:ind w:firstLine="480" w:firstLineChars="200"/>
        <w:rPr>
          <w:rFonts w:hint="eastAsia" w:ascii="宋体" w:hAnsi="宋体" w:eastAsia="宋体" w:cs="宋体"/>
          <w:b w:val="0"/>
          <w:color w:val="auto"/>
          <w:kern w:val="2"/>
          <w:sz w:val="24"/>
          <w:szCs w:val="24"/>
          <w:highlight w:val="none"/>
          <w:lang w:val="en-US" w:eastAsia="zh-CN" w:bidi="ar-SA"/>
        </w:rPr>
      </w:pPr>
      <w:bookmarkStart w:id="99" w:name="_Toc179714297"/>
      <w:bookmarkStart w:id="100" w:name="_Toc1269"/>
      <w:bookmarkStart w:id="101" w:name="_Toc102227318"/>
      <w:bookmarkStart w:id="102" w:name="_Toc16134"/>
      <w:bookmarkStart w:id="103" w:name="_Toc342913392"/>
      <w:bookmarkStart w:id="104" w:name="_Toc19161"/>
      <w:r>
        <w:rPr>
          <w:rFonts w:hint="eastAsia" w:ascii="宋体" w:hAnsi="宋体" w:eastAsia="宋体" w:cs="宋体"/>
          <w:b w:val="0"/>
          <w:color w:val="auto"/>
          <w:kern w:val="2"/>
          <w:sz w:val="24"/>
          <w:szCs w:val="24"/>
          <w:highlight w:val="none"/>
          <w:lang w:val="en-US" w:eastAsia="zh-CN" w:bidi="ar-SA"/>
        </w:rPr>
        <w:t>（一）竞争性磋商文件由采购邀请书、项目服务需求、供应商须知、项目商务需求、磋商程序及方法、评审标准、无效响应和采购终止、供应商须知、政府采购合同、响应文件编制要求七部分组成。</w:t>
      </w:r>
    </w:p>
    <w:p>
      <w:pPr>
        <w:pStyle w:val="4"/>
        <w:spacing w:before="0" w:after="0" w:line="360" w:lineRule="auto"/>
        <w:ind w:firstLine="480" w:firstLineChars="20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（二）采购人所作的一切有效的书面通知、修改及补充，都是竞争性磋商文件不可分割的部分。</w:t>
      </w:r>
    </w:p>
    <w:p>
      <w:pPr>
        <w:pStyle w:val="4"/>
        <w:spacing w:before="0" w:after="0" w:line="360" w:lineRule="auto"/>
        <w:ind w:firstLine="480" w:firstLineChars="20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（三）竞争性磋商文件的解释</w:t>
      </w:r>
    </w:p>
    <w:p>
      <w:pPr>
        <w:pStyle w:val="4"/>
        <w:spacing w:before="0" w:after="0" w:line="360" w:lineRule="auto"/>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供应商如对竞争性磋商文件有疑问，必须以书面形式在提交响应文件截止时间3个工作日前向采购人要求澄清，采购人可视具体情况做出处理或答复。如供应商未提出疑问，视为完全理解并同意本竞争性磋商文件。一经进入磋商程序，即视为供应商已详细阅读全部文件资料，完全理解竞争性磋商文件所有条款内容并同意放弃对这方面有不明白及误解的权利。</w:t>
      </w:r>
    </w:p>
    <w:p>
      <w:pPr>
        <w:pStyle w:val="4"/>
        <w:spacing w:before="0" w:after="0" w:line="360" w:lineRule="auto"/>
        <w:ind w:firstLine="480" w:firstLineChars="20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（四）本竞争性磋商文件中，磋商小组根据与供应商进行磋商可能实质性变动的内容为竞争性磋商文件第二、三、六篇全部内容。</w:t>
      </w:r>
    </w:p>
    <w:p>
      <w:pPr>
        <w:pStyle w:val="4"/>
        <w:spacing w:before="0" w:after="0" w:line="360" w:lineRule="auto"/>
        <w:ind w:firstLine="480" w:firstLineChars="20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（五）评审的依据为竞争性磋商文件和响应文件（含有效的书面承诺）。磋商小组判断响应文件对竞争性磋商文件的响应，仅基于响应文件本身而不靠外部证据。</w:t>
      </w:r>
    </w:p>
    <w:p>
      <w:pPr>
        <w:pStyle w:val="4"/>
        <w:spacing w:before="0"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三、</w:t>
      </w:r>
      <w:r>
        <w:rPr>
          <w:rFonts w:hint="eastAsia" w:ascii="宋体" w:hAnsi="宋体" w:cs="宋体"/>
          <w:color w:val="auto"/>
          <w:sz w:val="24"/>
          <w:szCs w:val="24"/>
          <w:highlight w:val="none"/>
          <w:lang w:eastAsia="zh-CN"/>
        </w:rPr>
        <w:t>磋商</w:t>
      </w:r>
      <w:r>
        <w:rPr>
          <w:rFonts w:hint="eastAsia" w:ascii="宋体" w:hAnsi="宋体" w:cs="宋体"/>
          <w:color w:val="auto"/>
          <w:sz w:val="24"/>
          <w:szCs w:val="24"/>
          <w:highlight w:val="none"/>
        </w:rPr>
        <w:t>要求</w:t>
      </w:r>
      <w:bookmarkEnd w:id="99"/>
      <w:bookmarkEnd w:id="100"/>
      <w:bookmarkEnd w:id="101"/>
      <w:bookmarkEnd w:id="102"/>
      <w:bookmarkEnd w:id="103"/>
      <w:bookmarkEnd w:id="104"/>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（一）响应文件</w:t>
      </w:r>
      <w:bookmarkStart w:id="105" w:name="_Toc18360"/>
      <w:bookmarkStart w:id="106" w:name="_Toc13950"/>
      <w:bookmarkStart w:id="107" w:name="_Toc10966"/>
    </w:p>
    <w:p>
      <w:pPr>
        <w:spacing w:line="360" w:lineRule="auto"/>
        <w:ind w:firstLine="480" w:firstLineChars="20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1.供应商应当按照竞争性磋商文件的要求编制响应文件，并对竞争性磋商文件提出的要求和条件作出实质性响应，响应文件原则上采用软面订本，同时应编制完整的页码、目录。</w:t>
      </w:r>
    </w:p>
    <w:p>
      <w:pPr>
        <w:spacing w:line="360" w:lineRule="auto"/>
        <w:ind w:firstLine="480" w:firstLineChars="20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2.响应文件组成</w:t>
      </w:r>
    </w:p>
    <w:p>
      <w:pPr>
        <w:spacing w:line="360" w:lineRule="auto"/>
        <w:ind w:firstLine="480" w:firstLineChars="20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pStyle w:val="4"/>
        <w:spacing w:before="0" w:after="0" w:line="360" w:lineRule="auto"/>
        <w:ind w:firstLine="480" w:firstLineChars="20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（二）磋商有效期：响应文件及有关承诺文件有效期为提交响应文件截止时间起90天。</w:t>
      </w:r>
    </w:p>
    <w:p>
      <w:pPr>
        <w:pStyle w:val="4"/>
        <w:spacing w:before="0" w:after="0" w:line="360" w:lineRule="auto"/>
        <w:ind w:firstLine="480" w:firstLineChars="20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（三）修正错误</w:t>
      </w:r>
    </w:p>
    <w:p>
      <w:pPr>
        <w:pStyle w:val="4"/>
        <w:spacing w:before="0" w:after="0" w:line="360" w:lineRule="auto"/>
        <w:ind w:firstLine="480" w:firstLineChars="20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1.若供应商所递交的响应文件或最后报价中的价格出现大写金额和小写金额不一致的错误，以大写金额修正为准。</w:t>
      </w:r>
    </w:p>
    <w:p>
      <w:pPr>
        <w:pStyle w:val="4"/>
        <w:spacing w:before="0" w:after="0" w:line="360" w:lineRule="auto"/>
        <w:ind w:firstLine="480" w:firstLineChars="20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2.磋商小组按上述修正错误的原则及方法修正供应商的报价，供应商同意并签字确认后，修正后的报价对供应商具有约束作用。如果供应商不接受修正后的价格，将失去成为成交供应商的资格。</w:t>
      </w:r>
    </w:p>
    <w:p>
      <w:pPr>
        <w:pStyle w:val="4"/>
        <w:spacing w:before="0" w:after="0" w:line="360" w:lineRule="auto"/>
        <w:ind w:firstLine="480" w:firstLineChars="20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（四）提交响应文件的份数和签署</w:t>
      </w:r>
    </w:p>
    <w:p>
      <w:pPr>
        <w:pStyle w:val="4"/>
        <w:spacing w:before="0" w:after="0" w:line="360" w:lineRule="auto"/>
        <w:ind w:firstLine="480" w:firstLineChars="20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1.响应文件一式两份，其中正本一份，副本一份；副本可为正本的复印件，应与正本一致，如出现不一致情况以正本为准。</w:t>
      </w:r>
    </w:p>
    <w:p>
      <w:pPr>
        <w:pStyle w:val="4"/>
        <w:spacing w:before="0" w:after="0" w:line="360" w:lineRule="auto"/>
        <w:ind w:firstLine="480" w:firstLineChars="20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2.响应文件按竞争性磋商文件“第七篇响应文件编制要求”要求签署或盖章。</w:t>
      </w:r>
    </w:p>
    <w:p>
      <w:pPr>
        <w:pStyle w:val="4"/>
        <w:spacing w:before="0" w:after="0" w:line="360" w:lineRule="auto"/>
        <w:ind w:firstLine="240" w:firstLineChars="10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（五）响应文件的递交</w:t>
      </w:r>
    </w:p>
    <w:p>
      <w:pPr>
        <w:pStyle w:val="4"/>
        <w:spacing w:before="0" w:after="0" w:line="360" w:lineRule="auto"/>
        <w:ind w:firstLine="480" w:firstLineChars="20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响应文件的正本、副本均应密封送达磋商地点，应在封套上注明磋商项目名称、供应商名称。若正本、副本分别进行密封的，还应在封套上注明“正本”、“副本”字样。</w:t>
      </w:r>
    </w:p>
    <w:p>
      <w:pPr>
        <w:pStyle w:val="4"/>
        <w:spacing w:before="0" w:after="0" w:line="360" w:lineRule="auto"/>
        <w:ind w:firstLine="480" w:firstLineChars="20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（六）供应商参与人员</w:t>
      </w:r>
    </w:p>
    <w:p>
      <w:pPr>
        <w:pStyle w:val="4"/>
        <w:spacing w:before="0" w:after="0" w:line="360" w:lineRule="auto"/>
        <w:ind w:firstLine="480" w:firstLineChars="20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各个供应商应当派1-2名代表参与磋商，至少1人应为法定代表人（或其授权代表）或自然人（供应商为自然人）。</w:t>
      </w:r>
    </w:p>
    <w:p>
      <w:pPr>
        <w:pStyle w:val="4"/>
        <w:spacing w:before="0"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四、成交供应商的确认和变更</w:t>
      </w:r>
      <w:bookmarkEnd w:id="105"/>
      <w:bookmarkEnd w:id="106"/>
      <w:bookmarkEnd w:id="107"/>
    </w:p>
    <w:p>
      <w:pPr>
        <w:pStyle w:val="4"/>
        <w:spacing w:before="0" w:after="0" w:line="360" w:lineRule="auto"/>
        <w:ind w:firstLine="480" w:firstLineChars="200"/>
        <w:rPr>
          <w:rFonts w:hint="eastAsia" w:ascii="宋体" w:hAnsi="宋体" w:eastAsia="宋体" w:cs="宋体"/>
          <w:b w:val="0"/>
          <w:color w:val="auto"/>
          <w:kern w:val="2"/>
          <w:sz w:val="24"/>
          <w:szCs w:val="24"/>
          <w:highlight w:val="none"/>
          <w:lang w:val="en-US" w:eastAsia="zh-CN" w:bidi="ar-SA"/>
        </w:rPr>
      </w:pPr>
      <w:bookmarkStart w:id="108" w:name="_Toc16678"/>
      <w:bookmarkStart w:id="109" w:name="_Toc102227321"/>
      <w:bookmarkStart w:id="110" w:name="_Toc9338"/>
      <w:bookmarkStart w:id="111" w:name="_Toc12171"/>
      <w:bookmarkStart w:id="112" w:name="_Toc342913395"/>
      <w:r>
        <w:rPr>
          <w:rFonts w:hint="eastAsia" w:ascii="宋体" w:hAnsi="宋体" w:eastAsia="宋体" w:cs="宋体"/>
          <w:b w:val="0"/>
          <w:color w:val="auto"/>
          <w:kern w:val="2"/>
          <w:sz w:val="24"/>
          <w:szCs w:val="24"/>
          <w:highlight w:val="none"/>
          <w:lang w:val="en-US" w:eastAsia="zh-CN" w:bidi="ar-SA"/>
        </w:rPr>
        <w:t>（一）成交供应商的确认</w:t>
      </w:r>
    </w:p>
    <w:p>
      <w:pPr>
        <w:pStyle w:val="4"/>
        <w:spacing w:before="0" w:after="0" w:line="360" w:lineRule="auto"/>
        <w:rPr>
          <w:rFonts w:hint="eastAsia" w:ascii="宋体" w:hAnsi="宋体" w:eastAsia="宋体" w:cs="宋体"/>
          <w:b w:val="0"/>
          <w:color w:val="auto"/>
          <w:kern w:val="2"/>
          <w:sz w:val="24"/>
          <w:szCs w:val="24"/>
          <w:highlight w:val="none"/>
          <w:lang w:val="en-US" w:eastAsia="zh-CN" w:bidi="ar-SA"/>
        </w:rPr>
      </w:pPr>
      <w:r>
        <w:rPr>
          <w:rFonts w:hint="eastAsia" w:ascii="宋体" w:hAnsi="宋体" w:cs="宋体"/>
          <w:b w:val="0"/>
          <w:color w:val="auto"/>
          <w:kern w:val="2"/>
          <w:sz w:val="24"/>
          <w:szCs w:val="24"/>
          <w:highlight w:val="none"/>
          <w:lang w:val="en-US" w:eastAsia="zh-CN" w:bidi="ar-SA"/>
        </w:rPr>
        <w:t>采购人</w:t>
      </w:r>
      <w:r>
        <w:rPr>
          <w:rFonts w:hint="eastAsia" w:ascii="宋体" w:hAnsi="宋体" w:eastAsia="宋体" w:cs="宋体"/>
          <w:b w:val="0"/>
          <w:color w:val="auto"/>
          <w:kern w:val="2"/>
          <w:sz w:val="24"/>
          <w:szCs w:val="24"/>
          <w:highlight w:val="none"/>
          <w:lang w:val="en-US" w:eastAsia="zh-CN" w:bidi="ar-SA"/>
        </w:rPr>
        <w:t>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pStyle w:val="4"/>
        <w:spacing w:before="0" w:after="0" w:line="360" w:lineRule="auto"/>
        <w:ind w:firstLine="480" w:firstLineChars="20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（二）成交供应商的变更</w:t>
      </w:r>
    </w:p>
    <w:p>
      <w:pPr>
        <w:pStyle w:val="4"/>
        <w:spacing w:before="0" w:after="0" w:line="360" w:lineRule="auto"/>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成交供应商拒绝与采购人签订合同的，采购人可以按照评标报告推荐的成交候选供应商顺序，确定排名下一位的候选人为成交供应商，也可以重新开展政府采购活动。</w:t>
      </w:r>
    </w:p>
    <w:p>
      <w:pPr>
        <w:pStyle w:val="4"/>
        <w:spacing w:before="0"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五、成交通知</w:t>
      </w:r>
      <w:bookmarkEnd w:id="108"/>
      <w:bookmarkEnd w:id="109"/>
      <w:bookmarkEnd w:id="110"/>
      <w:bookmarkEnd w:id="111"/>
      <w:bookmarkEnd w:id="112"/>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（一）成交供应商确定后，采购人将在“建桥工业园”（http://www.jqgyy.com/）上发布成交结果公告。</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（二）结果公告发出同时，采购人将以书面形式发出《成交通知书》。《成交通知书》一经发出即发生法律效力。成交人需持经办人介绍信、身份证复印件到采购人处领取。</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（三）《成交通知书》将作为签订合同的依据。</w:t>
      </w:r>
    </w:p>
    <w:p>
      <w:pPr>
        <w:pStyle w:val="4"/>
        <w:spacing w:before="0" w:after="0" w:line="360" w:lineRule="auto"/>
        <w:rPr>
          <w:rFonts w:ascii="宋体" w:hAnsi="宋体" w:cs="宋体"/>
          <w:color w:val="auto"/>
          <w:sz w:val="24"/>
          <w:szCs w:val="24"/>
          <w:highlight w:val="none"/>
        </w:rPr>
      </w:pPr>
      <w:bookmarkStart w:id="113" w:name="_Toc1331"/>
      <w:bookmarkStart w:id="114" w:name="_Toc14603"/>
      <w:bookmarkStart w:id="115" w:name="_Toc4498"/>
      <w:r>
        <w:rPr>
          <w:rFonts w:hint="eastAsia" w:ascii="宋体" w:hAnsi="宋体" w:cs="宋体"/>
          <w:color w:val="auto"/>
          <w:sz w:val="24"/>
          <w:szCs w:val="24"/>
          <w:highlight w:val="none"/>
        </w:rPr>
        <w:t>六、关于咨询</w:t>
      </w:r>
      <w:bookmarkEnd w:id="113"/>
      <w:bookmarkEnd w:id="114"/>
      <w:bookmarkEnd w:id="115"/>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（一）质疑</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供应商认为采购文件、采购过程和成交结果使自己的权益收到伤害的，可向采购人以书面形式提出质疑。</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提出质疑的应当是参与所质疑项目采购活动的供应商。 </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1.质疑时限、内容</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供应商认为采购文件、采购过程、成交结果使自己的权益受到损害的，可以在知道或者应知其权益受到损害之日起7个工作日内，以书面形式向采购人提出质疑。</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1.2供应商提出质疑应当提交质疑函和必要的证明材料，质疑函应当包括下列内容：</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1.2.1供应商的姓名或者名称、地址、邮编、联系人及联系电话；</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1.2.2质疑项目的名称、项目号以及磋商项目编号；</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1.2.3具体、明确的质疑事项和与质疑事项相关的请求；</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1.2.4事实依据；</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1.2.5必要的法律依据；</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1.2.6提出质疑的日期；</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1.2.7营业执照（或事业单位法人证书，或个体工商户营业执照或有效的自然人身份证明）复印件；</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1.2.8法定代表人授权委托书原件、法定代表人身份证复印件和其授权代表的身份证复印件（供应商为自然人的提供自然人身份证复印件）；</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1.3供应商为自然人的，质疑函应当由本人签字；供应商为法人或者其他组织的，质疑函应当由法定代表人、主要负责人，或者其授权代表签字或者盖章，并加盖公章。</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2.质疑答复</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采购人应当在收到供应商的书面质疑后七个工作日内作出答复，并以书面形式通知质疑供应商和其他有关供应商。</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3.不予受理或暂缓受理</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3.1质疑有下列情形之一的，不予受理：</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3.1.1质疑供应商参与了磋商活动后，再对竞争性磋商文件内容提出质疑的；</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3.1.2质疑超过有效期的；</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3.1.3对同一事项重复质疑的。</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3.2质疑有下列情形之一的，应暂不受理并告知供应商补充材料。供应商及时补充材料的，应予受理；逾期未补充的，不予受理：</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3.2.1质疑书格式和内容不符合国家或重庆市相关规定的；</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3.2.2质疑书提供的依据或证明材料不全的；</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3.2.3质疑书副本数量不足的。</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3.其他</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3.1供应商应按照《政府采购质疑和投诉办法》（财政部令第94号）及相关法律法规要求，在法定质疑期内一次性提出针对同一采购程序环节的质疑。</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3.2质疑函范本可在财政部门户网站和中国政府采购网下载。</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（二）投诉</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1.供应商对采购人的答复不满意，或者采购人未在规定时间内作出答复的，可以在答复期满后15个工作日内按照相关法律法规向财政部门提起投诉。</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2.供应商应按照《政府采购质疑和投诉办法》（财政部令第94号）及相关法律法规要求递交投诉书和必要的证明材料。投诉书范本可在财政部门户网站和中国政府采购网下载。</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4.在确定受理投诉后，财政部门自受理投诉之日起30个工作日内（需要检验、检测、鉴定、专家评审以及需要投诉人补正材料的，所需时间不计算在投诉处理期限内）对投诉事项做出处理决定。</w:t>
      </w:r>
    </w:p>
    <w:p>
      <w:pPr>
        <w:pStyle w:val="4"/>
        <w:spacing w:before="0" w:after="0" w:line="360" w:lineRule="auto"/>
        <w:rPr>
          <w:rFonts w:ascii="宋体" w:hAnsi="宋体" w:cs="宋体"/>
          <w:color w:val="auto"/>
          <w:sz w:val="24"/>
          <w:szCs w:val="24"/>
          <w:highlight w:val="none"/>
        </w:rPr>
      </w:pPr>
      <w:bookmarkStart w:id="116" w:name="_Toc102227322"/>
      <w:bookmarkStart w:id="117" w:name="_Toc3254"/>
      <w:bookmarkStart w:id="118" w:name="_Toc342913396"/>
      <w:bookmarkStart w:id="119" w:name="_Toc9092"/>
      <w:bookmarkStart w:id="120" w:name="_Toc9382"/>
      <w:bookmarkStart w:id="121" w:name="_Toc12789059"/>
      <w:bookmarkStart w:id="122" w:name="_Toc11641055"/>
      <w:r>
        <w:rPr>
          <w:rFonts w:hint="eastAsia" w:ascii="宋体" w:hAnsi="宋体" w:cs="宋体"/>
          <w:color w:val="auto"/>
          <w:sz w:val="24"/>
          <w:szCs w:val="24"/>
          <w:highlight w:val="none"/>
        </w:rPr>
        <w:t>七、签订</w:t>
      </w:r>
      <w:bookmarkEnd w:id="116"/>
      <w:r>
        <w:rPr>
          <w:rFonts w:hint="eastAsia" w:ascii="宋体" w:hAnsi="宋体" w:cs="宋体"/>
          <w:color w:val="auto"/>
          <w:sz w:val="24"/>
          <w:szCs w:val="24"/>
          <w:highlight w:val="none"/>
        </w:rPr>
        <w:t>合同</w:t>
      </w:r>
      <w:bookmarkEnd w:id="117"/>
      <w:bookmarkEnd w:id="118"/>
      <w:bookmarkEnd w:id="119"/>
      <w:bookmarkEnd w:id="120"/>
    </w:p>
    <w:p>
      <w:pPr>
        <w:spacing w:line="360" w:lineRule="auto"/>
        <w:ind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一）采购人应当自成交通知书发出之日起三十日内，按照竞争性磋商文件和成交供应商响应文件的约定，与成交供应商签订书面合同。所签订的合同不得对竞争性磋商文件和供应商的响应文件作实质性修改。其他未尽事宜由采购人和成交供应商在采购合同中详细约定。</w:t>
      </w:r>
    </w:p>
    <w:p>
      <w:pPr>
        <w:spacing w:line="360" w:lineRule="auto"/>
        <w:ind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（二）竞争性磋商文件、供应商的响应文件及澄清文件等，均为签订政府采购合同的依据。</w:t>
      </w:r>
    </w:p>
    <w:p>
      <w:pPr>
        <w:spacing w:line="360" w:lineRule="auto"/>
        <w:ind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（三）合同生效条款由供需双方约定，法律、行政法规规定应当办理批准、登记等手续后生效的合同，依照其规定。</w:t>
      </w:r>
    </w:p>
    <w:p>
      <w:pPr>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（四）合同原则上应按照《重庆市政府采购合同》签订，相关单位要求适用合同通用格式版本的，应按其要求另行签订其他合同。</w:t>
      </w:r>
    </w:p>
    <w:p>
      <w:pPr>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（五）采购人要求成交供应商提供履约保证金的，应当在竞争性磋商文件中予以约定。成交供应商履约完毕后，采购人根据采购文件规定退还其履约保证金。</w:t>
      </w:r>
    </w:p>
    <w:p>
      <w:pPr>
        <w:pStyle w:val="11"/>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八、政府采购信用融资</w:t>
      </w:r>
    </w:p>
    <w:p>
      <w:pPr>
        <w:pStyle w:val="3"/>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 xml:space="preserve">  竞标人参与重庆市政府采购活动，成为成交人，并与采购人签订政府采购合同后，可按照重庆市政府采购支持中小企业信用融资办法的规定，向开展政府采购信用融资业务的银行申请贷款。具体内容详见重庆市重庆市政府采购网“政采贷”信息专栏。建设银行联系人：吴言18602391953；工商银行联系人：程剑鹏18325073918 游宇13996150404; 兴业银行联系人：陈亚琴15223442359；光大银行联系人：韩一夫13983233666；农业银行联系人：张世佳19946916067；华夏银行重庆分行联系人：危经理13618303013胡经理</w:t>
      </w:r>
    </w:p>
    <w:p>
      <w:pPr>
        <w:pStyle w:val="3"/>
        <w:pageBreakBefore w:val="0"/>
        <w:widowControl w:val="0"/>
        <w:kinsoku/>
        <w:wordWrap/>
        <w:overflowPunct/>
        <w:topLinePunct w:val="0"/>
        <w:autoSpaceDE/>
        <w:autoSpaceDN/>
        <w:bidi w:val="0"/>
        <w:adjustRightInd/>
        <w:snapToGrid/>
        <w:spacing w:before="0" w:after="0" w:line="360" w:lineRule="auto"/>
        <w:jc w:val="both"/>
        <w:textAlignment w:val="auto"/>
        <w:rPr>
          <w:rFonts w:ascii="宋体" w:hAnsi="宋体" w:eastAsia="宋体" w:cs="宋体"/>
          <w:b w:val="0"/>
          <w:color w:val="auto"/>
          <w:sz w:val="36"/>
          <w:szCs w:val="30"/>
          <w:highlight w:val="none"/>
        </w:rPr>
      </w:pPr>
      <w:r>
        <w:rPr>
          <w:rFonts w:hint="eastAsia" w:ascii="宋体" w:hAnsi="宋体" w:eastAsia="宋体" w:cs="宋体"/>
          <w:b w:val="0"/>
          <w:color w:val="auto"/>
          <w:kern w:val="2"/>
          <w:sz w:val="24"/>
          <w:szCs w:val="24"/>
          <w:highlight w:val="none"/>
          <w:lang w:val="en-US" w:eastAsia="zh-CN" w:bidi="ar-SA"/>
        </w:rPr>
        <w:t>18580766891。</w:t>
      </w:r>
      <w:r>
        <w:rPr>
          <w:rFonts w:hint="eastAsia" w:ascii="宋体" w:hAnsi="宋体" w:eastAsia="宋体" w:cs="宋体"/>
          <w:b w:val="0"/>
          <w:color w:val="auto"/>
          <w:kern w:val="2"/>
          <w:sz w:val="24"/>
          <w:szCs w:val="24"/>
          <w:highlight w:val="none"/>
          <w:lang w:val="en-US" w:eastAsia="zh-CN" w:bidi="ar-SA"/>
        </w:rPr>
        <w:br w:type="page"/>
      </w:r>
      <w:bookmarkStart w:id="123" w:name="_Toc22179"/>
      <w:bookmarkStart w:id="124" w:name="_Toc5841"/>
      <w:bookmarkStart w:id="125" w:name="_Toc25359"/>
      <w:r>
        <w:rPr>
          <w:rFonts w:hint="eastAsia" w:ascii="宋体" w:hAnsi="宋体" w:eastAsia="宋体" w:cs="宋体"/>
          <w:bCs/>
          <w:color w:val="auto"/>
          <w:sz w:val="36"/>
          <w:szCs w:val="30"/>
          <w:highlight w:val="none"/>
        </w:rPr>
        <w:t xml:space="preserve">第六篇 </w:t>
      </w:r>
      <w:bookmarkEnd w:id="121"/>
      <w:bookmarkEnd w:id="122"/>
      <w:bookmarkEnd w:id="123"/>
      <w:bookmarkEnd w:id="124"/>
      <w:bookmarkEnd w:id="125"/>
    </w:p>
    <w:p>
      <w:pPr>
        <w:pStyle w:val="3"/>
        <w:jc w:val="center"/>
        <w:rPr>
          <w:rFonts w:ascii="楷体_GB2312" w:hAnsi="新宋体" w:eastAsia="楷体_GB2312"/>
          <w:color w:val="auto"/>
          <w:sz w:val="44"/>
          <w:szCs w:val="44"/>
          <w:highlight w:val="none"/>
        </w:rPr>
      </w:pPr>
      <w:bookmarkStart w:id="126" w:name="_Hlt41879464"/>
      <w:bookmarkEnd w:id="126"/>
      <w:bookmarkStart w:id="127" w:name="_Toc12789072"/>
      <w:bookmarkStart w:id="128" w:name="_Toc32160"/>
      <w:bookmarkStart w:id="129" w:name="_Toc3907"/>
      <w:bookmarkStart w:id="130" w:name="_Toc29402"/>
      <w:r>
        <w:rPr>
          <w:rFonts w:hint="eastAsia" w:ascii="楷体_GB2312" w:hAnsi="新宋体" w:eastAsia="楷体_GB2312"/>
          <w:color w:val="auto"/>
          <w:sz w:val="44"/>
          <w:szCs w:val="44"/>
          <w:highlight w:val="none"/>
        </w:rPr>
        <w:t>施工阶段工程造价全过程控制咨询合同</w:t>
      </w:r>
    </w:p>
    <w:p>
      <w:pPr>
        <w:jc w:val="center"/>
        <w:rPr>
          <w:rFonts w:eastAsia="方正姚体"/>
          <w:iCs/>
          <w:color w:val="auto"/>
          <w:sz w:val="44"/>
          <w:highlight w:val="none"/>
        </w:rPr>
      </w:pPr>
    </w:p>
    <w:p>
      <w:pPr>
        <w:jc w:val="center"/>
        <w:rPr>
          <w:rFonts w:eastAsia="方正姚体"/>
          <w:iCs/>
          <w:color w:val="auto"/>
          <w:sz w:val="44"/>
          <w:highlight w:val="none"/>
        </w:rPr>
      </w:pPr>
    </w:p>
    <w:p>
      <w:pPr>
        <w:autoSpaceDE w:val="0"/>
        <w:autoSpaceDN w:val="0"/>
        <w:adjustRightInd w:val="0"/>
        <w:spacing w:line="560" w:lineRule="exact"/>
        <w:ind w:firstLine="594" w:firstLineChars="198"/>
        <w:jc w:val="left"/>
        <w:rPr>
          <w:rFonts w:ascii="黑体" w:eastAsia="黑体" w:cs="仿宋_GB2312"/>
          <w:bCs/>
          <w:color w:val="auto"/>
          <w:kern w:val="0"/>
          <w:sz w:val="30"/>
          <w:szCs w:val="30"/>
          <w:highlight w:val="none"/>
          <w:lang w:val="zh-CN"/>
        </w:rPr>
      </w:pPr>
    </w:p>
    <w:p>
      <w:pPr>
        <w:autoSpaceDE w:val="0"/>
        <w:autoSpaceDN w:val="0"/>
        <w:adjustRightInd w:val="0"/>
        <w:spacing w:line="560" w:lineRule="exact"/>
        <w:ind w:firstLine="640" w:firstLineChars="200"/>
        <w:jc w:val="left"/>
        <w:rPr>
          <w:rFonts w:ascii="新宋体" w:hAnsi="新宋体" w:eastAsia="新宋体" w:cs="新宋体"/>
          <w:bCs/>
          <w:color w:val="auto"/>
          <w:kern w:val="0"/>
          <w:sz w:val="32"/>
          <w:szCs w:val="32"/>
          <w:highlight w:val="none"/>
          <w:u w:val="single"/>
          <w:lang w:val="zh-CN"/>
        </w:rPr>
      </w:pPr>
      <w:r>
        <w:rPr>
          <w:rFonts w:hint="eastAsia" w:ascii="新宋体" w:hAnsi="新宋体" w:eastAsia="新宋体" w:cs="新宋体"/>
          <w:bCs/>
          <w:color w:val="auto"/>
          <w:kern w:val="0"/>
          <w:sz w:val="32"/>
          <w:szCs w:val="32"/>
          <w:highlight w:val="none"/>
          <w:lang w:val="zh-CN"/>
        </w:rPr>
        <w:t>委托单位：</w:t>
      </w:r>
    </w:p>
    <w:p>
      <w:pPr>
        <w:autoSpaceDE w:val="0"/>
        <w:autoSpaceDN w:val="0"/>
        <w:adjustRightInd w:val="0"/>
        <w:spacing w:line="560" w:lineRule="exact"/>
        <w:jc w:val="left"/>
        <w:rPr>
          <w:rFonts w:ascii="新宋体" w:hAnsi="新宋体" w:eastAsia="新宋体" w:cs="新宋体"/>
          <w:bCs/>
          <w:color w:val="auto"/>
          <w:kern w:val="0"/>
          <w:sz w:val="32"/>
          <w:szCs w:val="32"/>
          <w:highlight w:val="none"/>
          <w:u w:val="single"/>
          <w:lang w:val="zh-CN"/>
        </w:rPr>
      </w:pPr>
    </w:p>
    <w:p>
      <w:pPr>
        <w:ind w:firstLine="640" w:firstLineChars="200"/>
        <w:rPr>
          <w:rFonts w:ascii="新宋体" w:hAnsi="新宋体" w:eastAsia="新宋体" w:cs="新宋体"/>
          <w:bCs/>
          <w:color w:val="auto"/>
          <w:kern w:val="0"/>
          <w:sz w:val="32"/>
          <w:szCs w:val="32"/>
          <w:highlight w:val="none"/>
          <w:u w:val="single"/>
        </w:rPr>
      </w:pPr>
      <w:r>
        <w:rPr>
          <w:rFonts w:hint="eastAsia" w:ascii="新宋体" w:hAnsi="新宋体" w:eastAsia="新宋体" w:cs="新宋体"/>
          <w:bCs/>
          <w:color w:val="auto"/>
          <w:kern w:val="0"/>
          <w:sz w:val="32"/>
          <w:szCs w:val="32"/>
          <w:highlight w:val="none"/>
          <w:lang w:val="zh-CN"/>
        </w:rPr>
        <w:t>咨询单位：</w:t>
      </w:r>
    </w:p>
    <w:p>
      <w:pPr>
        <w:autoSpaceDE w:val="0"/>
        <w:autoSpaceDN w:val="0"/>
        <w:adjustRightInd w:val="0"/>
        <w:spacing w:line="560" w:lineRule="exact"/>
        <w:ind w:firstLine="590"/>
        <w:jc w:val="left"/>
        <w:rPr>
          <w:rFonts w:ascii="新宋体" w:hAnsi="新宋体" w:eastAsia="新宋体" w:cs="新宋体"/>
          <w:bCs/>
          <w:color w:val="auto"/>
          <w:kern w:val="0"/>
          <w:sz w:val="32"/>
          <w:szCs w:val="32"/>
          <w:highlight w:val="none"/>
          <w:u w:val="single"/>
          <w:lang w:val="zh-CN"/>
        </w:rPr>
      </w:pPr>
    </w:p>
    <w:p>
      <w:pPr>
        <w:autoSpaceDE w:val="0"/>
        <w:autoSpaceDN w:val="0"/>
        <w:adjustRightInd w:val="0"/>
        <w:spacing w:line="560" w:lineRule="exact"/>
        <w:ind w:firstLine="590"/>
        <w:jc w:val="left"/>
        <w:rPr>
          <w:rFonts w:ascii="新宋体" w:hAnsi="新宋体" w:eastAsia="新宋体" w:cs="新宋体"/>
          <w:bCs/>
          <w:color w:val="auto"/>
          <w:kern w:val="0"/>
          <w:sz w:val="32"/>
          <w:szCs w:val="32"/>
          <w:highlight w:val="none"/>
          <w:u w:val="single"/>
          <w:lang w:val="zh-CN"/>
        </w:rPr>
      </w:pPr>
    </w:p>
    <w:p>
      <w:pPr>
        <w:autoSpaceDE w:val="0"/>
        <w:autoSpaceDN w:val="0"/>
        <w:adjustRightInd w:val="0"/>
        <w:spacing w:line="560" w:lineRule="exact"/>
        <w:ind w:firstLine="590"/>
        <w:jc w:val="left"/>
        <w:rPr>
          <w:rFonts w:ascii="新宋体" w:hAnsi="新宋体" w:eastAsia="新宋体" w:cs="新宋体"/>
          <w:bCs/>
          <w:color w:val="auto"/>
          <w:kern w:val="0"/>
          <w:sz w:val="32"/>
          <w:szCs w:val="32"/>
          <w:highlight w:val="none"/>
          <w:u w:val="single"/>
        </w:rPr>
      </w:pPr>
      <w:r>
        <w:rPr>
          <w:rFonts w:hint="eastAsia" w:ascii="新宋体" w:hAnsi="新宋体" w:eastAsia="新宋体" w:cs="新宋体"/>
          <w:bCs/>
          <w:color w:val="auto"/>
          <w:kern w:val="0"/>
          <w:sz w:val="32"/>
          <w:szCs w:val="32"/>
          <w:highlight w:val="none"/>
          <w:lang w:val="zh-CN"/>
        </w:rPr>
        <w:t>工程名称：</w:t>
      </w:r>
    </w:p>
    <w:p>
      <w:pPr>
        <w:autoSpaceDE w:val="0"/>
        <w:autoSpaceDN w:val="0"/>
        <w:adjustRightInd w:val="0"/>
        <w:spacing w:line="560" w:lineRule="exact"/>
        <w:ind w:firstLine="590"/>
        <w:jc w:val="left"/>
        <w:rPr>
          <w:rFonts w:ascii="新宋体" w:hAnsi="新宋体" w:eastAsia="新宋体" w:cs="新宋体"/>
          <w:bCs/>
          <w:color w:val="auto"/>
          <w:kern w:val="0"/>
          <w:sz w:val="32"/>
          <w:szCs w:val="32"/>
          <w:highlight w:val="none"/>
          <w:lang w:val="zh-CN"/>
        </w:rPr>
      </w:pPr>
    </w:p>
    <w:p>
      <w:pPr>
        <w:autoSpaceDE w:val="0"/>
        <w:autoSpaceDN w:val="0"/>
        <w:adjustRightInd w:val="0"/>
        <w:spacing w:line="560" w:lineRule="exact"/>
        <w:ind w:firstLine="590"/>
        <w:jc w:val="left"/>
        <w:rPr>
          <w:rFonts w:ascii="新宋体" w:hAnsi="新宋体" w:eastAsia="新宋体" w:cs="新宋体"/>
          <w:bCs/>
          <w:color w:val="auto"/>
          <w:kern w:val="0"/>
          <w:sz w:val="32"/>
          <w:szCs w:val="32"/>
          <w:highlight w:val="none"/>
          <w:u w:val="single"/>
          <w:lang w:val="zh-CN"/>
        </w:rPr>
      </w:pPr>
    </w:p>
    <w:p>
      <w:pPr>
        <w:autoSpaceDE w:val="0"/>
        <w:autoSpaceDN w:val="0"/>
        <w:adjustRightInd w:val="0"/>
        <w:spacing w:line="560" w:lineRule="exact"/>
        <w:ind w:firstLine="590"/>
        <w:jc w:val="left"/>
        <w:rPr>
          <w:rFonts w:ascii="新宋体" w:hAnsi="新宋体" w:eastAsia="新宋体" w:cs="新宋体"/>
          <w:bCs/>
          <w:color w:val="auto"/>
          <w:kern w:val="0"/>
          <w:sz w:val="32"/>
          <w:szCs w:val="32"/>
          <w:highlight w:val="none"/>
        </w:rPr>
      </w:pPr>
      <w:r>
        <w:rPr>
          <w:rFonts w:hint="eastAsia" w:ascii="新宋体" w:hAnsi="新宋体" w:eastAsia="新宋体" w:cs="新宋体"/>
          <w:bCs/>
          <w:color w:val="auto"/>
          <w:kern w:val="0"/>
          <w:sz w:val="32"/>
          <w:szCs w:val="32"/>
          <w:highlight w:val="none"/>
        </w:rPr>
        <w:t>项目类型：</w:t>
      </w:r>
    </w:p>
    <w:p>
      <w:pPr>
        <w:autoSpaceDE w:val="0"/>
        <w:autoSpaceDN w:val="0"/>
        <w:adjustRightInd w:val="0"/>
        <w:spacing w:line="560" w:lineRule="exact"/>
        <w:ind w:firstLine="420"/>
        <w:jc w:val="left"/>
        <w:rPr>
          <w:rFonts w:ascii="新宋体" w:hAnsi="新宋体" w:eastAsia="新宋体" w:cs="新宋体"/>
          <w:color w:val="auto"/>
          <w:kern w:val="0"/>
          <w:sz w:val="32"/>
          <w:szCs w:val="32"/>
          <w:highlight w:val="none"/>
          <w:lang w:val="zh-CN"/>
        </w:rPr>
      </w:pPr>
    </w:p>
    <w:p>
      <w:pPr>
        <w:autoSpaceDE w:val="0"/>
        <w:autoSpaceDN w:val="0"/>
        <w:adjustRightInd w:val="0"/>
        <w:spacing w:line="560" w:lineRule="exact"/>
        <w:ind w:firstLine="420"/>
        <w:jc w:val="left"/>
        <w:rPr>
          <w:rFonts w:ascii="新宋体" w:hAnsi="新宋体" w:eastAsia="新宋体" w:cs="新宋体"/>
          <w:color w:val="auto"/>
          <w:kern w:val="0"/>
          <w:sz w:val="32"/>
          <w:szCs w:val="32"/>
          <w:highlight w:val="none"/>
          <w:lang w:val="zh-CN"/>
        </w:rPr>
      </w:pPr>
    </w:p>
    <w:p>
      <w:pPr>
        <w:autoSpaceDE w:val="0"/>
        <w:autoSpaceDN w:val="0"/>
        <w:adjustRightInd w:val="0"/>
        <w:spacing w:line="560" w:lineRule="exact"/>
        <w:ind w:firstLine="420"/>
        <w:jc w:val="left"/>
        <w:rPr>
          <w:rFonts w:ascii="新宋体" w:hAnsi="新宋体" w:eastAsia="新宋体" w:cs="新宋体"/>
          <w:color w:val="auto"/>
          <w:kern w:val="0"/>
          <w:sz w:val="32"/>
          <w:szCs w:val="32"/>
          <w:highlight w:val="none"/>
          <w:lang w:val="zh-CN"/>
        </w:rPr>
      </w:pPr>
    </w:p>
    <w:p>
      <w:pPr>
        <w:autoSpaceDE w:val="0"/>
        <w:autoSpaceDN w:val="0"/>
        <w:adjustRightInd w:val="0"/>
        <w:spacing w:line="560" w:lineRule="exact"/>
        <w:ind w:firstLine="420"/>
        <w:jc w:val="left"/>
        <w:rPr>
          <w:rFonts w:ascii="新宋体" w:hAnsi="新宋体" w:eastAsia="新宋体" w:cs="新宋体"/>
          <w:color w:val="auto"/>
          <w:kern w:val="0"/>
          <w:sz w:val="32"/>
          <w:szCs w:val="32"/>
          <w:highlight w:val="none"/>
          <w:lang w:val="zh-CN"/>
        </w:rPr>
      </w:pPr>
    </w:p>
    <w:p>
      <w:pPr>
        <w:autoSpaceDE w:val="0"/>
        <w:autoSpaceDN w:val="0"/>
        <w:adjustRightInd w:val="0"/>
        <w:spacing w:line="560" w:lineRule="exact"/>
        <w:ind w:firstLine="420"/>
        <w:jc w:val="left"/>
        <w:rPr>
          <w:rFonts w:ascii="新宋体" w:hAnsi="新宋体" w:eastAsia="新宋体" w:cs="新宋体"/>
          <w:color w:val="auto"/>
          <w:kern w:val="0"/>
          <w:sz w:val="32"/>
          <w:szCs w:val="32"/>
          <w:highlight w:val="none"/>
          <w:lang w:val="zh-CN"/>
        </w:rPr>
      </w:pPr>
    </w:p>
    <w:p>
      <w:pPr>
        <w:autoSpaceDE w:val="0"/>
        <w:autoSpaceDN w:val="0"/>
        <w:adjustRightInd w:val="0"/>
        <w:spacing w:line="560" w:lineRule="exact"/>
        <w:ind w:firstLine="448" w:firstLineChars="140"/>
        <w:jc w:val="left"/>
        <w:rPr>
          <w:rFonts w:ascii="新宋体" w:hAnsi="新宋体" w:eastAsia="新宋体" w:cs="新宋体"/>
          <w:color w:val="auto"/>
          <w:kern w:val="0"/>
          <w:sz w:val="32"/>
          <w:szCs w:val="32"/>
          <w:highlight w:val="none"/>
          <w:lang w:val="zh-CN"/>
        </w:rPr>
      </w:pPr>
    </w:p>
    <w:p>
      <w:pPr>
        <w:autoSpaceDE w:val="0"/>
        <w:autoSpaceDN w:val="0"/>
        <w:adjustRightInd w:val="0"/>
        <w:spacing w:line="560" w:lineRule="exact"/>
        <w:ind w:firstLine="420"/>
        <w:jc w:val="left"/>
        <w:rPr>
          <w:rFonts w:ascii="新宋体" w:hAnsi="新宋体" w:eastAsia="新宋体" w:cs="新宋体"/>
          <w:color w:val="auto"/>
          <w:kern w:val="0"/>
          <w:sz w:val="32"/>
          <w:szCs w:val="32"/>
          <w:highlight w:val="none"/>
          <w:lang w:val="zh-CN"/>
        </w:rPr>
      </w:pPr>
      <w:r>
        <w:rPr>
          <w:rFonts w:hint="eastAsia" w:ascii="新宋体" w:hAnsi="新宋体" w:eastAsia="新宋体" w:cs="新宋体"/>
          <w:color w:val="auto"/>
          <w:kern w:val="0"/>
          <w:sz w:val="32"/>
          <w:szCs w:val="32"/>
          <w:highlight w:val="none"/>
          <w:lang w:val="zh-CN"/>
        </w:rPr>
        <w:t>签订日期： 年</w:t>
      </w:r>
      <w:r>
        <w:rPr>
          <w:rFonts w:hint="eastAsia" w:ascii="新宋体" w:hAnsi="新宋体" w:eastAsia="新宋体" w:cs="新宋体"/>
          <w:color w:val="auto"/>
          <w:kern w:val="0"/>
          <w:sz w:val="32"/>
          <w:szCs w:val="32"/>
          <w:highlight w:val="none"/>
          <w:lang w:val="en-US" w:eastAsia="zh-CN"/>
        </w:rPr>
        <w:t xml:space="preserve">  </w:t>
      </w:r>
      <w:r>
        <w:rPr>
          <w:rFonts w:hint="eastAsia" w:ascii="新宋体" w:hAnsi="新宋体" w:eastAsia="新宋体" w:cs="新宋体"/>
          <w:color w:val="auto"/>
          <w:kern w:val="0"/>
          <w:sz w:val="32"/>
          <w:szCs w:val="32"/>
          <w:highlight w:val="none"/>
          <w:lang w:val="zh-CN"/>
        </w:rPr>
        <w:t>月</w:t>
      </w:r>
      <w:r>
        <w:rPr>
          <w:rFonts w:hint="eastAsia" w:ascii="新宋体" w:hAnsi="新宋体" w:eastAsia="新宋体" w:cs="新宋体"/>
          <w:color w:val="auto"/>
          <w:kern w:val="0"/>
          <w:sz w:val="32"/>
          <w:szCs w:val="32"/>
          <w:highlight w:val="none"/>
          <w:lang w:val="en-US" w:eastAsia="zh-CN"/>
        </w:rPr>
        <w:t xml:space="preserve">  </w:t>
      </w:r>
      <w:r>
        <w:rPr>
          <w:rFonts w:hint="eastAsia" w:ascii="新宋体" w:hAnsi="新宋体" w:eastAsia="新宋体" w:cs="新宋体"/>
          <w:color w:val="auto"/>
          <w:kern w:val="0"/>
          <w:sz w:val="32"/>
          <w:szCs w:val="32"/>
          <w:highlight w:val="none"/>
          <w:lang w:val="zh-CN"/>
        </w:rPr>
        <w:t>日</w:t>
      </w:r>
    </w:p>
    <w:p>
      <w:pPr>
        <w:rPr>
          <w:rFonts w:ascii="新宋体" w:hAnsi="新宋体" w:eastAsia="新宋体" w:cs="新宋体"/>
          <w:iCs/>
          <w:color w:val="auto"/>
          <w:sz w:val="32"/>
          <w:szCs w:val="32"/>
          <w:highlight w:val="none"/>
        </w:rPr>
      </w:pPr>
    </w:p>
    <w:p>
      <w:pPr>
        <w:jc w:val="center"/>
        <w:rPr>
          <w:rFonts w:ascii="新宋体" w:hAnsi="新宋体" w:eastAsia="新宋体" w:cs="新宋体"/>
          <w:b/>
          <w:bCs/>
          <w:color w:val="auto"/>
          <w:kern w:val="0"/>
          <w:sz w:val="32"/>
          <w:szCs w:val="32"/>
          <w:highlight w:val="none"/>
        </w:rPr>
      </w:pPr>
    </w:p>
    <w:p>
      <w:pPr>
        <w:jc w:val="center"/>
        <w:rPr>
          <w:rFonts w:eastAsia="方正姚体"/>
          <w:iCs/>
          <w:color w:val="auto"/>
          <w:sz w:val="44"/>
          <w:highlight w:val="none"/>
        </w:rPr>
      </w:pPr>
    </w:p>
    <w:p>
      <w:pPr>
        <w:spacing w:beforeLines="100" w:afterLines="100" w:line="560" w:lineRule="exact"/>
        <w:jc w:val="center"/>
        <w:rPr>
          <w:rFonts w:ascii="宋体" w:hAnsi="宋体"/>
          <w:b/>
          <w:color w:val="auto"/>
          <w:szCs w:val="28"/>
          <w:highlight w:val="none"/>
        </w:rPr>
      </w:pPr>
      <w:r>
        <w:rPr>
          <w:rFonts w:hint="eastAsia" w:ascii="宋体" w:hAnsi="宋体"/>
          <w:b/>
          <w:color w:val="auto"/>
          <w:szCs w:val="28"/>
          <w:highlight w:val="none"/>
        </w:rPr>
        <w:t>第一部分    建设工程造价咨询合同</w:t>
      </w:r>
    </w:p>
    <w:p>
      <w:pPr>
        <w:spacing w:line="560" w:lineRule="exact"/>
        <w:rPr>
          <w:rFonts w:ascii="仿宋" w:hAnsi="仿宋" w:cs="仿宋"/>
          <w:b/>
          <w:color w:val="auto"/>
          <w:sz w:val="32"/>
          <w:szCs w:val="32"/>
          <w:highlight w:val="none"/>
        </w:rPr>
      </w:pPr>
      <w:r>
        <w:rPr>
          <w:rFonts w:hint="eastAsia" w:ascii="宋体" w:hAnsi="宋体"/>
          <w:b/>
          <w:color w:val="auto"/>
          <w:szCs w:val="28"/>
          <w:highlight w:val="none"/>
        </w:rPr>
        <w:t>委托人(以下简称甲方)：</w:t>
      </w:r>
    </w:p>
    <w:p>
      <w:pPr>
        <w:rPr>
          <w:rFonts w:ascii="仿宋" w:hAnsi="仿宋" w:cs="仿宋"/>
          <w:b/>
          <w:color w:val="auto"/>
          <w:sz w:val="32"/>
          <w:szCs w:val="32"/>
          <w:highlight w:val="none"/>
        </w:rPr>
      </w:pPr>
      <w:r>
        <w:rPr>
          <w:rFonts w:hint="eastAsia" w:ascii="宋体" w:hAnsi="宋体"/>
          <w:b/>
          <w:color w:val="auto"/>
          <w:szCs w:val="28"/>
          <w:highlight w:val="none"/>
        </w:rPr>
        <w:t>咨询人(以下简称乙方)：</w:t>
      </w:r>
    </w:p>
    <w:p>
      <w:pPr>
        <w:spacing w:line="560" w:lineRule="exact"/>
        <w:ind w:firstLine="560" w:firstLineChars="200"/>
        <w:rPr>
          <w:rFonts w:ascii="宋体" w:hAnsi="宋体"/>
          <w:color w:val="auto"/>
          <w:szCs w:val="28"/>
          <w:highlight w:val="none"/>
        </w:rPr>
      </w:pPr>
      <w:r>
        <w:rPr>
          <w:rFonts w:hint="eastAsia" w:ascii="宋体" w:hAnsi="宋体"/>
          <w:color w:val="auto"/>
          <w:szCs w:val="28"/>
          <w:highlight w:val="none"/>
        </w:rPr>
        <w:t>依据《中华人民共和国</w:t>
      </w:r>
      <w:r>
        <w:rPr>
          <w:rFonts w:hint="eastAsia" w:ascii="宋体" w:hAnsi="宋体"/>
          <w:color w:val="auto"/>
          <w:szCs w:val="28"/>
          <w:highlight w:val="none"/>
          <w:lang w:eastAsia="zh-CN"/>
        </w:rPr>
        <w:t>民法典</w:t>
      </w:r>
      <w:r>
        <w:rPr>
          <w:rFonts w:hint="eastAsia" w:ascii="宋体" w:hAnsi="宋体"/>
          <w:color w:val="auto"/>
          <w:szCs w:val="28"/>
          <w:highlight w:val="none"/>
        </w:rPr>
        <w:t>》、《中华人民共和国建筑法》及工程造价相关管理规定，经过双方协商一致，签订本工程造价咨询合同。</w:t>
      </w:r>
    </w:p>
    <w:p>
      <w:pPr>
        <w:spacing w:line="560" w:lineRule="exact"/>
        <w:ind w:firstLine="562" w:firstLineChars="200"/>
        <w:rPr>
          <w:rFonts w:ascii="宋体" w:hAnsi="宋体"/>
          <w:b/>
          <w:color w:val="auto"/>
          <w:szCs w:val="28"/>
          <w:highlight w:val="none"/>
        </w:rPr>
      </w:pPr>
      <w:r>
        <w:rPr>
          <w:rFonts w:ascii="宋体" w:hAnsi="宋体"/>
          <w:b/>
          <w:color w:val="auto"/>
          <w:szCs w:val="28"/>
          <w:highlight w:val="none"/>
        </w:rPr>
        <w:t>一、委托人委托咨询人为以下项目提供建设工程造价咨询服务：</w:t>
      </w:r>
    </w:p>
    <w:p>
      <w:pPr>
        <w:autoSpaceDE w:val="0"/>
        <w:autoSpaceDN w:val="0"/>
        <w:adjustRightInd w:val="0"/>
        <w:spacing w:line="560" w:lineRule="exact"/>
        <w:ind w:firstLine="560" w:firstLineChars="200"/>
        <w:jc w:val="left"/>
        <w:rPr>
          <w:rFonts w:ascii="宋体" w:hAnsi="宋体"/>
          <w:color w:val="auto"/>
          <w:sz w:val="18"/>
          <w:szCs w:val="18"/>
          <w:highlight w:val="none"/>
        </w:rPr>
      </w:pPr>
      <w:r>
        <w:rPr>
          <w:rFonts w:ascii="宋体" w:hAnsi="宋体"/>
          <w:color w:val="auto"/>
          <w:szCs w:val="28"/>
          <w:highlight w:val="none"/>
        </w:rPr>
        <w:t>1、项目名称：</w:t>
      </w:r>
    </w:p>
    <w:p>
      <w:pPr>
        <w:spacing w:line="560" w:lineRule="exact"/>
        <w:ind w:firstLine="560" w:firstLineChars="200"/>
        <w:rPr>
          <w:rFonts w:ascii="宋体" w:hAnsi="宋体"/>
          <w:color w:val="auto"/>
          <w:szCs w:val="28"/>
          <w:highlight w:val="none"/>
        </w:rPr>
      </w:pPr>
      <w:r>
        <w:rPr>
          <w:rFonts w:ascii="宋体" w:hAnsi="宋体"/>
          <w:color w:val="auto"/>
          <w:szCs w:val="28"/>
          <w:highlight w:val="none"/>
        </w:rPr>
        <w:t>2、</w:t>
      </w:r>
      <w:r>
        <w:rPr>
          <w:rFonts w:hint="eastAsia" w:ascii="宋体" w:hAnsi="宋体"/>
          <w:color w:val="auto"/>
          <w:szCs w:val="28"/>
          <w:highlight w:val="none"/>
        </w:rPr>
        <w:t>建设地点：</w:t>
      </w:r>
    </w:p>
    <w:p>
      <w:pPr>
        <w:spacing w:line="560" w:lineRule="exact"/>
        <w:ind w:firstLine="560" w:firstLineChars="200"/>
        <w:rPr>
          <w:rFonts w:ascii="宋体" w:hAnsi="宋体"/>
          <w:color w:val="auto"/>
          <w:szCs w:val="28"/>
          <w:highlight w:val="none"/>
        </w:rPr>
      </w:pPr>
      <w:r>
        <w:rPr>
          <w:rFonts w:hint="eastAsia" w:ascii="宋体" w:hAnsi="宋体"/>
          <w:color w:val="auto"/>
          <w:szCs w:val="28"/>
          <w:highlight w:val="none"/>
        </w:rPr>
        <w:t>3、资金来源：</w:t>
      </w:r>
    </w:p>
    <w:p>
      <w:pPr>
        <w:spacing w:line="560" w:lineRule="exact"/>
        <w:ind w:firstLine="560" w:firstLineChars="200"/>
        <w:rPr>
          <w:rFonts w:ascii="宋体" w:hAnsi="宋体"/>
          <w:color w:val="auto"/>
          <w:szCs w:val="28"/>
          <w:highlight w:val="none"/>
        </w:rPr>
      </w:pPr>
      <w:r>
        <w:rPr>
          <w:rFonts w:hint="eastAsia" w:ascii="宋体" w:hAnsi="宋体"/>
          <w:color w:val="auto"/>
          <w:szCs w:val="28"/>
          <w:highlight w:val="none"/>
        </w:rPr>
        <w:t>4、项目规模：</w:t>
      </w:r>
    </w:p>
    <w:p>
      <w:pPr>
        <w:spacing w:line="560" w:lineRule="exact"/>
        <w:ind w:firstLine="560" w:firstLineChars="200"/>
        <w:rPr>
          <w:rFonts w:ascii="宋体" w:hAnsi="宋体"/>
          <w:color w:val="auto"/>
          <w:szCs w:val="28"/>
          <w:highlight w:val="none"/>
          <w:u w:val="single"/>
        </w:rPr>
      </w:pPr>
      <w:r>
        <w:rPr>
          <w:rFonts w:hint="eastAsia" w:ascii="宋体" w:hAnsi="宋体"/>
          <w:color w:val="auto"/>
          <w:szCs w:val="28"/>
          <w:highlight w:val="none"/>
        </w:rPr>
        <w:t>5、咨询工程范围：</w:t>
      </w:r>
    </w:p>
    <w:p>
      <w:pPr>
        <w:tabs>
          <w:tab w:val="left" w:pos="3290"/>
        </w:tabs>
        <w:ind w:firstLine="560" w:firstLineChars="200"/>
        <w:rPr>
          <w:rFonts w:ascii="宋体" w:hAnsi="宋体"/>
          <w:color w:val="auto"/>
          <w:szCs w:val="28"/>
          <w:highlight w:val="none"/>
          <w:u w:val="single"/>
        </w:rPr>
      </w:pPr>
      <w:r>
        <w:rPr>
          <w:rFonts w:hint="eastAsia" w:ascii="宋体" w:hAnsi="宋体"/>
          <w:color w:val="auto"/>
          <w:szCs w:val="28"/>
          <w:highlight w:val="none"/>
        </w:rPr>
        <w:t>6、咨询业务内容</w:t>
      </w:r>
      <w:r>
        <w:rPr>
          <w:rFonts w:ascii="宋体" w:hAnsi="宋体"/>
          <w:color w:val="auto"/>
          <w:szCs w:val="28"/>
          <w:highlight w:val="none"/>
        </w:rPr>
        <w:t>：</w:t>
      </w:r>
    </w:p>
    <w:p>
      <w:pPr>
        <w:autoSpaceDE w:val="0"/>
        <w:autoSpaceDN w:val="0"/>
        <w:adjustRightInd w:val="0"/>
        <w:spacing w:line="560" w:lineRule="exact"/>
        <w:ind w:firstLine="560" w:firstLineChars="200"/>
        <w:jc w:val="left"/>
        <w:rPr>
          <w:rFonts w:ascii="宋体" w:hAnsi="宋体"/>
          <w:color w:val="auto"/>
          <w:szCs w:val="28"/>
          <w:highlight w:val="none"/>
        </w:rPr>
      </w:pPr>
    </w:p>
    <w:p>
      <w:pPr>
        <w:spacing w:line="560" w:lineRule="exact"/>
        <w:ind w:firstLine="562" w:firstLineChars="200"/>
        <w:rPr>
          <w:rFonts w:ascii="宋体" w:hAnsi="宋体"/>
          <w:b/>
          <w:color w:val="auto"/>
          <w:szCs w:val="28"/>
          <w:highlight w:val="none"/>
        </w:rPr>
      </w:pPr>
      <w:r>
        <w:rPr>
          <w:rFonts w:ascii="宋体" w:hAnsi="宋体"/>
          <w:b/>
          <w:color w:val="auto"/>
          <w:szCs w:val="28"/>
          <w:highlight w:val="none"/>
        </w:rPr>
        <w:t>二、本合同的措词和用语与所属建设工程造价咨询合同条件及有关附件同义。</w:t>
      </w:r>
    </w:p>
    <w:p>
      <w:pPr>
        <w:spacing w:line="560" w:lineRule="exact"/>
        <w:ind w:firstLine="562" w:firstLineChars="200"/>
        <w:rPr>
          <w:rFonts w:ascii="宋体" w:hAnsi="宋体"/>
          <w:b/>
          <w:color w:val="auto"/>
          <w:szCs w:val="28"/>
          <w:highlight w:val="none"/>
        </w:rPr>
      </w:pPr>
      <w:r>
        <w:rPr>
          <w:rFonts w:ascii="宋体" w:hAnsi="宋体"/>
          <w:b/>
          <w:color w:val="auto"/>
          <w:szCs w:val="28"/>
          <w:highlight w:val="none"/>
        </w:rPr>
        <w:t>三、以下文件均为本合同的组成部分：</w:t>
      </w:r>
    </w:p>
    <w:p>
      <w:pPr>
        <w:spacing w:line="560" w:lineRule="exact"/>
        <w:ind w:firstLine="560" w:firstLineChars="200"/>
        <w:rPr>
          <w:rFonts w:ascii="宋体" w:hAnsi="宋体"/>
          <w:color w:val="auto"/>
          <w:szCs w:val="28"/>
          <w:highlight w:val="none"/>
        </w:rPr>
      </w:pPr>
      <w:r>
        <w:rPr>
          <w:rFonts w:ascii="宋体" w:hAnsi="宋体"/>
          <w:color w:val="auto"/>
          <w:szCs w:val="28"/>
          <w:highlight w:val="none"/>
        </w:rPr>
        <w:t>1、</w:t>
      </w:r>
      <w:r>
        <w:rPr>
          <w:rFonts w:hint="eastAsia" w:ascii="宋体" w:hAnsi="宋体"/>
          <w:color w:val="auto"/>
          <w:szCs w:val="28"/>
          <w:highlight w:val="none"/>
        </w:rPr>
        <w:t>建设工程造价咨询合同；</w:t>
      </w:r>
    </w:p>
    <w:p>
      <w:pPr>
        <w:spacing w:line="560" w:lineRule="exact"/>
        <w:ind w:firstLine="560" w:firstLineChars="200"/>
        <w:rPr>
          <w:rFonts w:ascii="宋体" w:hAnsi="宋体"/>
          <w:color w:val="auto"/>
          <w:szCs w:val="28"/>
          <w:highlight w:val="none"/>
        </w:rPr>
      </w:pPr>
      <w:r>
        <w:rPr>
          <w:rFonts w:hint="eastAsia" w:ascii="宋体" w:hAnsi="宋体"/>
          <w:color w:val="auto"/>
          <w:szCs w:val="28"/>
          <w:highlight w:val="none"/>
        </w:rPr>
        <w:t>2、</w:t>
      </w:r>
      <w:r>
        <w:rPr>
          <w:rFonts w:ascii="宋体" w:hAnsi="宋体"/>
          <w:color w:val="auto"/>
          <w:szCs w:val="28"/>
          <w:highlight w:val="none"/>
        </w:rPr>
        <w:t>建设工程造价咨询合同标准条件；</w:t>
      </w:r>
    </w:p>
    <w:p>
      <w:pPr>
        <w:spacing w:line="560" w:lineRule="exact"/>
        <w:ind w:firstLine="560" w:firstLineChars="200"/>
        <w:rPr>
          <w:rFonts w:ascii="宋体" w:hAnsi="宋体"/>
          <w:color w:val="auto"/>
          <w:szCs w:val="28"/>
          <w:highlight w:val="none"/>
        </w:rPr>
      </w:pPr>
      <w:r>
        <w:rPr>
          <w:rFonts w:hint="eastAsia" w:ascii="宋体" w:hAnsi="宋体"/>
          <w:color w:val="auto"/>
          <w:szCs w:val="28"/>
          <w:highlight w:val="none"/>
        </w:rPr>
        <w:t>3</w:t>
      </w:r>
      <w:r>
        <w:rPr>
          <w:rFonts w:ascii="宋体" w:hAnsi="宋体"/>
          <w:color w:val="auto"/>
          <w:szCs w:val="28"/>
          <w:highlight w:val="none"/>
        </w:rPr>
        <w:t>、建设工程造价咨询合同专用条件；</w:t>
      </w:r>
    </w:p>
    <w:p>
      <w:pPr>
        <w:spacing w:line="560" w:lineRule="exact"/>
        <w:ind w:firstLine="560" w:firstLineChars="200"/>
        <w:rPr>
          <w:rFonts w:ascii="宋体" w:hAnsi="宋体"/>
          <w:color w:val="auto"/>
          <w:szCs w:val="28"/>
          <w:highlight w:val="none"/>
        </w:rPr>
      </w:pPr>
      <w:r>
        <w:rPr>
          <w:rFonts w:hint="eastAsia" w:ascii="宋体" w:hAnsi="宋体"/>
          <w:color w:val="auto"/>
          <w:szCs w:val="28"/>
          <w:highlight w:val="none"/>
        </w:rPr>
        <w:t>4</w:t>
      </w:r>
      <w:r>
        <w:rPr>
          <w:rFonts w:ascii="宋体" w:hAnsi="宋体"/>
          <w:color w:val="auto"/>
          <w:szCs w:val="28"/>
          <w:highlight w:val="none"/>
        </w:rPr>
        <w:t>、建设工程造价咨询合同共同签署的补充</w:t>
      </w:r>
      <w:r>
        <w:rPr>
          <w:rFonts w:hint="eastAsia" w:ascii="宋体" w:hAnsi="宋体"/>
          <w:color w:val="auto"/>
          <w:szCs w:val="28"/>
          <w:highlight w:val="none"/>
        </w:rPr>
        <w:t>条款。</w:t>
      </w:r>
    </w:p>
    <w:p>
      <w:pPr>
        <w:spacing w:line="560" w:lineRule="exact"/>
        <w:ind w:firstLine="562" w:firstLineChars="200"/>
        <w:rPr>
          <w:rFonts w:ascii="宋体" w:hAnsi="宋体"/>
          <w:b/>
          <w:color w:val="auto"/>
          <w:szCs w:val="28"/>
          <w:highlight w:val="none"/>
        </w:rPr>
      </w:pPr>
      <w:r>
        <w:rPr>
          <w:rFonts w:ascii="宋体" w:hAnsi="宋体"/>
          <w:b/>
          <w:color w:val="auto"/>
          <w:szCs w:val="28"/>
          <w:highlight w:val="none"/>
        </w:rPr>
        <w:t>四、咨询人同意按照本合同的规定，承担本合同专用条件</w:t>
      </w:r>
      <w:r>
        <w:rPr>
          <w:rFonts w:hint="eastAsia" w:ascii="宋体" w:hAnsi="宋体"/>
          <w:b/>
          <w:color w:val="auto"/>
          <w:szCs w:val="28"/>
          <w:highlight w:val="none"/>
        </w:rPr>
        <w:t>及其补充条款</w:t>
      </w:r>
      <w:r>
        <w:rPr>
          <w:rFonts w:ascii="宋体" w:hAnsi="宋体"/>
          <w:b/>
          <w:color w:val="auto"/>
          <w:szCs w:val="28"/>
          <w:highlight w:val="none"/>
        </w:rPr>
        <w:t>中议定范围内的建设工程造价咨询业务。</w:t>
      </w:r>
    </w:p>
    <w:p>
      <w:pPr>
        <w:spacing w:line="560" w:lineRule="exact"/>
        <w:ind w:firstLine="562" w:firstLineChars="200"/>
        <w:rPr>
          <w:rFonts w:ascii="宋体" w:hAnsi="宋体"/>
          <w:b/>
          <w:bCs/>
          <w:color w:val="auto"/>
          <w:szCs w:val="28"/>
          <w:highlight w:val="none"/>
        </w:rPr>
      </w:pPr>
      <w:r>
        <w:rPr>
          <w:rFonts w:ascii="宋体" w:hAnsi="宋体"/>
          <w:b/>
          <w:color w:val="auto"/>
          <w:szCs w:val="28"/>
          <w:highlight w:val="none"/>
        </w:rPr>
        <w:t>五、委托人同意按照本合同规定的期限、方式、币种、额度向咨询人支付酬金</w:t>
      </w:r>
      <w:r>
        <w:rPr>
          <w:rFonts w:hint="eastAsia" w:ascii="宋体" w:hAnsi="宋体"/>
          <w:b/>
          <w:color w:val="auto"/>
          <w:szCs w:val="28"/>
          <w:highlight w:val="none"/>
        </w:rPr>
        <w:t>。</w:t>
      </w:r>
    </w:p>
    <w:p>
      <w:pPr>
        <w:spacing w:line="560" w:lineRule="exact"/>
        <w:ind w:firstLine="562" w:firstLineChars="200"/>
        <w:rPr>
          <w:rFonts w:ascii="宋体" w:hAnsi="宋体"/>
          <w:color w:val="auto"/>
          <w:szCs w:val="28"/>
          <w:highlight w:val="none"/>
        </w:rPr>
      </w:pPr>
      <w:r>
        <w:rPr>
          <w:rFonts w:ascii="宋体" w:hAnsi="宋体"/>
          <w:b/>
          <w:color w:val="auto"/>
          <w:szCs w:val="28"/>
          <w:highlight w:val="none"/>
        </w:rPr>
        <w:t>六、本合同的建设工程造价咨询业务，</w:t>
      </w:r>
      <w:r>
        <w:rPr>
          <w:rFonts w:hint="eastAsia" w:ascii="宋体" w:hAnsi="宋体"/>
          <w:b/>
          <w:color w:val="auto"/>
          <w:szCs w:val="28"/>
          <w:highlight w:val="none"/>
        </w:rPr>
        <w:t>从项目正式开工建设至项目完工（即整个施工工期），全过程造价咨询服务驻场时间暂定为240日历天</w:t>
      </w:r>
      <w:r>
        <w:rPr>
          <w:rFonts w:ascii="宋体" w:hAnsi="宋体"/>
          <w:b/>
          <w:color w:val="auto"/>
          <w:szCs w:val="28"/>
          <w:highlight w:val="none"/>
        </w:rPr>
        <w:t>。</w:t>
      </w:r>
    </w:p>
    <w:p>
      <w:pPr>
        <w:autoSpaceDE w:val="0"/>
        <w:autoSpaceDN w:val="0"/>
        <w:adjustRightInd w:val="0"/>
        <w:spacing w:line="540" w:lineRule="exact"/>
        <w:ind w:firstLine="1124" w:firstLineChars="400"/>
        <w:rPr>
          <w:rFonts w:ascii="宋体" w:hAnsi="宋体"/>
          <w:b/>
          <w:color w:val="auto"/>
          <w:kern w:val="0"/>
          <w:szCs w:val="28"/>
          <w:highlight w:val="none"/>
        </w:rPr>
      </w:pPr>
    </w:p>
    <w:p>
      <w:pPr>
        <w:autoSpaceDE w:val="0"/>
        <w:autoSpaceDN w:val="0"/>
        <w:adjustRightInd w:val="0"/>
        <w:spacing w:line="540" w:lineRule="exact"/>
        <w:ind w:firstLine="1124" w:firstLineChars="400"/>
        <w:rPr>
          <w:rFonts w:ascii="宋体" w:hAnsi="宋体"/>
          <w:b/>
          <w:color w:val="auto"/>
          <w:kern w:val="0"/>
          <w:szCs w:val="28"/>
          <w:highlight w:val="none"/>
        </w:rPr>
      </w:pPr>
    </w:p>
    <w:p>
      <w:pPr>
        <w:autoSpaceDE w:val="0"/>
        <w:autoSpaceDN w:val="0"/>
        <w:adjustRightInd w:val="0"/>
        <w:spacing w:line="540" w:lineRule="exact"/>
        <w:ind w:firstLine="1124" w:firstLineChars="400"/>
        <w:rPr>
          <w:rFonts w:ascii="宋体" w:hAnsi="宋体"/>
          <w:b/>
          <w:color w:val="auto"/>
          <w:kern w:val="0"/>
          <w:szCs w:val="28"/>
          <w:highlight w:val="none"/>
        </w:rPr>
      </w:pPr>
    </w:p>
    <w:p>
      <w:pPr>
        <w:autoSpaceDE w:val="0"/>
        <w:autoSpaceDN w:val="0"/>
        <w:adjustRightInd w:val="0"/>
        <w:spacing w:line="540" w:lineRule="exact"/>
        <w:ind w:firstLine="1124" w:firstLineChars="400"/>
        <w:rPr>
          <w:rFonts w:ascii="宋体" w:hAnsi="宋体"/>
          <w:b/>
          <w:color w:val="auto"/>
          <w:kern w:val="0"/>
          <w:szCs w:val="28"/>
          <w:highlight w:val="none"/>
        </w:rPr>
      </w:pPr>
    </w:p>
    <w:p>
      <w:pPr>
        <w:autoSpaceDE w:val="0"/>
        <w:autoSpaceDN w:val="0"/>
        <w:adjustRightInd w:val="0"/>
        <w:spacing w:line="540" w:lineRule="exact"/>
        <w:ind w:firstLine="1124" w:firstLineChars="400"/>
        <w:rPr>
          <w:rFonts w:ascii="宋体" w:hAnsi="宋体"/>
          <w:b/>
          <w:color w:val="auto"/>
          <w:kern w:val="0"/>
          <w:szCs w:val="28"/>
          <w:highlight w:val="none"/>
        </w:rPr>
      </w:pPr>
    </w:p>
    <w:p>
      <w:pPr>
        <w:autoSpaceDE w:val="0"/>
        <w:autoSpaceDN w:val="0"/>
        <w:adjustRightInd w:val="0"/>
        <w:spacing w:line="540" w:lineRule="exact"/>
        <w:ind w:firstLine="1124" w:firstLineChars="400"/>
        <w:rPr>
          <w:rFonts w:ascii="宋体" w:hAnsi="宋体"/>
          <w:b/>
          <w:color w:val="auto"/>
          <w:kern w:val="0"/>
          <w:szCs w:val="28"/>
          <w:highlight w:val="none"/>
        </w:rPr>
      </w:pPr>
    </w:p>
    <w:p>
      <w:pPr>
        <w:autoSpaceDE w:val="0"/>
        <w:autoSpaceDN w:val="0"/>
        <w:adjustRightInd w:val="0"/>
        <w:spacing w:line="540" w:lineRule="exact"/>
        <w:ind w:firstLine="1124" w:firstLineChars="400"/>
        <w:rPr>
          <w:rFonts w:ascii="宋体" w:hAnsi="宋体"/>
          <w:b/>
          <w:color w:val="auto"/>
          <w:kern w:val="0"/>
          <w:szCs w:val="28"/>
          <w:highlight w:val="none"/>
        </w:rPr>
      </w:pPr>
    </w:p>
    <w:p>
      <w:pPr>
        <w:autoSpaceDE w:val="0"/>
        <w:autoSpaceDN w:val="0"/>
        <w:adjustRightInd w:val="0"/>
        <w:spacing w:line="540" w:lineRule="exact"/>
        <w:ind w:firstLine="1124" w:firstLineChars="400"/>
        <w:rPr>
          <w:rFonts w:ascii="宋体" w:hAnsi="宋体"/>
          <w:b/>
          <w:color w:val="auto"/>
          <w:kern w:val="0"/>
          <w:szCs w:val="28"/>
          <w:highlight w:val="none"/>
        </w:rPr>
      </w:pPr>
    </w:p>
    <w:p>
      <w:pPr>
        <w:autoSpaceDE w:val="0"/>
        <w:autoSpaceDN w:val="0"/>
        <w:adjustRightInd w:val="0"/>
        <w:spacing w:line="540" w:lineRule="exact"/>
        <w:ind w:firstLine="1124" w:firstLineChars="400"/>
        <w:rPr>
          <w:rFonts w:ascii="宋体" w:hAnsi="宋体"/>
          <w:b/>
          <w:color w:val="auto"/>
          <w:kern w:val="0"/>
          <w:szCs w:val="28"/>
          <w:highlight w:val="none"/>
        </w:rPr>
      </w:pPr>
    </w:p>
    <w:p>
      <w:pPr>
        <w:autoSpaceDE w:val="0"/>
        <w:autoSpaceDN w:val="0"/>
        <w:adjustRightInd w:val="0"/>
        <w:spacing w:line="540" w:lineRule="exact"/>
        <w:ind w:firstLine="1124" w:firstLineChars="400"/>
        <w:rPr>
          <w:rFonts w:ascii="宋体" w:hAnsi="宋体"/>
          <w:b/>
          <w:color w:val="auto"/>
          <w:kern w:val="0"/>
          <w:szCs w:val="28"/>
          <w:highlight w:val="none"/>
        </w:rPr>
      </w:pPr>
    </w:p>
    <w:p>
      <w:pPr>
        <w:autoSpaceDE w:val="0"/>
        <w:autoSpaceDN w:val="0"/>
        <w:adjustRightInd w:val="0"/>
        <w:spacing w:line="540" w:lineRule="exact"/>
        <w:ind w:firstLine="1124" w:firstLineChars="400"/>
        <w:rPr>
          <w:rFonts w:ascii="宋体" w:hAnsi="宋体"/>
          <w:b/>
          <w:color w:val="auto"/>
          <w:kern w:val="0"/>
          <w:szCs w:val="28"/>
          <w:highlight w:val="none"/>
        </w:rPr>
      </w:pPr>
    </w:p>
    <w:p>
      <w:pPr>
        <w:autoSpaceDE w:val="0"/>
        <w:autoSpaceDN w:val="0"/>
        <w:adjustRightInd w:val="0"/>
        <w:spacing w:line="540" w:lineRule="exact"/>
        <w:ind w:firstLine="1124" w:firstLineChars="400"/>
        <w:rPr>
          <w:rFonts w:ascii="宋体" w:hAnsi="宋体"/>
          <w:b/>
          <w:color w:val="auto"/>
          <w:kern w:val="0"/>
          <w:szCs w:val="28"/>
          <w:highlight w:val="none"/>
        </w:rPr>
      </w:pPr>
    </w:p>
    <w:p>
      <w:pPr>
        <w:autoSpaceDE w:val="0"/>
        <w:autoSpaceDN w:val="0"/>
        <w:adjustRightInd w:val="0"/>
        <w:spacing w:line="540" w:lineRule="exact"/>
        <w:ind w:firstLine="1124" w:firstLineChars="400"/>
        <w:rPr>
          <w:rFonts w:ascii="宋体" w:hAnsi="宋体"/>
          <w:b/>
          <w:color w:val="auto"/>
          <w:kern w:val="0"/>
          <w:szCs w:val="28"/>
          <w:highlight w:val="none"/>
        </w:rPr>
      </w:pPr>
    </w:p>
    <w:p>
      <w:pPr>
        <w:autoSpaceDE w:val="0"/>
        <w:autoSpaceDN w:val="0"/>
        <w:adjustRightInd w:val="0"/>
        <w:spacing w:line="540" w:lineRule="exact"/>
        <w:ind w:firstLine="1124" w:firstLineChars="400"/>
        <w:rPr>
          <w:rFonts w:ascii="宋体" w:hAnsi="宋体"/>
          <w:b/>
          <w:color w:val="auto"/>
          <w:kern w:val="0"/>
          <w:szCs w:val="28"/>
          <w:highlight w:val="none"/>
        </w:rPr>
      </w:pPr>
    </w:p>
    <w:p>
      <w:pPr>
        <w:autoSpaceDE w:val="0"/>
        <w:autoSpaceDN w:val="0"/>
        <w:adjustRightInd w:val="0"/>
        <w:spacing w:line="540" w:lineRule="exact"/>
        <w:ind w:firstLine="1124" w:firstLineChars="400"/>
        <w:rPr>
          <w:rFonts w:ascii="宋体" w:hAnsi="宋体"/>
          <w:b/>
          <w:color w:val="auto"/>
          <w:kern w:val="0"/>
          <w:szCs w:val="28"/>
          <w:highlight w:val="none"/>
        </w:rPr>
      </w:pPr>
    </w:p>
    <w:p>
      <w:pPr>
        <w:autoSpaceDE w:val="0"/>
        <w:autoSpaceDN w:val="0"/>
        <w:adjustRightInd w:val="0"/>
        <w:spacing w:line="540" w:lineRule="exact"/>
        <w:ind w:firstLine="1124" w:firstLineChars="400"/>
        <w:rPr>
          <w:rFonts w:ascii="宋体" w:hAnsi="宋体"/>
          <w:b/>
          <w:color w:val="auto"/>
          <w:kern w:val="0"/>
          <w:szCs w:val="28"/>
          <w:highlight w:val="none"/>
        </w:rPr>
      </w:pPr>
    </w:p>
    <w:p>
      <w:pPr>
        <w:autoSpaceDE w:val="0"/>
        <w:autoSpaceDN w:val="0"/>
        <w:adjustRightInd w:val="0"/>
        <w:spacing w:line="540" w:lineRule="exact"/>
        <w:ind w:firstLine="1124" w:firstLineChars="400"/>
        <w:rPr>
          <w:rFonts w:ascii="宋体" w:hAnsi="宋体"/>
          <w:b/>
          <w:color w:val="auto"/>
          <w:kern w:val="0"/>
          <w:szCs w:val="28"/>
          <w:highlight w:val="none"/>
        </w:rPr>
      </w:pPr>
    </w:p>
    <w:p>
      <w:pPr>
        <w:autoSpaceDE w:val="0"/>
        <w:autoSpaceDN w:val="0"/>
        <w:adjustRightInd w:val="0"/>
        <w:spacing w:line="540" w:lineRule="exact"/>
        <w:ind w:firstLine="1124" w:firstLineChars="400"/>
        <w:rPr>
          <w:rFonts w:ascii="宋体" w:hAnsi="宋体"/>
          <w:b/>
          <w:color w:val="auto"/>
          <w:kern w:val="0"/>
          <w:szCs w:val="28"/>
          <w:highlight w:val="none"/>
        </w:rPr>
      </w:pPr>
    </w:p>
    <w:p>
      <w:pPr>
        <w:autoSpaceDE w:val="0"/>
        <w:autoSpaceDN w:val="0"/>
        <w:adjustRightInd w:val="0"/>
        <w:spacing w:line="540" w:lineRule="exact"/>
        <w:ind w:firstLine="1124" w:firstLineChars="400"/>
        <w:rPr>
          <w:rFonts w:ascii="宋体" w:hAnsi="宋体"/>
          <w:b/>
          <w:color w:val="auto"/>
          <w:kern w:val="0"/>
          <w:szCs w:val="28"/>
          <w:highlight w:val="none"/>
        </w:rPr>
      </w:pPr>
    </w:p>
    <w:p>
      <w:pPr>
        <w:autoSpaceDE w:val="0"/>
        <w:autoSpaceDN w:val="0"/>
        <w:adjustRightInd w:val="0"/>
        <w:spacing w:line="540" w:lineRule="exact"/>
        <w:ind w:firstLine="1124" w:firstLineChars="400"/>
        <w:rPr>
          <w:rFonts w:ascii="宋体" w:hAnsi="宋体"/>
          <w:b/>
          <w:color w:val="auto"/>
          <w:kern w:val="0"/>
          <w:szCs w:val="28"/>
          <w:highlight w:val="none"/>
        </w:rPr>
      </w:pPr>
    </w:p>
    <w:p>
      <w:pPr>
        <w:autoSpaceDE w:val="0"/>
        <w:autoSpaceDN w:val="0"/>
        <w:adjustRightInd w:val="0"/>
        <w:spacing w:line="540" w:lineRule="exact"/>
        <w:ind w:firstLine="1124" w:firstLineChars="400"/>
        <w:rPr>
          <w:rFonts w:ascii="宋体" w:hAnsi="宋体"/>
          <w:b/>
          <w:color w:val="auto"/>
          <w:kern w:val="0"/>
          <w:szCs w:val="28"/>
          <w:highlight w:val="none"/>
        </w:rPr>
      </w:pPr>
    </w:p>
    <w:p>
      <w:pPr>
        <w:autoSpaceDE w:val="0"/>
        <w:autoSpaceDN w:val="0"/>
        <w:adjustRightInd w:val="0"/>
        <w:spacing w:line="540" w:lineRule="exact"/>
        <w:ind w:firstLine="1124" w:firstLineChars="400"/>
        <w:rPr>
          <w:rFonts w:ascii="宋体" w:hAnsi="宋体"/>
          <w:b/>
          <w:color w:val="auto"/>
          <w:kern w:val="0"/>
          <w:szCs w:val="28"/>
          <w:highlight w:val="none"/>
        </w:rPr>
      </w:pPr>
    </w:p>
    <w:p>
      <w:pPr>
        <w:autoSpaceDE w:val="0"/>
        <w:autoSpaceDN w:val="0"/>
        <w:adjustRightInd w:val="0"/>
        <w:spacing w:line="540" w:lineRule="exact"/>
        <w:ind w:firstLine="1124" w:firstLineChars="400"/>
        <w:rPr>
          <w:rFonts w:ascii="宋体" w:hAnsi="宋体"/>
          <w:b/>
          <w:color w:val="auto"/>
          <w:kern w:val="0"/>
          <w:szCs w:val="28"/>
          <w:highlight w:val="none"/>
        </w:rPr>
      </w:pPr>
    </w:p>
    <w:p>
      <w:pPr>
        <w:autoSpaceDE w:val="0"/>
        <w:autoSpaceDN w:val="0"/>
        <w:adjustRightInd w:val="0"/>
        <w:spacing w:line="540" w:lineRule="exact"/>
        <w:ind w:firstLine="1124" w:firstLineChars="400"/>
        <w:rPr>
          <w:rFonts w:ascii="宋体" w:hAnsi="宋体"/>
          <w:b/>
          <w:color w:val="auto"/>
          <w:kern w:val="0"/>
          <w:szCs w:val="28"/>
          <w:highlight w:val="none"/>
        </w:rPr>
      </w:pPr>
    </w:p>
    <w:p>
      <w:pPr>
        <w:autoSpaceDE w:val="0"/>
        <w:autoSpaceDN w:val="0"/>
        <w:adjustRightInd w:val="0"/>
        <w:spacing w:line="540" w:lineRule="exact"/>
        <w:ind w:firstLine="1124" w:firstLineChars="400"/>
        <w:rPr>
          <w:rFonts w:ascii="宋体" w:hAnsi="宋体"/>
          <w:b/>
          <w:color w:val="auto"/>
          <w:kern w:val="0"/>
          <w:szCs w:val="28"/>
          <w:highlight w:val="none"/>
        </w:rPr>
      </w:pPr>
    </w:p>
    <w:p>
      <w:pPr>
        <w:autoSpaceDE w:val="0"/>
        <w:autoSpaceDN w:val="0"/>
        <w:adjustRightInd w:val="0"/>
        <w:spacing w:line="540" w:lineRule="exact"/>
        <w:ind w:firstLine="1285" w:firstLineChars="400"/>
        <w:rPr>
          <w:rFonts w:ascii="宋体" w:hAnsi="宋体"/>
          <w:b/>
          <w:bCs/>
          <w:color w:val="auto"/>
          <w:szCs w:val="28"/>
          <w:highlight w:val="none"/>
        </w:rPr>
      </w:pPr>
      <w:r>
        <w:rPr>
          <w:rFonts w:ascii="宋体" w:hAnsi="宋体"/>
          <w:b/>
          <w:bCs/>
          <w:color w:val="auto"/>
          <w:sz w:val="32"/>
          <w:highlight w:val="none"/>
        </w:rPr>
        <w:t>第二部分    建设工程造价咨询合同标准条件</w:t>
      </w:r>
    </w:p>
    <w:p>
      <w:pPr>
        <w:spacing w:line="560" w:lineRule="exact"/>
        <w:ind w:firstLine="562" w:firstLineChars="200"/>
        <w:jc w:val="center"/>
        <w:rPr>
          <w:rFonts w:ascii="宋体" w:hAnsi="宋体"/>
          <w:b/>
          <w:bCs/>
          <w:color w:val="auto"/>
          <w:szCs w:val="28"/>
          <w:highlight w:val="none"/>
        </w:rPr>
      </w:pPr>
      <w:r>
        <w:rPr>
          <w:rFonts w:ascii="宋体" w:hAnsi="宋体"/>
          <w:b/>
          <w:bCs/>
          <w:color w:val="auto"/>
          <w:szCs w:val="28"/>
          <w:highlight w:val="none"/>
        </w:rPr>
        <w:t>词语定义、适用语言和法律、法规</w:t>
      </w:r>
    </w:p>
    <w:p>
      <w:pPr>
        <w:spacing w:beforeLines="100" w:line="560" w:lineRule="exact"/>
        <w:ind w:firstLine="562" w:firstLineChars="200"/>
        <w:rPr>
          <w:rFonts w:ascii="宋体" w:hAnsi="宋体"/>
          <w:color w:val="auto"/>
          <w:szCs w:val="28"/>
          <w:highlight w:val="none"/>
        </w:rPr>
      </w:pPr>
      <w:r>
        <w:rPr>
          <w:rFonts w:ascii="宋体" w:hAnsi="宋体"/>
          <w:b/>
          <w:bCs/>
          <w:color w:val="auto"/>
          <w:szCs w:val="28"/>
          <w:highlight w:val="none"/>
        </w:rPr>
        <w:t>第一条</w:t>
      </w:r>
      <w:r>
        <w:rPr>
          <w:rFonts w:ascii="宋体" w:hAnsi="宋体"/>
          <w:color w:val="auto"/>
          <w:szCs w:val="28"/>
          <w:highlight w:val="none"/>
        </w:rPr>
        <w:t>下列名词和用语，除上下文另有规定外，具有如下含义</w:t>
      </w:r>
      <w:r>
        <w:rPr>
          <w:rFonts w:hint="eastAsia" w:ascii="宋体" w:hAnsi="宋体"/>
          <w:color w:val="auto"/>
          <w:szCs w:val="28"/>
          <w:highlight w:val="none"/>
        </w:rPr>
        <w:t>：</w:t>
      </w:r>
    </w:p>
    <w:p>
      <w:pPr>
        <w:spacing w:line="560" w:lineRule="exact"/>
        <w:ind w:firstLine="560" w:firstLineChars="200"/>
        <w:rPr>
          <w:rFonts w:ascii="宋体" w:hAnsi="宋体"/>
          <w:color w:val="auto"/>
          <w:szCs w:val="28"/>
          <w:highlight w:val="none"/>
        </w:rPr>
      </w:pPr>
      <w:r>
        <w:rPr>
          <w:rFonts w:ascii="宋体" w:hAnsi="宋体"/>
          <w:color w:val="auto"/>
          <w:szCs w:val="28"/>
          <w:highlight w:val="none"/>
        </w:rPr>
        <w:t>1、“委托人”是指委托建设工程造价咨询业务和聘用工程和聘用工程造价咨询单位的一方，以及其合法继承人。</w:t>
      </w:r>
    </w:p>
    <w:p>
      <w:pPr>
        <w:spacing w:line="560" w:lineRule="exact"/>
        <w:ind w:firstLine="560" w:firstLineChars="200"/>
        <w:rPr>
          <w:rFonts w:ascii="宋体" w:hAnsi="宋体"/>
          <w:color w:val="auto"/>
          <w:szCs w:val="28"/>
          <w:highlight w:val="none"/>
        </w:rPr>
      </w:pPr>
      <w:r>
        <w:rPr>
          <w:rFonts w:ascii="宋体" w:hAnsi="宋体"/>
          <w:color w:val="auto"/>
          <w:szCs w:val="28"/>
          <w:highlight w:val="none"/>
        </w:rPr>
        <w:t>2、“咨询人”是指承担建设工程造价咨询业务和工程造价咨询责任的一方，以及其合法继承人。</w:t>
      </w:r>
    </w:p>
    <w:p>
      <w:pPr>
        <w:spacing w:line="560" w:lineRule="exact"/>
        <w:ind w:right="-865" w:rightChars="-309" w:firstLine="560" w:firstLineChars="200"/>
        <w:rPr>
          <w:rFonts w:ascii="宋体" w:hAnsi="宋体"/>
          <w:color w:val="auto"/>
          <w:szCs w:val="28"/>
          <w:highlight w:val="none"/>
        </w:rPr>
      </w:pPr>
      <w:r>
        <w:rPr>
          <w:rFonts w:ascii="宋体" w:hAnsi="宋体"/>
          <w:color w:val="auto"/>
          <w:szCs w:val="28"/>
          <w:highlight w:val="none"/>
        </w:rPr>
        <w:t>3、“第三人”是指除委托人、咨询人以外与本咨询业务有关的当事人。</w:t>
      </w:r>
    </w:p>
    <w:p>
      <w:pPr>
        <w:spacing w:line="560" w:lineRule="exact"/>
        <w:ind w:firstLine="560" w:firstLineChars="200"/>
        <w:rPr>
          <w:rFonts w:ascii="宋体" w:hAnsi="宋体"/>
          <w:color w:val="auto"/>
          <w:szCs w:val="28"/>
          <w:highlight w:val="none"/>
        </w:rPr>
      </w:pPr>
      <w:r>
        <w:rPr>
          <w:rFonts w:ascii="宋体" w:hAnsi="宋体"/>
          <w:color w:val="auto"/>
          <w:szCs w:val="28"/>
          <w:highlight w:val="none"/>
        </w:rPr>
        <w:t>4、“日”是指任何一天零时至第二天零时的时间段。</w:t>
      </w:r>
    </w:p>
    <w:p>
      <w:pPr>
        <w:spacing w:line="560" w:lineRule="exact"/>
        <w:ind w:firstLine="562" w:firstLineChars="200"/>
        <w:rPr>
          <w:rFonts w:ascii="宋体" w:hAnsi="宋体"/>
          <w:color w:val="auto"/>
          <w:szCs w:val="28"/>
          <w:highlight w:val="none"/>
        </w:rPr>
      </w:pPr>
      <w:r>
        <w:rPr>
          <w:rFonts w:ascii="宋体" w:hAnsi="宋体"/>
          <w:b/>
          <w:bCs/>
          <w:color w:val="auto"/>
          <w:szCs w:val="28"/>
          <w:highlight w:val="none"/>
        </w:rPr>
        <w:t>第二条</w:t>
      </w:r>
      <w:r>
        <w:rPr>
          <w:rFonts w:ascii="宋体" w:hAnsi="宋体"/>
          <w:color w:val="auto"/>
          <w:szCs w:val="28"/>
          <w:highlight w:val="none"/>
        </w:rPr>
        <w:t xml:space="preserve">   建设工程造价咨询合同适用的是中国的法律、法规，以及专用条件中议定的部门规章、工程造价有关计价办法和规定或项目所在地的地方法规、地方规章。</w:t>
      </w:r>
    </w:p>
    <w:p>
      <w:pPr>
        <w:spacing w:line="560" w:lineRule="exact"/>
        <w:ind w:firstLine="562" w:firstLineChars="200"/>
        <w:rPr>
          <w:rFonts w:ascii="宋体" w:hAnsi="宋体"/>
          <w:color w:val="auto"/>
          <w:szCs w:val="28"/>
          <w:highlight w:val="none"/>
        </w:rPr>
      </w:pPr>
      <w:r>
        <w:rPr>
          <w:rFonts w:ascii="宋体" w:hAnsi="宋体"/>
          <w:b/>
          <w:bCs/>
          <w:color w:val="auto"/>
          <w:szCs w:val="28"/>
          <w:highlight w:val="none"/>
        </w:rPr>
        <w:t>第三条</w:t>
      </w:r>
      <w:r>
        <w:rPr>
          <w:rFonts w:ascii="宋体" w:hAnsi="宋体"/>
          <w:color w:val="auto"/>
          <w:szCs w:val="28"/>
          <w:highlight w:val="none"/>
        </w:rPr>
        <w:t xml:space="preserve">   建设工程造价咨询合同的书写、解释和说明，以</w:t>
      </w:r>
      <w:r>
        <w:rPr>
          <w:rFonts w:hint="eastAsia" w:ascii="宋体" w:hAnsi="宋体"/>
          <w:color w:val="auto"/>
          <w:szCs w:val="28"/>
          <w:highlight w:val="none"/>
        </w:rPr>
        <w:t>汉</w:t>
      </w:r>
      <w:r>
        <w:rPr>
          <w:rFonts w:ascii="宋体" w:hAnsi="宋体"/>
          <w:color w:val="auto"/>
          <w:szCs w:val="28"/>
          <w:highlight w:val="none"/>
        </w:rPr>
        <w:t>语为主导语言。当不同语言文本发生不同解释时，以汉语合同文本为准。</w:t>
      </w:r>
    </w:p>
    <w:p>
      <w:pPr>
        <w:spacing w:line="560" w:lineRule="exact"/>
        <w:ind w:firstLine="562" w:firstLineChars="200"/>
        <w:jc w:val="center"/>
        <w:rPr>
          <w:rFonts w:ascii="宋体" w:hAnsi="宋体"/>
          <w:b/>
          <w:bCs/>
          <w:color w:val="auto"/>
          <w:szCs w:val="28"/>
          <w:highlight w:val="none"/>
        </w:rPr>
      </w:pPr>
    </w:p>
    <w:p>
      <w:pPr>
        <w:spacing w:line="560" w:lineRule="exact"/>
        <w:ind w:firstLine="562" w:firstLineChars="200"/>
        <w:rPr>
          <w:rFonts w:ascii="宋体" w:hAnsi="宋体"/>
          <w:color w:val="auto"/>
          <w:szCs w:val="28"/>
          <w:highlight w:val="none"/>
        </w:rPr>
      </w:pPr>
      <w:r>
        <w:rPr>
          <w:rFonts w:ascii="宋体" w:hAnsi="宋体"/>
          <w:b/>
          <w:bCs/>
          <w:color w:val="auto"/>
          <w:szCs w:val="28"/>
          <w:highlight w:val="none"/>
        </w:rPr>
        <w:t>咨询人的义务</w:t>
      </w:r>
    </w:p>
    <w:p>
      <w:pPr>
        <w:spacing w:line="560" w:lineRule="exact"/>
        <w:ind w:firstLine="562" w:firstLineChars="200"/>
        <w:rPr>
          <w:rFonts w:ascii="宋体" w:hAnsi="宋体"/>
          <w:color w:val="auto"/>
          <w:szCs w:val="28"/>
          <w:highlight w:val="none"/>
        </w:rPr>
      </w:pPr>
      <w:r>
        <w:rPr>
          <w:rFonts w:ascii="宋体" w:hAnsi="宋体"/>
          <w:b/>
          <w:bCs/>
          <w:color w:val="auto"/>
          <w:szCs w:val="28"/>
          <w:highlight w:val="none"/>
        </w:rPr>
        <w:t>第四条</w:t>
      </w:r>
      <w:r>
        <w:rPr>
          <w:rFonts w:ascii="宋体" w:hAnsi="宋体"/>
          <w:color w:val="auto"/>
          <w:szCs w:val="28"/>
          <w:highlight w:val="none"/>
        </w:rPr>
        <w:t xml:space="preserve">   向委托人提供与工程造价咨询业务有关的资料，包括工程造价咨询的资质证书及承担本合同业务的专业人员名单、咨询工作计划等，并按合同专用条件中约定的范围实施咨询业务。</w:t>
      </w:r>
    </w:p>
    <w:p>
      <w:pPr>
        <w:spacing w:line="560" w:lineRule="exact"/>
        <w:ind w:firstLine="562" w:firstLineChars="200"/>
        <w:rPr>
          <w:rFonts w:ascii="宋体" w:hAnsi="宋体"/>
          <w:color w:val="auto"/>
          <w:szCs w:val="28"/>
          <w:highlight w:val="none"/>
        </w:rPr>
      </w:pPr>
      <w:r>
        <w:rPr>
          <w:rFonts w:ascii="宋体" w:hAnsi="宋体"/>
          <w:b/>
          <w:bCs/>
          <w:color w:val="auto"/>
          <w:szCs w:val="28"/>
          <w:highlight w:val="none"/>
        </w:rPr>
        <w:t>第五条</w:t>
      </w:r>
      <w:r>
        <w:rPr>
          <w:rFonts w:ascii="宋体" w:hAnsi="宋体"/>
          <w:color w:val="auto"/>
          <w:szCs w:val="28"/>
          <w:highlight w:val="none"/>
        </w:rPr>
        <w:t xml:space="preserve">   咨询人在履行本合同期间，向委托人提供的服务包括正常服务、附加服务和额外服务。</w:t>
      </w:r>
    </w:p>
    <w:p>
      <w:pPr>
        <w:spacing w:line="560" w:lineRule="exact"/>
        <w:ind w:firstLine="560" w:firstLineChars="200"/>
        <w:rPr>
          <w:rFonts w:ascii="宋体" w:hAnsi="宋体"/>
          <w:color w:val="auto"/>
          <w:szCs w:val="28"/>
          <w:highlight w:val="none"/>
        </w:rPr>
      </w:pPr>
      <w:r>
        <w:rPr>
          <w:rFonts w:hint="eastAsia" w:ascii="宋体" w:hAnsi="宋体"/>
          <w:color w:val="auto"/>
          <w:szCs w:val="28"/>
          <w:highlight w:val="none"/>
        </w:rPr>
        <w:t>1、“</w:t>
      </w:r>
      <w:r>
        <w:rPr>
          <w:rFonts w:ascii="宋体" w:hAnsi="宋体"/>
          <w:color w:val="auto"/>
          <w:szCs w:val="28"/>
          <w:highlight w:val="none"/>
        </w:rPr>
        <w:t>正常服务</w:t>
      </w:r>
      <w:r>
        <w:rPr>
          <w:rFonts w:hint="eastAsia" w:ascii="宋体" w:hAnsi="宋体"/>
          <w:color w:val="auto"/>
          <w:szCs w:val="28"/>
          <w:highlight w:val="none"/>
        </w:rPr>
        <w:t>”</w:t>
      </w:r>
      <w:r>
        <w:rPr>
          <w:rFonts w:ascii="宋体" w:hAnsi="宋体"/>
          <w:color w:val="auto"/>
          <w:szCs w:val="28"/>
          <w:highlight w:val="none"/>
        </w:rPr>
        <w:t>是指双方在专用条件中约定的工程造价咨询工作</w:t>
      </w:r>
      <w:r>
        <w:rPr>
          <w:rFonts w:hint="eastAsia" w:ascii="宋体" w:hAnsi="宋体"/>
          <w:color w:val="auto"/>
          <w:szCs w:val="28"/>
          <w:highlight w:val="none"/>
        </w:rPr>
        <w:t>。</w:t>
      </w:r>
    </w:p>
    <w:p>
      <w:pPr>
        <w:spacing w:line="560" w:lineRule="exact"/>
        <w:ind w:firstLine="560" w:firstLineChars="200"/>
        <w:rPr>
          <w:rFonts w:ascii="宋体" w:hAnsi="宋体"/>
          <w:color w:val="auto"/>
          <w:szCs w:val="28"/>
          <w:highlight w:val="none"/>
        </w:rPr>
      </w:pPr>
      <w:r>
        <w:rPr>
          <w:rFonts w:ascii="宋体" w:hAnsi="宋体"/>
          <w:color w:val="auto"/>
          <w:szCs w:val="28"/>
          <w:highlight w:val="none"/>
        </w:rPr>
        <w:t>2、“附加服务”是指在“正常服务”以外，经双方书面协议确定的附加服务</w:t>
      </w:r>
      <w:r>
        <w:rPr>
          <w:rFonts w:hint="eastAsia" w:ascii="宋体" w:hAnsi="宋体"/>
          <w:color w:val="auto"/>
          <w:szCs w:val="28"/>
          <w:highlight w:val="none"/>
        </w:rPr>
        <w:t>。</w:t>
      </w:r>
    </w:p>
    <w:p>
      <w:pPr>
        <w:spacing w:line="560" w:lineRule="exact"/>
        <w:ind w:firstLine="560" w:firstLineChars="200"/>
        <w:rPr>
          <w:rFonts w:ascii="宋体" w:hAnsi="宋体"/>
          <w:color w:val="auto"/>
          <w:szCs w:val="28"/>
          <w:highlight w:val="none"/>
        </w:rPr>
      </w:pPr>
      <w:r>
        <w:rPr>
          <w:rFonts w:ascii="宋体" w:hAnsi="宋体"/>
          <w:color w:val="auto"/>
          <w:szCs w:val="28"/>
          <w:highlight w:val="none"/>
        </w:rPr>
        <w:t>3、“额外服务”是指不属于“正常服务”和“附加服务”</w:t>
      </w:r>
      <w:r>
        <w:rPr>
          <w:rFonts w:hint="eastAsia" w:ascii="宋体" w:hAnsi="宋体"/>
          <w:color w:val="auto"/>
          <w:szCs w:val="28"/>
          <w:highlight w:val="none"/>
        </w:rPr>
        <w:t>的服务。</w:t>
      </w:r>
    </w:p>
    <w:p>
      <w:pPr>
        <w:spacing w:line="560" w:lineRule="exact"/>
        <w:ind w:firstLine="562" w:firstLineChars="200"/>
        <w:rPr>
          <w:rFonts w:ascii="宋体" w:hAnsi="宋体"/>
          <w:color w:val="auto"/>
          <w:szCs w:val="28"/>
          <w:highlight w:val="none"/>
        </w:rPr>
      </w:pPr>
      <w:r>
        <w:rPr>
          <w:rFonts w:ascii="宋体" w:hAnsi="宋体"/>
          <w:b/>
          <w:bCs/>
          <w:color w:val="auto"/>
          <w:szCs w:val="28"/>
          <w:highlight w:val="none"/>
        </w:rPr>
        <w:t>第六条</w:t>
      </w:r>
      <w:r>
        <w:rPr>
          <w:rFonts w:ascii="宋体" w:hAnsi="宋体"/>
          <w:color w:val="auto"/>
          <w:szCs w:val="28"/>
          <w:highlight w:val="none"/>
        </w:rPr>
        <w:t xml:space="preserve">   在履行合同期间或合同规定期限内，不得泄露与本合同规定业务活动有关的保密资料。</w:t>
      </w:r>
    </w:p>
    <w:p>
      <w:pPr>
        <w:spacing w:line="560" w:lineRule="exact"/>
        <w:ind w:firstLine="562" w:firstLineChars="200"/>
        <w:jc w:val="center"/>
        <w:rPr>
          <w:rFonts w:ascii="宋体" w:hAnsi="宋体"/>
          <w:b/>
          <w:bCs/>
          <w:color w:val="auto"/>
          <w:szCs w:val="28"/>
          <w:highlight w:val="none"/>
        </w:rPr>
      </w:pPr>
      <w:r>
        <w:rPr>
          <w:rFonts w:ascii="宋体" w:hAnsi="宋体"/>
          <w:b/>
          <w:bCs/>
          <w:color w:val="auto"/>
          <w:szCs w:val="28"/>
          <w:highlight w:val="none"/>
        </w:rPr>
        <w:t>委托人的义务</w:t>
      </w:r>
    </w:p>
    <w:p>
      <w:pPr>
        <w:spacing w:line="560" w:lineRule="exact"/>
        <w:ind w:firstLine="562" w:firstLineChars="200"/>
        <w:rPr>
          <w:rFonts w:ascii="宋体" w:hAnsi="宋体"/>
          <w:color w:val="auto"/>
          <w:szCs w:val="28"/>
          <w:highlight w:val="none"/>
        </w:rPr>
      </w:pPr>
      <w:r>
        <w:rPr>
          <w:rFonts w:ascii="宋体" w:hAnsi="宋体"/>
          <w:b/>
          <w:bCs/>
          <w:color w:val="auto"/>
          <w:szCs w:val="28"/>
          <w:highlight w:val="none"/>
        </w:rPr>
        <w:t>第七条</w:t>
      </w:r>
      <w:r>
        <w:rPr>
          <w:rFonts w:ascii="宋体" w:hAnsi="宋体"/>
          <w:color w:val="auto"/>
          <w:szCs w:val="28"/>
          <w:highlight w:val="none"/>
        </w:rPr>
        <w:t xml:space="preserve">   委托人应负责与本建设工程造价咨询业务有关的第三人的协调，为咨询人工作提供外部条件。</w:t>
      </w:r>
    </w:p>
    <w:p>
      <w:pPr>
        <w:spacing w:line="560" w:lineRule="exact"/>
        <w:ind w:firstLine="562" w:firstLineChars="200"/>
        <w:rPr>
          <w:rFonts w:ascii="宋体" w:hAnsi="宋体"/>
          <w:color w:val="auto"/>
          <w:szCs w:val="28"/>
          <w:highlight w:val="none"/>
        </w:rPr>
      </w:pPr>
      <w:r>
        <w:rPr>
          <w:rFonts w:ascii="宋体" w:hAnsi="宋体"/>
          <w:b/>
          <w:bCs/>
          <w:color w:val="auto"/>
          <w:szCs w:val="28"/>
          <w:highlight w:val="none"/>
        </w:rPr>
        <w:t>第八条</w:t>
      </w:r>
      <w:r>
        <w:rPr>
          <w:rFonts w:ascii="宋体" w:hAnsi="宋体"/>
          <w:color w:val="auto"/>
          <w:szCs w:val="28"/>
          <w:highlight w:val="none"/>
        </w:rPr>
        <w:t xml:space="preserve">   委托人应当在约定的时间内，免费向咨询人提供与本项目咨询业务有关的资料。</w:t>
      </w:r>
    </w:p>
    <w:p>
      <w:pPr>
        <w:spacing w:line="560" w:lineRule="exact"/>
        <w:ind w:firstLine="562" w:firstLineChars="200"/>
        <w:rPr>
          <w:rFonts w:ascii="宋体" w:hAnsi="宋体"/>
          <w:color w:val="auto"/>
          <w:szCs w:val="28"/>
          <w:highlight w:val="none"/>
        </w:rPr>
      </w:pPr>
      <w:r>
        <w:rPr>
          <w:rFonts w:ascii="宋体" w:hAnsi="宋体"/>
          <w:b/>
          <w:bCs/>
          <w:color w:val="auto"/>
          <w:szCs w:val="28"/>
          <w:highlight w:val="none"/>
        </w:rPr>
        <w:t>第九条</w:t>
      </w:r>
      <w:r>
        <w:rPr>
          <w:rFonts w:ascii="宋体" w:hAnsi="宋体"/>
          <w:color w:val="auto"/>
          <w:szCs w:val="28"/>
          <w:highlight w:val="none"/>
        </w:rPr>
        <w:t xml:space="preserve">   委托人应当在约定的时间内就咨询人书面提交并要求做出答复的事宜做出书面答复。咨询人要求第三人提供有关资料时，委托人应负责转达及资料转送。</w:t>
      </w:r>
    </w:p>
    <w:p>
      <w:pPr>
        <w:spacing w:line="560" w:lineRule="exact"/>
        <w:ind w:right="-1106" w:rightChars="-395" w:firstLine="562" w:firstLineChars="200"/>
        <w:rPr>
          <w:rFonts w:ascii="宋体" w:hAnsi="宋体"/>
          <w:color w:val="auto"/>
          <w:szCs w:val="28"/>
          <w:highlight w:val="none"/>
        </w:rPr>
      </w:pPr>
      <w:r>
        <w:rPr>
          <w:rFonts w:ascii="宋体" w:hAnsi="宋体"/>
          <w:b/>
          <w:bCs/>
          <w:color w:val="auto"/>
          <w:szCs w:val="28"/>
          <w:highlight w:val="none"/>
        </w:rPr>
        <w:t>第十条</w:t>
      </w:r>
      <w:r>
        <w:rPr>
          <w:rFonts w:ascii="宋体" w:hAnsi="宋体"/>
          <w:color w:val="auto"/>
          <w:szCs w:val="28"/>
          <w:highlight w:val="none"/>
        </w:rPr>
        <w:t xml:space="preserve"> 委托人应当授权胜任本咨询业务的代表，负责与咨询人联系。</w:t>
      </w:r>
    </w:p>
    <w:p>
      <w:pPr>
        <w:spacing w:line="560" w:lineRule="exact"/>
        <w:ind w:firstLine="560" w:firstLineChars="200"/>
        <w:rPr>
          <w:rFonts w:ascii="宋体" w:hAnsi="宋体"/>
          <w:color w:val="auto"/>
          <w:szCs w:val="28"/>
          <w:highlight w:val="none"/>
        </w:rPr>
      </w:pPr>
    </w:p>
    <w:p>
      <w:pPr>
        <w:spacing w:line="560" w:lineRule="exact"/>
        <w:ind w:firstLine="562" w:firstLineChars="200"/>
        <w:jc w:val="center"/>
        <w:rPr>
          <w:rFonts w:ascii="宋体" w:hAnsi="宋体"/>
          <w:b/>
          <w:bCs/>
          <w:color w:val="auto"/>
          <w:szCs w:val="28"/>
          <w:highlight w:val="none"/>
        </w:rPr>
      </w:pPr>
      <w:r>
        <w:rPr>
          <w:rFonts w:ascii="宋体" w:hAnsi="宋体"/>
          <w:b/>
          <w:bCs/>
          <w:color w:val="auto"/>
          <w:szCs w:val="28"/>
          <w:highlight w:val="none"/>
        </w:rPr>
        <w:t>咨询人的权利</w:t>
      </w:r>
    </w:p>
    <w:p>
      <w:pPr>
        <w:spacing w:line="560" w:lineRule="exact"/>
        <w:ind w:firstLine="562" w:firstLineChars="200"/>
        <w:rPr>
          <w:rFonts w:ascii="宋体" w:hAnsi="宋体"/>
          <w:color w:val="auto"/>
          <w:szCs w:val="28"/>
          <w:highlight w:val="none"/>
        </w:rPr>
      </w:pPr>
      <w:r>
        <w:rPr>
          <w:rFonts w:ascii="宋体" w:hAnsi="宋体"/>
          <w:b/>
          <w:bCs/>
          <w:color w:val="auto"/>
          <w:szCs w:val="28"/>
          <w:highlight w:val="none"/>
        </w:rPr>
        <w:t>第十一条</w:t>
      </w:r>
      <w:r>
        <w:rPr>
          <w:rFonts w:ascii="宋体" w:hAnsi="宋体"/>
          <w:color w:val="auto"/>
          <w:szCs w:val="28"/>
          <w:highlight w:val="none"/>
        </w:rPr>
        <w:t xml:space="preserve">   委托人在委托的建设工程造价咨询业务范围内，授予咨询人以下权利：</w:t>
      </w:r>
    </w:p>
    <w:p>
      <w:pPr>
        <w:spacing w:line="560" w:lineRule="exact"/>
        <w:ind w:firstLine="560" w:firstLineChars="200"/>
        <w:rPr>
          <w:rFonts w:ascii="宋体" w:hAnsi="宋体"/>
          <w:color w:val="auto"/>
          <w:szCs w:val="28"/>
          <w:highlight w:val="none"/>
        </w:rPr>
      </w:pPr>
      <w:r>
        <w:rPr>
          <w:rFonts w:ascii="宋体" w:hAnsi="宋体"/>
          <w:color w:val="auto"/>
          <w:szCs w:val="28"/>
          <w:highlight w:val="none"/>
        </w:rPr>
        <w:t>1、咨询人在咨询过程中，如委托人提供的资料不明确时，可向委托人提出书面报告。</w:t>
      </w:r>
    </w:p>
    <w:p>
      <w:pPr>
        <w:spacing w:line="560" w:lineRule="exact"/>
        <w:ind w:firstLine="560" w:firstLineChars="200"/>
        <w:rPr>
          <w:rFonts w:ascii="宋体" w:hAnsi="宋体"/>
          <w:color w:val="auto"/>
          <w:szCs w:val="28"/>
          <w:highlight w:val="none"/>
        </w:rPr>
      </w:pPr>
      <w:r>
        <w:rPr>
          <w:rFonts w:ascii="宋体" w:hAnsi="宋体"/>
          <w:color w:val="auto"/>
          <w:szCs w:val="28"/>
          <w:highlight w:val="none"/>
        </w:rPr>
        <w:t>2、咨询人在咨询过程中，有权对第三人提出与本咨询业务有关的问题进行核对或查问。</w:t>
      </w:r>
    </w:p>
    <w:p>
      <w:pPr>
        <w:spacing w:line="560" w:lineRule="exact"/>
        <w:ind w:firstLine="560" w:firstLineChars="200"/>
        <w:rPr>
          <w:rFonts w:ascii="宋体" w:hAnsi="宋体"/>
          <w:color w:val="auto"/>
          <w:szCs w:val="28"/>
          <w:highlight w:val="none"/>
        </w:rPr>
      </w:pPr>
      <w:r>
        <w:rPr>
          <w:rFonts w:ascii="宋体" w:hAnsi="宋体"/>
          <w:color w:val="auto"/>
          <w:szCs w:val="28"/>
          <w:highlight w:val="none"/>
        </w:rPr>
        <w:t>3、咨询人在咨询过程中，有到工程现场勘察的权利。</w:t>
      </w:r>
    </w:p>
    <w:p>
      <w:pPr>
        <w:spacing w:line="560" w:lineRule="exact"/>
        <w:ind w:firstLine="560" w:firstLineChars="200"/>
        <w:rPr>
          <w:rFonts w:ascii="宋体" w:hAnsi="宋体"/>
          <w:color w:val="auto"/>
          <w:szCs w:val="28"/>
          <w:highlight w:val="none"/>
        </w:rPr>
      </w:pPr>
    </w:p>
    <w:p>
      <w:pPr>
        <w:spacing w:line="560" w:lineRule="exact"/>
        <w:ind w:firstLine="562" w:firstLineChars="200"/>
        <w:jc w:val="center"/>
        <w:rPr>
          <w:rFonts w:ascii="宋体" w:hAnsi="宋体"/>
          <w:color w:val="auto"/>
          <w:szCs w:val="28"/>
          <w:highlight w:val="none"/>
        </w:rPr>
      </w:pPr>
      <w:r>
        <w:rPr>
          <w:rFonts w:ascii="宋体" w:hAnsi="宋体"/>
          <w:b/>
          <w:bCs/>
          <w:color w:val="auto"/>
          <w:szCs w:val="28"/>
          <w:highlight w:val="none"/>
        </w:rPr>
        <w:t>委托人的权利</w:t>
      </w:r>
    </w:p>
    <w:p>
      <w:pPr>
        <w:spacing w:line="560" w:lineRule="exact"/>
        <w:ind w:firstLine="562" w:firstLineChars="200"/>
        <w:rPr>
          <w:rFonts w:ascii="宋体" w:hAnsi="宋体"/>
          <w:color w:val="auto"/>
          <w:szCs w:val="28"/>
          <w:highlight w:val="none"/>
        </w:rPr>
      </w:pPr>
      <w:r>
        <w:rPr>
          <w:rFonts w:ascii="宋体" w:hAnsi="宋体"/>
          <w:b/>
          <w:bCs/>
          <w:color w:val="auto"/>
          <w:szCs w:val="28"/>
          <w:highlight w:val="none"/>
        </w:rPr>
        <w:t>第十二条</w:t>
      </w:r>
      <w:r>
        <w:rPr>
          <w:rFonts w:ascii="宋体" w:hAnsi="宋体"/>
          <w:color w:val="auto"/>
          <w:szCs w:val="28"/>
          <w:highlight w:val="none"/>
        </w:rPr>
        <w:t xml:space="preserve">   委托人有下列权利：</w:t>
      </w:r>
    </w:p>
    <w:p>
      <w:pPr>
        <w:spacing w:line="560" w:lineRule="exact"/>
        <w:ind w:firstLine="560" w:firstLineChars="200"/>
        <w:rPr>
          <w:rFonts w:ascii="宋体" w:hAnsi="宋体"/>
          <w:color w:val="auto"/>
          <w:szCs w:val="28"/>
          <w:highlight w:val="none"/>
        </w:rPr>
      </w:pPr>
      <w:r>
        <w:rPr>
          <w:rFonts w:ascii="宋体" w:hAnsi="宋体"/>
          <w:color w:val="auto"/>
          <w:szCs w:val="28"/>
          <w:highlight w:val="none"/>
        </w:rPr>
        <w:t>1、委托人有权向咨询人询问工作进展情况及相关的内容。</w:t>
      </w:r>
    </w:p>
    <w:p>
      <w:pPr>
        <w:spacing w:line="560" w:lineRule="exact"/>
        <w:ind w:firstLine="560" w:firstLineChars="200"/>
        <w:rPr>
          <w:rFonts w:ascii="宋体" w:hAnsi="宋体"/>
          <w:color w:val="auto"/>
          <w:szCs w:val="28"/>
          <w:highlight w:val="none"/>
        </w:rPr>
      </w:pPr>
      <w:r>
        <w:rPr>
          <w:rFonts w:ascii="宋体" w:hAnsi="宋体"/>
          <w:color w:val="auto"/>
          <w:szCs w:val="28"/>
          <w:highlight w:val="none"/>
        </w:rPr>
        <w:t>2、委托人有权阐述对具体问题的意见和建议。</w:t>
      </w:r>
    </w:p>
    <w:p>
      <w:pPr>
        <w:spacing w:line="560" w:lineRule="exact"/>
        <w:ind w:firstLine="560" w:firstLineChars="200"/>
        <w:rPr>
          <w:rFonts w:ascii="宋体" w:hAnsi="宋体"/>
          <w:color w:val="auto"/>
          <w:szCs w:val="28"/>
          <w:highlight w:val="none"/>
        </w:rPr>
      </w:pPr>
      <w:r>
        <w:rPr>
          <w:rFonts w:ascii="宋体" w:hAnsi="宋体"/>
          <w:color w:val="auto"/>
          <w:szCs w:val="28"/>
          <w:highlight w:val="none"/>
        </w:rPr>
        <w:t>3、当委托人认定咨询专业人员不按咨询合同履行其职责，或与第三人串通给委托人造成经济损失的，委托人有权要求更换咨询专业人员，直至终止合同并要求咨询人承担相应的赔偿责任。</w:t>
      </w:r>
    </w:p>
    <w:p>
      <w:pPr>
        <w:spacing w:line="560" w:lineRule="exact"/>
        <w:ind w:firstLine="560" w:firstLineChars="200"/>
        <w:rPr>
          <w:rFonts w:ascii="宋体" w:hAnsi="宋体"/>
          <w:color w:val="auto"/>
          <w:szCs w:val="28"/>
          <w:highlight w:val="none"/>
        </w:rPr>
      </w:pPr>
    </w:p>
    <w:p>
      <w:pPr>
        <w:spacing w:line="560" w:lineRule="exact"/>
        <w:ind w:firstLine="562" w:firstLineChars="200"/>
        <w:jc w:val="center"/>
        <w:rPr>
          <w:rFonts w:ascii="宋体" w:hAnsi="宋体"/>
          <w:color w:val="auto"/>
          <w:szCs w:val="28"/>
          <w:highlight w:val="none"/>
        </w:rPr>
      </w:pPr>
      <w:r>
        <w:rPr>
          <w:rFonts w:ascii="宋体" w:hAnsi="宋体"/>
          <w:b/>
          <w:bCs/>
          <w:color w:val="auto"/>
          <w:szCs w:val="28"/>
          <w:highlight w:val="none"/>
        </w:rPr>
        <w:t>咨询人的责任</w:t>
      </w:r>
    </w:p>
    <w:p>
      <w:pPr>
        <w:spacing w:line="560" w:lineRule="exact"/>
        <w:ind w:firstLine="562" w:firstLineChars="200"/>
        <w:rPr>
          <w:rFonts w:ascii="宋体" w:hAnsi="宋体"/>
          <w:color w:val="auto"/>
          <w:szCs w:val="28"/>
          <w:highlight w:val="none"/>
        </w:rPr>
      </w:pPr>
      <w:r>
        <w:rPr>
          <w:rFonts w:ascii="宋体" w:hAnsi="宋体"/>
          <w:b/>
          <w:bCs/>
          <w:color w:val="auto"/>
          <w:szCs w:val="28"/>
          <w:highlight w:val="none"/>
        </w:rPr>
        <w:t>第十三条</w:t>
      </w:r>
      <w:r>
        <w:rPr>
          <w:rFonts w:ascii="宋体" w:hAnsi="宋体"/>
          <w:color w:val="auto"/>
          <w:szCs w:val="28"/>
          <w:highlight w:val="none"/>
        </w:rPr>
        <w:t xml:space="preserve">   咨询人的责任期即建设工程造价咨询合同有效期。如因非咨询人的责任造成进度的推迟或延误而超过约定的日期，双方应进一步约定相应延长合同有效期。</w:t>
      </w:r>
    </w:p>
    <w:p>
      <w:pPr>
        <w:spacing w:line="560" w:lineRule="exact"/>
        <w:ind w:right="-386" w:rightChars="-138" w:firstLine="562" w:firstLineChars="200"/>
        <w:rPr>
          <w:rFonts w:ascii="宋体" w:hAnsi="宋体"/>
          <w:color w:val="auto"/>
          <w:szCs w:val="28"/>
          <w:highlight w:val="none"/>
        </w:rPr>
      </w:pPr>
      <w:r>
        <w:rPr>
          <w:rFonts w:ascii="宋体" w:hAnsi="宋体"/>
          <w:b/>
          <w:bCs/>
          <w:color w:val="auto"/>
          <w:szCs w:val="28"/>
          <w:highlight w:val="none"/>
        </w:rPr>
        <w:t>第十四条</w:t>
      </w:r>
      <w:r>
        <w:rPr>
          <w:rFonts w:ascii="宋体" w:hAnsi="宋体"/>
          <w:color w:val="auto"/>
          <w:szCs w:val="28"/>
          <w:highlight w:val="none"/>
        </w:rPr>
        <w:t xml:space="preserve">   咨询人责任期内，应当履行建设工程造价咨询合同中约定的义务，因咨询人的单方过失造成的经济损失，应当向委托人进行赔偿。</w:t>
      </w:r>
    </w:p>
    <w:p>
      <w:pPr>
        <w:spacing w:line="560" w:lineRule="exact"/>
        <w:ind w:firstLine="562" w:firstLineChars="200"/>
        <w:rPr>
          <w:rFonts w:ascii="宋体" w:hAnsi="宋体"/>
          <w:color w:val="auto"/>
          <w:szCs w:val="28"/>
          <w:highlight w:val="none"/>
        </w:rPr>
      </w:pPr>
      <w:r>
        <w:rPr>
          <w:rFonts w:ascii="宋体" w:hAnsi="宋体"/>
          <w:b/>
          <w:bCs/>
          <w:color w:val="auto"/>
          <w:szCs w:val="28"/>
          <w:highlight w:val="none"/>
        </w:rPr>
        <w:t>第十五条</w:t>
      </w:r>
      <w:r>
        <w:rPr>
          <w:rFonts w:ascii="宋体" w:hAnsi="宋体"/>
          <w:color w:val="auto"/>
          <w:szCs w:val="28"/>
          <w:highlight w:val="none"/>
        </w:rPr>
        <w:t xml:space="preserve">   咨询人对委托人或第三人提出的问题不能及时核对或答复，导致合同不能全部或部分履行，咨询人应承担责任。</w:t>
      </w:r>
    </w:p>
    <w:p>
      <w:pPr>
        <w:spacing w:line="560" w:lineRule="exact"/>
        <w:ind w:firstLine="562" w:firstLineChars="200"/>
        <w:rPr>
          <w:rFonts w:ascii="宋体" w:hAnsi="宋体"/>
          <w:color w:val="auto"/>
          <w:szCs w:val="28"/>
          <w:highlight w:val="none"/>
        </w:rPr>
      </w:pPr>
      <w:r>
        <w:rPr>
          <w:rFonts w:ascii="宋体" w:hAnsi="宋体"/>
          <w:b/>
          <w:bCs/>
          <w:color w:val="auto"/>
          <w:szCs w:val="28"/>
          <w:highlight w:val="none"/>
        </w:rPr>
        <w:t>第十六条</w:t>
      </w:r>
      <w:r>
        <w:rPr>
          <w:rFonts w:ascii="宋体" w:hAnsi="宋体"/>
          <w:color w:val="auto"/>
          <w:szCs w:val="28"/>
          <w:highlight w:val="none"/>
        </w:rPr>
        <w:t xml:space="preserve">   咨询人向委托人提出赔偿要求不能成立时，则应补偿由于该赔偿或其他要求所导致委托人的各种费用的支出。</w:t>
      </w:r>
    </w:p>
    <w:p>
      <w:pPr>
        <w:spacing w:line="560" w:lineRule="exact"/>
        <w:ind w:firstLine="560" w:firstLineChars="200"/>
        <w:rPr>
          <w:rFonts w:ascii="宋体" w:hAnsi="宋体"/>
          <w:color w:val="auto"/>
          <w:szCs w:val="28"/>
          <w:highlight w:val="none"/>
        </w:rPr>
      </w:pPr>
    </w:p>
    <w:p>
      <w:pPr>
        <w:spacing w:line="560" w:lineRule="exact"/>
        <w:ind w:firstLine="562" w:firstLineChars="200"/>
        <w:jc w:val="center"/>
        <w:rPr>
          <w:rFonts w:ascii="宋体" w:hAnsi="宋体"/>
          <w:color w:val="auto"/>
          <w:szCs w:val="28"/>
          <w:highlight w:val="none"/>
        </w:rPr>
      </w:pPr>
      <w:r>
        <w:rPr>
          <w:rFonts w:ascii="宋体" w:hAnsi="宋体"/>
          <w:b/>
          <w:bCs/>
          <w:color w:val="auto"/>
          <w:szCs w:val="28"/>
          <w:highlight w:val="none"/>
        </w:rPr>
        <w:t>委托人的责任</w:t>
      </w:r>
    </w:p>
    <w:p>
      <w:pPr>
        <w:spacing w:line="560" w:lineRule="exact"/>
        <w:ind w:firstLine="562" w:firstLineChars="200"/>
        <w:rPr>
          <w:rFonts w:ascii="宋体" w:hAnsi="宋体"/>
          <w:color w:val="auto"/>
          <w:szCs w:val="28"/>
          <w:highlight w:val="none"/>
        </w:rPr>
      </w:pPr>
      <w:r>
        <w:rPr>
          <w:rFonts w:ascii="宋体" w:hAnsi="宋体"/>
          <w:b/>
          <w:bCs/>
          <w:color w:val="auto"/>
          <w:szCs w:val="28"/>
          <w:highlight w:val="none"/>
        </w:rPr>
        <w:t>第十七条</w:t>
      </w:r>
      <w:r>
        <w:rPr>
          <w:rFonts w:ascii="宋体" w:hAnsi="宋体"/>
          <w:color w:val="auto"/>
          <w:szCs w:val="28"/>
          <w:highlight w:val="none"/>
        </w:rPr>
        <w:t xml:space="preserve">   委托人应当履行建设工程造价咨询合同约定的义务，如有违反则应当承担违约责任，赔偿给咨询人造成的损失。</w:t>
      </w:r>
    </w:p>
    <w:p>
      <w:pPr>
        <w:spacing w:line="560" w:lineRule="exact"/>
        <w:ind w:right="-386" w:rightChars="-138" w:firstLine="562" w:firstLineChars="200"/>
        <w:rPr>
          <w:rFonts w:ascii="宋体" w:hAnsi="宋体"/>
          <w:color w:val="auto"/>
          <w:szCs w:val="28"/>
          <w:highlight w:val="none"/>
        </w:rPr>
      </w:pPr>
      <w:r>
        <w:rPr>
          <w:rFonts w:ascii="宋体" w:hAnsi="宋体"/>
          <w:b/>
          <w:bCs/>
          <w:color w:val="auto"/>
          <w:szCs w:val="28"/>
          <w:highlight w:val="none"/>
        </w:rPr>
        <w:t>第十八条</w:t>
      </w:r>
      <w:r>
        <w:rPr>
          <w:rFonts w:ascii="宋体" w:hAnsi="宋体"/>
          <w:color w:val="auto"/>
          <w:szCs w:val="28"/>
          <w:highlight w:val="none"/>
        </w:rPr>
        <w:t xml:space="preserve">   委托人如果向咨询人提出赔偿或其他要求不能成立时，则应补偿由于该赔偿或其他要求所导致咨询人的各种费用的支出。</w:t>
      </w:r>
    </w:p>
    <w:p>
      <w:pPr>
        <w:spacing w:line="560" w:lineRule="exact"/>
        <w:ind w:firstLine="560" w:firstLineChars="200"/>
        <w:rPr>
          <w:rFonts w:ascii="宋体" w:hAnsi="宋体"/>
          <w:color w:val="auto"/>
          <w:szCs w:val="28"/>
          <w:highlight w:val="none"/>
        </w:rPr>
      </w:pPr>
    </w:p>
    <w:p>
      <w:pPr>
        <w:spacing w:line="560" w:lineRule="exact"/>
        <w:ind w:firstLine="562" w:firstLineChars="200"/>
        <w:jc w:val="center"/>
        <w:rPr>
          <w:rFonts w:ascii="宋体" w:hAnsi="宋体"/>
          <w:b/>
          <w:bCs/>
          <w:color w:val="auto"/>
          <w:szCs w:val="28"/>
          <w:highlight w:val="none"/>
        </w:rPr>
      </w:pPr>
      <w:r>
        <w:rPr>
          <w:rFonts w:ascii="宋体" w:hAnsi="宋体"/>
          <w:b/>
          <w:bCs/>
          <w:color w:val="auto"/>
          <w:szCs w:val="28"/>
          <w:highlight w:val="none"/>
        </w:rPr>
        <w:t>合同生效、变更与终止</w:t>
      </w:r>
    </w:p>
    <w:p>
      <w:pPr>
        <w:spacing w:line="560" w:lineRule="exact"/>
        <w:ind w:firstLine="562" w:firstLineChars="200"/>
        <w:rPr>
          <w:rFonts w:ascii="宋体" w:hAnsi="宋体"/>
          <w:color w:val="auto"/>
          <w:szCs w:val="28"/>
          <w:highlight w:val="none"/>
        </w:rPr>
      </w:pPr>
      <w:r>
        <w:rPr>
          <w:rFonts w:ascii="宋体" w:hAnsi="宋体"/>
          <w:b/>
          <w:bCs/>
          <w:color w:val="auto"/>
          <w:szCs w:val="28"/>
          <w:highlight w:val="none"/>
        </w:rPr>
        <w:t>第十九条</w:t>
      </w:r>
      <w:r>
        <w:rPr>
          <w:rFonts w:ascii="宋体" w:hAnsi="宋体"/>
          <w:color w:val="auto"/>
          <w:szCs w:val="28"/>
          <w:highlight w:val="none"/>
        </w:rPr>
        <w:t xml:space="preserve">   本合同自双方签字盖章之日起生效。</w:t>
      </w:r>
    </w:p>
    <w:p>
      <w:pPr>
        <w:spacing w:line="560" w:lineRule="exact"/>
        <w:ind w:firstLine="562" w:firstLineChars="200"/>
        <w:rPr>
          <w:rFonts w:ascii="宋体" w:hAnsi="宋体"/>
          <w:color w:val="auto"/>
          <w:szCs w:val="28"/>
          <w:highlight w:val="none"/>
        </w:rPr>
      </w:pPr>
      <w:r>
        <w:rPr>
          <w:rFonts w:ascii="宋体" w:hAnsi="宋体"/>
          <w:b/>
          <w:bCs/>
          <w:color w:val="auto"/>
          <w:szCs w:val="28"/>
          <w:highlight w:val="none"/>
        </w:rPr>
        <w:t>第二十条</w:t>
      </w:r>
      <w:r>
        <w:rPr>
          <w:rFonts w:ascii="宋体" w:hAnsi="宋体"/>
          <w:color w:val="auto"/>
          <w:szCs w:val="28"/>
          <w:highlight w:val="none"/>
        </w:rPr>
        <w:t xml:space="preserve">   当事人一方要求变更或解除合同时，则应当在14日前通知对方；因变更或解除合同使一方遭受损失的，应由责任方负责赔偿。</w:t>
      </w:r>
    </w:p>
    <w:p>
      <w:pPr>
        <w:spacing w:line="560" w:lineRule="exact"/>
        <w:ind w:firstLine="562" w:firstLineChars="200"/>
        <w:rPr>
          <w:rFonts w:ascii="宋体" w:hAnsi="宋体"/>
          <w:color w:val="auto"/>
          <w:szCs w:val="28"/>
          <w:highlight w:val="none"/>
        </w:rPr>
      </w:pPr>
      <w:r>
        <w:rPr>
          <w:rFonts w:ascii="宋体" w:hAnsi="宋体"/>
          <w:b/>
          <w:bCs/>
          <w:color w:val="auto"/>
          <w:szCs w:val="28"/>
          <w:highlight w:val="none"/>
        </w:rPr>
        <w:t>第二十</w:t>
      </w:r>
      <w:r>
        <w:rPr>
          <w:rFonts w:hint="eastAsia" w:ascii="宋体" w:hAnsi="宋体"/>
          <w:b/>
          <w:bCs/>
          <w:color w:val="auto"/>
          <w:szCs w:val="28"/>
          <w:highlight w:val="none"/>
        </w:rPr>
        <w:t>一</w:t>
      </w:r>
      <w:r>
        <w:rPr>
          <w:rFonts w:ascii="宋体" w:hAnsi="宋体"/>
          <w:b/>
          <w:bCs/>
          <w:color w:val="auto"/>
          <w:szCs w:val="28"/>
          <w:highlight w:val="none"/>
        </w:rPr>
        <w:t>条</w:t>
      </w:r>
      <w:r>
        <w:rPr>
          <w:rFonts w:ascii="宋体" w:hAnsi="宋体"/>
          <w:color w:val="auto"/>
          <w:szCs w:val="28"/>
          <w:highlight w:val="none"/>
        </w:rPr>
        <w:t xml:space="preserve">   变更或解除合同的通知或协议应当采取书面形式，新的协议未达成之前，原合同仍然有效。</w:t>
      </w:r>
    </w:p>
    <w:p>
      <w:pPr>
        <w:spacing w:line="560" w:lineRule="exact"/>
        <w:ind w:firstLine="562" w:firstLineChars="200"/>
        <w:jc w:val="center"/>
        <w:rPr>
          <w:rFonts w:ascii="宋体" w:hAnsi="宋体"/>
          <w:b/>
          <w:bCs/>
          <w:color w:val="auto"/>
          <w:szCs w:val="28"/>
          <w:highlight w:val="none"/>
        </w:rPr>
      </w:pPr>
    </w:p>
    <w:p>
      <w:pPr>
        <w:spacing w:line="560" w:lineRule="exact"/>
        <w:ind w:firstLine="562" w:firstLineChars="200"/>
        <w:jc w:val="center"/>
        <w:rPr>
          <w:rFonts w:ascii="宋体" w:hAnsi="宋体"/>
          <w:b/>
          <w:bCs/>
          <w:color w:val="auto"/>
          <w:szCs w:val="28"/>
          <w:highlight w:val="none"/>
        </w:rPr>
      </w:pPr>
      <w:r>
        <w:rPr>
          <w:rFonts w:ascii="宋体" w:hAnsi="宋体"/>
          <w:b/>
          <w:bCs/>
          <w:color w:val="auto"/>
          <w:szCs w:val="28"/>
          <w:highlight w:val="none"/>
        </w:rPr>
        <w:t>咨询业务的酬金</w:t>
      </w:r>
    </w:p>
    <w:p>
      <w:pPr>
        <w:spacing w:line="560" w:lineRule="exact"/>
        <w:ind w:firstLine="562" w:firstLineChars="200"/>
        <w:rPr>
          <w:rFonts w:ascii="宋体" w:hAnsi="宋体"/>
          <w:color w:val="auto"/>
          <w:szCs w:val="28"/>
          <w:highlight w:val="none"/>
        </w:rPr>
      </w:pPr>
      <w:r>
        <w:rPr>
          <w:rFonts w:ascii="宋体" w:hAnsi="宋体"/>
          <w:b/>
          <w:bCs/>
          <w:color w:val="auto"/>
          <w:szCs w:val="28"/>
          <w:highlight w:val="none"/>
        </w:rPr>
        <w:t>第二十</w:t>
      </w:r>
      <w:r>
        <w:rPr>
          <w:rFonts w:hint="eastAsia" w:ascii="宋体" w:hAnsi="宋体"/>
          <w:b/>
          <w:bCs/>
          <w:color w:val="auto"/>
          <w:szCs w:val="28"/>
          <w:highlight w:val="none"/>
        </w:rPr>
        <w:t>二</w:t>
      </w:r>
      <w:r>
        <w:rPr>
          <w:rFonts w:ascii="宋体" w:hAnsi="宋体"/>
          <w:b/>
          <w:bCs/>
          <w:color w:val="auto"/>
          <w:szCs w:val="28"/>
          <w:highlight w:val="none"/>
        </w:rPr>
        <w:t>条</w:t>
      </w:r>
      <w:r>
        <w:rPr>
          <w:rFonts w:ascii="宋体" w:hAnsi="宋体"/>
          <w:color w:val="auto"/>
          <w:szCs w:val="28"/>
          <w:highlight w:val="none"/>
        </w:rPr>
        <w:t xml:space="preserve">   正常的建设工程造价咨询业务，附加工作和额外工作的酬金，按照建设工程造价咨询合同专用条件约定的方法计取，并按约定的时间和数额支付。</w:t>
      </w:r>
    </w:p>
    <w:p>
      <w:pPr>
        <w:spacing w:line="560" w:lineRule="exact"/>
        <w:ind w:firstLine="562" w:firstLineChars="200"/>
        <w:rPr>
          <w:rFonts w:ascii="宋体" w:hAnsi="宋体"/>
          <w:color w:val="auto"/>
          <w:szCs w:val="28"/>
          <w:highlight w:val="none"/>
        </w:rPr>
      </w:pPr>
      <w:r>
        <w:rPr>
          <w:rFonts w:ascii="宋体" w:hAnsi="宋体"/>
          <w:b/>
          <w:bCs/>
          <w:color w:val="auto"/>
          <w:szCs w:val="28"/>
          <w:highlight w:val="none"/>
        </w:rPr>
        <w:t>第二十</w:t>
      </w:r>
      <w:r>
        <w:rPr>
          <w:rFonts w:hint="eastAsia" w:ascii="宋体" w:hAnsi="宋体"/>
          <w:b/>
          <w:bCs/>
          <w:color w:val="auto"/>
          <w:szCs w:val="28"/>
          <w:highlight w:val="none"/>
        </w:rPr>
        <w:t>三</w:t>
      </w:r>
      <w:r>
        <w:rPr>
          <w:rFonts w:ascii="宋体" w:hAnsi="宋体"/>
          <w:b/>
          <w:bCs/>
          <w:color w:val="auto"/>
          <w:szCs w:val="28"/>
          <w:highlight w:val="none"/>
        </w:rPr>
        <w:t>条</w:t>
      </w:r>
      <w:r>
        <w:rPr>
          <w:rFonts w:ascii="宋体" w:hAnsi="宋体"/>
          <w:color w:val="auto"/>
          <w:szCs w:val="28"/>
          <w:highlight w:val="none"/>
        </w:rPr>
        <w:t xml:space="preserve">   如果委托人对咨询人提交的支付通知书中酬金或部分酬金项目提出异议，应当在收到支付通知书两日内向咨询人发出异议的通知，但委托人不得拖延其无异议酬金项目的支付。</w:t>
      </w:r>
    </w:p>
    <w:p>
      <w:pPr>
        <w:spacing w:line="560" w:lineRule="exact"/>
        <w:ind w:firstLine="562" w:firstLineChars="200"/>
        <w:rPr>
          <w:rFonts w:ascii="宋体" w:hAnsi="宋体"/>
          <w:color w:val="auto"/>
          <w:szCs w:val="28"/>
          <w:highlight w:val="none"/>
        </w:rPr>
      </w:pPr>
      <w:r>
        <w:rPr>
          <w:rFonts w:ascii="宋体" w:hAnsi="宋体"/>
          <w:b/>
          <w:bCs/>
          <w:color w:val="auto"/>
          <w:szCs w:val="28"/>
          <w:highlight w:val="none"/>
        </w:rPr>
        <w:t>第二十</w:t>
      </w:r>
      <w:r>
        <w:rPr>
          <w:rFonts w:hint="eastAsia" w:ascii="宋体" w:hAnsi="宋体"/>
          <w:b/>
          <w:bCs/>
          <w:color w:val="auto"/>
          <w:szCs w:val="28"/>
          <w:highlight w:val="none"/>
        </w:rPr>
        <w:t>四</w:t>
      </w:r>
      <w:r>
        <w:rPr>
          <w:rFonts w:ascii="宋体" w:hAnsi="宋体"/>
          <w:b/>
          <w:bCs/>
          <w:color w:val="auto"/>
          <w:szCs w:val="28"/>
          <w:highlight w:val="none"/>
        </w:rPr>
        <w:t>条</w:t>
      </w:r>
      <w:r>
        <w:rPr>
          <w:rFonts w:ascii="宋体" w:hAnsi="宋体"/>
          <w:color w:val="auto"/>
          <w:szCs w:val="28"/>
          <w:highlight w:val="none"/>
        </w:rPr>
        <w:t xml:space="preserve">   支付建设工程造价咨询酬金所采取的货币币种、汇率由合同专用条件约定。</w:t>
      </w:r>
    </w:p>
    <w:p>
      <w:pPr>
        <w:spacing w:line="560" w:lineRule="exact"/>
        <w:ind w:firstLine="560" w:firstLineChars="200"/>
        <w:rPr>
          <w:rFonts w:ascii="宋体" w:hAnsi="宋体"/>
          <w:color w:val="auto"/>
          <w:szCs w:val="28"/>
          <w:highlight w:val="none"/>
        </w:rPr>
      </w:pPr>
    </w:p>
    <w:p>
      <w:pPr>
        <w:spacing w:line="560" w:lineRule="exact"/>
        <w:ind w:firstLine="562" w:firstLineChars="200"/>
        <w:jc w:val="center"/>
        <w:rPr>
          <w:rFonts w:ascii="宋体" w:hAnsi="宋体"/>
          <w:b/>
          <w:bCs/>
          <w:color w:val="auto"/>
          <w:szCs w:val="28"/>
          <w:highlight w:val="none"/>
        </w:rPr>
      </w:pPr>
      <w:r>
        <w:rPr>
          <w:rFonts w:ascii="宋体" w:hAnsi="宋体"/>
          <w:b/>
          <w:bCs/>
          <w:color w:val="auto"/>
          <w:szCs w:val="28"/>
          <w:highlight w:val="none"/>
        </w:rPr>
        <w:t>其    他</w:t>
      </w:r>
    </w:p>
    <w:p>
      <w:pPr>
        <w:spacing w:line="560" w:lineRule="exact"/>
        <w:ind w:firstLine="562" w:firstLineChars="200"/>
        <w:rPr>
          <w:rFonts w:ascii="宋体" w:hAnsi="宋体"/>
          <w:color w:val="auto"/>
          <w:szCs w:val="28"/>
          <w:highlight w:val="none"/>
        </w:rPr>
      </w:pPr>
      <w:r>
        <w:rPr>
          <w:rFonts w:ascii="宋体" w:hAnsi="宋体"/>
          <w:b/>
          <w:bCs/>
          <w:color w:val="auto"/>
          <w:szCs w:val="28"/>
          <w:highlight w:val="none"/>
        </w:rPr>
        <w:t>第二十</w:t>
      </w:r>
      <w:r>
        <w:rPr>
          <w:rFonts w:hint="eastAsia" w:ascii="宋体" w:hAnsi="宋体"/>
          <w:b/>
          <w:bCs/>
          <w:color w:val="auto"/>
          <w:szCs w:val="28"/>
          <w:highlight w:val="none"/>
        </w:rPr>
        <w:t>五</w:t>
      </w:r>
      <w:r>
        <w:rPr>
          <w:rFonts w:ascii="宋体" w:hAnsi="宋体"/>
          <w:b/>
          <w:bCs/>
          <w:color w:val="auto"/>
          <w:szCs w:val="28"/>
          <w:highlight w:val="none"/>
        </w:rPr>
        <w:t>条</w:t>
      </w:r>
      <w:r>
        <w:rPr>
          <w:rFonts w:ascii="宋体" w:hAnsi="宋体"/>
          <w:color w:val="auto"/>
          <w:szCs w:val="28"/>
          <w:highlight w:val="none"/>
        </w:rPr>
        <w:t xml:space="preserve">   因建设工程造价咨询业务的需要，咨询人在合同约定外的外出考察，经委托人同意，其所需要费用由委托人负责。</w:t>
      </w:r>
    </w:p>
    <w:p>
      <w:pPr>
        <w:spacing w:line="560" w:lineRule="exact"/>
        <w:ind w:firstLine="562" w:firstLineChars="200"/>
        <w:rPr>
          <w:rFonts w:ascii="宋体" w:hAnsi="宋体"/>
          <w:color w:val="auto"/>
          <w:szCs w:val="28"/>
          <w:highlight w:val="none"/>
        </w:rPr>
      </w:pPr>
      <w:r>
        <w:rPr>
          <w:rFonts w:ascii="宋体" w:hAnsi="宋体"/>
          <w:b/>
          <w:bCs/>
          <w:color w:val="auto"/>
          <w:szCs w:val="28"/>
          <w:highlight w:val="none"/>
        </w:rPr>
        <w:t>第二十</w:t>
      </w:r>
      <w:r>
        <w:rPr>
          <w:rFonts w:hint="eastAsia" w:ascii="宋体" w:hAnsi="宋体"/>
          <w:b/>
          <w:bCs/>
          <w:color w:val="auto"/>
          <w:szCs w:val="28"/>
          <w:highlight w:val="none"/>
        </w:rPr>
        <w:t>六</w:t>
      </w:r>
      <w:r>
        <w:rPr>
          <w:rFonts w:ascii="宋体" w:hAnsi="宋体"/>
          <w:b/>
          <w:bCs/>
          <w:color w:val="auto"/>
          <w:szCs w:val="28"/>
          <w:highlight w:val="none"/>
        </w:rPr>
        <w:t>条</w:t>
      </w:r>
      <w:r>
        <w:rPr>
          <w:rFonts w:ascii="宋体" w:hAnsi="宋体"/>
          <w:color w:val="auto"/>
          <w:szCs w:val="28"/>
          <w:highlight w:val="none"/>
        </w:rPr>
        <w:t xml:space="preserve">   咨询人如需外聘专家协助，在委托的建设工程造价咨询业务范围内其费用由咨询人承担；在委托的建设工程造价咨询业务范围以外，经委托人认可其费用，由委托人承担。</w:t>
      </w:r>
    </w:p>
    <w:p>
      <w:pPr>
        <w:spacing w:line="560" w:lineRule="exact"/>
        <w:ind w:firstLine="562" w:firstLineChars="200"/>
        <w:rPr>
          <w:rFonts w:ascii="宋体" w:hAnsi="宋体"/>
          <w:color w:val="auto"/>
          <w:szCs w:val="28"/>
          <w:highlight w:val="none"/>
        </w:rPr>
      </w:pPr>
      <w:r>
        <w:rPr>
          <w:rFonts w:ascii="宋体" w:hAnsi="宋体"/>
          <w:b/>
          <w:bCs/>
          <w:color w:val="auto"/>
          <w:szCs w:val="28"/>
          <w:highlight w:val="none"/>
        </w:rPr>
        <w:t>第</w:t>
      </w:r>
      <w:r>
        <w:rPr>
          <w:rFonts w:hint="eastAsia" w:ascii="宋体" w:hAnsi="宋体"/>
          <w:b/>
          <w:bCs/>
          <w:color w:val="auto"/>
          <w:szCs w:val="28"/>
          <w:highlight w:val="none"/>
        </w:rPr>
        <w:t>二十七</w:t>
      </w:r>
      <w:r>
        <w:rPr>
          <w:rFonts w:ascii="宋体" w:hAnsi="宋体"/>
          <w:b/>
          <w:bCs/>
          <w:color w:val="auto"/>
          <w:szCs w:val="28"/>
          <w:highlight w:val="none"/>
        </w:rPr>
        <w:t>条</w:t>
      </w:r>
      <w:r>
        <w:rPr>
          <w:rFonts w:ascii="宋体" w:hAnsi="宋体"/>
          <w:color w:val="auto"/>
          <w:szCs w:val="28"/>
          <w:highlight w:val="none"/>
        </w:rPr>
        <w:t xml:space="preserve">   未经对方的书面同意，各方均不得转让合同约定的权利和义务。</w:t>
      </w:r>
    </w:p>
    <w:p>
      <w:pPr>
        <w:spacing w:line="560" w:lineRule="exact"/>
        <w:ind w:firstLine="562" w:firstLineChars="200"/>
        <w:rPr>
          <w:rFonts w:ascii="宋体" w:hAnsi="宋体"/>
          <w:color w:val="auto"/>
          <w:szCs w:val="28"/>
          <w:highlight w:val="none"/>
        </w:rPr>
      </w:pPr>
      <w:r>
        <w:rPr>
          <w:rFonts w:ascii="宋体" w:hAnsi="宋体"/>
          <w:b/>
          <w:bCs/>
          <w:color w:val="auto"/>
          <w:szCs w:val="28"/>
          <w:highlight w:val="none"/>
        </w:rPr>
        <w:t>第</w:t>
      </w:r>
      <w:r>
        <w:rPr>
          <w:rFonts w:hint="eastAsia" w:ascii="宋体" w:hAnsi="宋体"/>
          <w:b/>
          <w:bCs/>
          <w:color w:val="auto"/>
          <w:szCs w:val="28"/>
          <w:highlight w:val="none"/>
        </w:rPr>
        <w:t>二十八</w:t>
      </w:r>
      <w:r>
        <w:rPr>
          <w:rFonts w:ascii="宋体" w:hAnsi="宋体"/>
          <w:b/>
          <w:bCs/>
          <w:color w:val="auto"/>
          <w:szCs w:val="28"/>
          <w:highlight w:val="none"/>
        </w:rPr>
        <w:t>条</w:t>
      </w:r>
      <w:r>
        <w:rPr>
          <w:rFonts w:ascii="宋体" w:hAnsi="宋体"/>
          <w:color w:val="auto"/>
          <w:szCs w:val="28"/>
          <w:highlight w:val="none"/>
        </w:rPr>
        <w:t xml:space="preserve">   除委托人书面同意外，咨询人及咨询专业人员不应接受建设工程造价咨询合同约定以外的，与工程造价咨询项目有关的任何报酬。</w:t>
      </w:r>
    </w:p>
    <w:p>
      <w:pPr>
        <w:spacing w:line="560" w:lineRule="exact"/>
        <w:ind w:right="-1106" w:rightChars="-395" w:firstLine="560" w:firstLineChars="200"/>
        <w:rPr>
          <w:rFonts w:ascii="宋体" w:hAnsi="宋体"/>
          <w:color w:val="auto"/>
          <w:szCs w:val="28"/>
          <w:highlight w:val="none"/>
        </w:rPr>
      </w:pPr>
      <w:r>
        <w:rPr>
          <w:rFonts w:ascii="宋体" w:hAnsi="宋体"/>
          <w:color w:val="auto"/>
          <w:szCs w:val="28"/>
          <w:highlight w:val="none"/>
        </w:rPr>
        <w:t>咨询人不得参与可能与合同规定的，与委托人利益相冲突的任何活动。</w:t>
      </w:r>
    </w:p>
    <w:p>
      <w:pPr>
        <w:spacing w:line="560" w:lineRule="exact"/>
        <w:ind w:firstLine="562" w:firstLineChars="200"/>
        <w:jc w:val="center"/>
        <w:rPr>
          <w:rFonts w:ascii="宋体" w:hAnsi="宋体"/>
          <w:b/>
          <w:bCs/>
          <w:color w:val="auto"/>
          <w:szCs w:val="28"/>
          <w:highlight w:val="none"/>
        </w:rPr>
      </w:pPr>
      <w:r>
        <w:rPr>
          <w:rFonts w:ascii="宋体" w:hAnsi="宋体"/>
          <w:b/>
          <w:bCs/>
          <w:color w:val="auto"/>
          <w:szCs w:val="28"/>
          <w:highlight w:val="none"/>
        </w:rPr>
        <w:t>合同争议的解决</w:t>
      </w:r>
    </w:p>
    <w:p>
      <w:pPr>
        <w:spacing w:line="560" w:lineRule="exact"/>
        <w:ind w:firstLine="562" w:firstLineChars="200"/>
        <w:rPr>
          <w:rFonts w:ascii="宋体" w:hAnsi="宋体"/>
          <w:bCs/>
          <w:color w:val="auto"/>
          <w:szCs w:val="28"/>
          <w:highlight w:val="none"/>
        </w:rPr>
      </w:pPr>
      <w:r>
        <w:rPr>
          <w:rFonts w:ascii="宋体" w:hAnsi="宋体"/>
          <w:b/>
          <w:bCs/>
          <w:color w:val="auto"/>
          <w:szCs w:val="28"/>
          <w:highlight w:val="none"/>
        </w:rPr>
        <w:t>第</w:t>
      </w:r>
      <w:r>
        <w:rPr>
          <w:rFonts w:hint="eastAsia" w:ascii="宋体" w:hAnsi="宋体"/>
          <w:b/>
          <w:bCs/>
          <w:color w:val="auto"/>
          <w:szCs w:val="28"/>
          <w:highlight w:val="none"/>
        </w:rPr>
        <w:t>二十九</w:t>
      </w:r>
      <w:r>
        <w:rPr>
          <w:rFonts w:ascii="宋体" w:hAnsi="宋体"/>
          <w:b/>
          <w:bCs/>
          <w:color w:val="auto"/>
          <w:szCs w:val="28"/>
          <w:highlight w:val="none"/>
        </w:rPr>
        <w:t>条</w:t>
      </w:r>
      <w:r>
        <w:rPr>
          <w:rFonts w:ascii="宋体" w:hAnsi="宋体"/>
          <w:color w:val="auto"/>
          <w:szCs w:val="28"/>
          <w:highlight w:val="none"/>
        </w:rPr>
        <w:t xml:space="preserve">   因违约或终止合同而引起的损失和损害的赔偿，委托人与咨询人之间应当协商解决；如未能达成一致，可提交有关主管部门调解；协商或调解不成的，根据双方约定提交</w:t>
      </w:r>
      <w:r>
        <w:rPr>
          <w:rFonts w:hint="eastAsia" w:ascii="宋体" w:hAnsi="宋体"/>
          <w:color w:val="auto"/>
          <w:szCs w:val="28"/>
          <w:highlight w:val="none"/>
        </w:rPr>
        <w:t>仲</w:t>
      </w:r>
      <w:r>
        <w:rPr>
          <w:rFonts w:ascii="宋体" w:hAnsi="宋体"/>
          <w:color w:val="auto"/>
          <w:szCs w:val="28"/>
          <w:highlight w:val="none"/>
        </w:rPr>
        <w:t>裁机关仲裁，或向人民法院提起诉讼。</w:t>
      </w:r>
    </w:p>
    <w:p>
      <w:pPr>
        <w:spacing w:beforeLines="100" w:line="560" w:lineRule="exact"/>
        <w:ind w:firstLine="1606" w:firstLineChars="500"/>
        <w:rPr>
          <w:rFonts w:ascii="宋体" w:hAnsi="宋体"/>
          <w:b/>
          <w:bCs/>
          <w:color w:val="auto"/>
          <w:sz w:val="32"/>
          <w:highlight w:val="none"/>
        </w:rPr>
      </w:pPr>
    </w:p>
    <w:p>
      <w:pPr>
        <w:spacing w:beforeLines="100" w:line="560" w:lineRule="exact"/>
        <w:ind w:firstLine="1606" w:firstLineChars="500"/>
        <w:rPr>
          <w:rFonts w:ascii="宋体" w:hAnsi="宋体"/>
          <w:b/>
          <w:bCs/>
          <w:color w:val="auto"/>
          <w:sz w:val="32"/>
          <w:highlight w:val="none"/>
        </w:rPr>
      </w:pPr>
    </w:p>
    <w:p>
      <w:pPr>
        <w:spacing w:beforeLines="100" w:line="560" w:lineRule="exact"/>
        <w:ind w:firstLine="1606" w:firstLineChars="500"/>
        <w:rPr>
          <w:rFonts w:ascii="宋体" w:hAnsi="宋体"/>
          <w:b/>
          <w:bCs/>
          <w:color w:val="auto"/>
          <w:sz w:val="32"/>
          <w:highlight w:val="none"/>
        </w:rPr>
      </w:pPr>
    </w:p>
    <w:p>
      <w:pPr>
        <w:spacing w:beforeLines="100" w:line="560" w:lineRule="exact"/>
        <w:ind w:firstLine="1606" w:firstLineChars="500"/>
        <w:rPr>
          <w:rFonts w:ascii="宋体" w:hAnsi="宋体"/>
          <w:b/>
          <w:bCs/>
          <w:color w:val="auto"/>
          <w:sz w:val="32"/>
          <w:highlight w:val="none"/>
        </w:rPr>
      </w:pPr>
    </w:p>
    <w:p>
      <w:pPr>
        <w:spacing w:beforeLines="100" w:line="560" w:lineRule="exact"/>
        <w:ind w:firstLine="1606" w:firstLineChars="500"/>
        <w:rPr>
          <w:rFonts w:ascii="宋体" w:hAnsi="宋体"/>
          <w:b/>
          <w:bCs/>
          <w:color w:val="auto"/>
          <w:sz w:val="32"/>
          <w:highlight w:val="none"/>
        </w:rPr>
      </w:pPr>
    </w:p>
    <w:p>
      <w:pPr>
        <w:spacing w:beforeLines="100" w:line="560" w:lineRule="exact"/>
        <w:ind w:firstLine="1606" w:firstLineChars="500"/>
        <w:rPr>
          <w:rFonts w:ascii="宋体" w:hAnsi="宋体"/>
          <w:b/>
          <w:bCs/>
          <w:color w:val="auto"/>
          <w:sz w:val="32"/>
          <w:highlight w:val="none"/>
        </w:rPr>
      </w:pPr>
    </w:p>
    <w:p>
      <w:pPr>
        <w:spacing w:beforeLines="100" w:line="560" w:lineRule="exact"/>
        <w:ind w:firstLine="1606" w:firstLineChars="500"/>
        <w:rPr>
          <w:rFonts w:ascii="宋体" w:hAnsi="宋体"/>
          <w:b/>
          <w:bCs/>
          <w:color w:val="auto"/>
          <w:sz w:val="32"/>
          <w:highlight w:val="none"/>
        </w:rPr>
      </w:pPr>
    </w:p>
    <w:p>
      <w:pPr>
        <w:spacing w:beforeLines="100" w:line="560" w:lineRule="exact"/>
        <w:ind w:firstLine="1606" w:firstLineChars="500"/>
        <w:rPr>
          <w:rFonts w:ascii="宋体" w:hAnsi="宋体"/>
          <w:b/>
          <w:bCs/>
          <w:color w:val="auto"/>
          <w:sz w:val="32"/>
          <w:highlight w:val="none"/>
        </w:rPr>
      </w:pPr>
    </w:p>
    <w:p>
      <w:pPr>
        <w:spacing w:beforeLines="100" w:line="560" w:lineRule="exact"/>
        <w:ind w:firstLine="1606" w:firstLineChars="500"/>
        <w:rPr>
          <w:rFonts w:ascii="宋体" w:hAnsi="宋体"/>
          <w:b/>
          <w:bCs/>
          <w:color w:val="auto"/>
          <w:sz w:val="32"/>
          <w:highlight w:val="none"/>
        </w:rPr>
      </w:pPr>
    </w:p>
    <w:p>
      <w:pPr>
        <w:spacing w:beforeLines="100" w:line="560" w:lineRule="exact"/>
        <w:ind w:firstLine="1606" w:firstLineChars="500"/>
        <w:rPr>
          <w:rFonts w:ascii="宋体" w:hAnsi="宋体"/>
          <w:b/>
          <w:bCs/>
          <w:color w:val="auto"/>
          <w:sz w:val="32"/>
          <w:highlight w:val="none"/>
        </w:rPr>
      </w:pPr>
    </w:p>
    <w:p>
      <w:pPr>
        <w:spacing w:beforeLines="100" w:line="560" w:lineRule="exact"/>
        <w:ind w:firstLine="1606" w:firstLineChars="500"/>
        <w:rPr>
          <w:rFonts w:ascii="宋体" w:hAnsi="宋体"/>
          <w:b/>
          <w:bCs/>
          <w:color w:val="auto"/>
          <w:sz w:val="32"/>
          <w:highlight w:val="none"/>
        </w:rPr>
      </w:pPr>
    </w:p>
    <w:p>
      <w:pPr>
        <w:spacing w:beforeLines="100" w:line="560" w:lineRule="exact"/>
        <w:ind w:firstLine="1606" w:firstLineChars="500"/>
        <w:rPr>
          <w:rFonts w:ascii="宋体" w:hAnsi="宋体"/>
          <w:b/>
          <w:bCs/>
          <w:color w:val="auto"/>
          <w:sz w:val="32"/>
          <w:highlight w:val="none"/>
        </w:rPr>
      </w:pPr>
    </w:p>
    <w:p>
      <w:pPr>
        <w:spacing w:beforeLines="100" w:line="560" w:lineRule="exact"/>
        <w:ind w:firstLine="1606" w:firstLineChars="500"/>
        <w:rPr>
          <w:rFonts w:ascii="宋体" w:hAnsi="宋体"/>
          <w:b/>
          <w:bCs/>
          <w:color w:val="auto"/>
          <w:sz w:val="32"/>
          <w:highlight w:val="none"/>
        </w:rPr>
      </w:pPr>
    </w:p>
    <w:p>
      <w:pPr>
        <w:spacing w:beforeLines="100" w:line="560" w:lineRule="exact"/>
        <w:ind w:firstLine="1606" w:firstLineChars="500"/>
        <w:rPr>
          <w:rFonts w:ascii="宋体" w:hAnsi="宋体"/>
          <w:b/>
          <w:bCs/>
          <w:color w:val="auto"/>
          <w:sz w:val="32"/>
          <w:highlight w:val="none"/>
        </w:rPr>
      </w:pPr>
    </w:p>
    <w:p>
      <w:pPr>
        <w:spacing w:beforeLines="100" w:line="560" w:lineRule="exact"/>
        <w:ind w:firstLine="1606" w:firstLineChars="500"/>
        <w:rPr>
          <w:rFonts w:ascii="宋体" w:hAnsi="宋体"/>
          <w:b/>
          <w:bCs/>
          <w:color w:val="auto"/>
          <w:sz w:val="32"/>
          <w:highlight w:val="none"/>
        </w:rPr>
      </w:pPr>
    </w:p>
    <w:p>
      <w:pPr>
        <w:spacing w:beforeLines="100" w:line="560" w:lineRule="exact"/>
        <w:ind w:firstLine="1606" w:firstLineChars="500"/>
        <w:rPr>
          <w:rFonts w:ascii="宋体" w:hAnsi="宋体"/>
          <w:b/>
          <w:bCs/>
          <w:color w:val="auto"/>
          <w:sz w:val="32"/>
          <w:highlight w:val="none"/>
        </w:rPr>
      </w:pPr>
      <w:r>
        <w:rPr>
          <w:rFonts w:ascii="宋体" w:hAnsi="宋体"/>
          <w:b/>
          <w:bCs/>
          <w:color w:val="auto"/>
          <w:sz w:val="32"/>
          <w:highlight w:val="none"/>
        </w:rPr>
        <w:t>第三部分    建设工程造价咨询合同专用条件</w:t>
      </w:r>
    </w:p>
    <w:p>
      <w:pPr>
        <w:spacing w:line="560" w:lineRule="exact"/>
        <w:jc w:val="center"/>
        <w:rPr>
          <w:rFonts w:ascii="宋体" w:hAnsi="宋体"/>
          <w:color w:val="auto"/>
          <w:szCs w:val="28"/>
          <w:highlight w:val="none"/>
        </w:rPr>
      </w:pPr>
    </w:p>
    <w:p>
      <w:pPr>
        <w:spacing w:line="560" w:lineRule="exact"/>
        <w:ind w:firstLine="562" w:firstLineChars="200"/>
        <w:rPr>
          <w:rFonts w:ascii="宋体" w:hAnsi="宋体"/>
          <w:color w:val="auto"/>
          <w:szCs w:val="28"/>
          <w:highlight w:val="none"/>
        </w:rPr>
      </w:pPr>
      <w:r>
        <w:rPr>
          <w:rFonts w:ascii="宋体" w:hAnsi="宋体"/>
          <w:b/>
          <w:bCs/>
          <w:color w:val="auto"/>
          <w:szCs w:val="28"/>
          <w:highlight w:val="none"/>
        </w:rPr>
        <w:t>第三十条</w:t>
      </w:r>
      <w:r>
        <w:rPr>
          <w:rFonts w:ascii="宋体" w:hAnsi="宋体"/>
          <w:color w:val="auto"/>
          <w:szCs w:val="28"/>
          <w:highlight w:val="none"/>
        </w:rPr>
        <w:t xml:space="preserve">   本合同适用的法律、法规及工程造价计价办法和规定：</w:t>
      </w:r>
      <w:r>
        <w:rPr>
          <w:rFonts w:ascii="宋体" w:hAnsi="宋体"/>
          <w:b/>
          <w:bCs/>
          <w:color w:val="auto"/>
          <w:szCs w:val="28"/>
          <w:highlight w:val="none"/>
          <w:u w:val="single"/>
        </w:rPr>
        <w:t xml:space="preserve">按国家及重庆市的相关文件精神 </w:t>
      </w:r>
      <w:r>
        <w:rPr>
          <w:rFonts w:ascii="宋体" w:hAnsi="宋体"/>
          <w:color w:val="auto"/>
          <w:szCs w:val="28"/>
          <w:highlight w:val="none"/>
          <w:u w:val="single"/>
        </w:rPr>
        <w:t>。</w:t>
      </w:r>
    </w:p>
    <w:p>
      <w:pPr>
        <w:spacing w:line="560" w:lineRule="exact"/>
        <w:ind w:firstLine="562" w:firstLineChars="200"/>
        <w:rPr>
          <w:rFonts w:ascii="宋体" w:hAnsi="宋体"/>
          <w:color w:val="auto"/>
          <w:szCs w:val="28"/>
          <w:highlight w:val="none"/>
        </w:rPr>
      </w:pPr>
      <w:r>
        <w:rPr>
          <w:rFonts w:ascii="宋体" w:hAnsi="宋体"/>
          <w:b/>
          <w:bCs/>
          <w:color w:val="auto"/>
          <w:szCs w:val="28"/>
          <w:highlight w:val="none"/>
        </w:rPr>
        <w:t>第三十</w:t>
      </w:r>
      <w:r>
        <w:rPr>
          <w:rFonts w:hint="eastAsia" w:ascii="宋体" w:hAnsi="宋体"/>
          <w:b/>
          <w:bCs/>
          <w:color w:val="auto"/>
          <w:szCs w:val="28"/>
          <w:highlight w:val="none"/>
        </w:rPr>
        <w:t>一</w:t>
      </w:r>
      <w:r>
        <w:rPr>
          <w:rFonts w:ascii="宋体" w:hAnsi="宋体"/>
          <w:b/>
          <w:bCs/>
          <w:color w:val="auto"/>
          <w:szCs w:val="28"/>
          <w:highlight w:val="none"/>
        </w:rPr>
        <w:t>条</w:t>
      </w:r>
      <w:r>
        <w:rPr>
          <w:rFonts w:ascii="宋体" w:hAnsi="宋体"/>
          <w:color w:val="auto"/>
          <w:szCs w:val="28"/>
          <w:highlight w:val="none"/>
        </w:rPr>
        <w:t xml:space="preserve">  建设工程造价咨询业务范围：</w:t>
      </w:r>
      <w:r>
        <w:rPr>
          <w:rFonts w:hint="eastAsia" w:ascii="宋体" w:hAnsi="宋体"/>
          <w:color w:val="auto"/>
          <w:szCs w:val="28"/>
          <w:highlight w:val="none"/>
        </w:rPr>
        <w:t>详见补充条款第一条；</w:t>
      </w:r>
    </w:p>
    <w:p>
      <w:pPr>
        <w:spacing w:line="560" w:lineRule="exact"/>
        <w:ind w:right="-386" w:rightChars="-138" w:firstLine="562" w:firstLineChars="200"/>
        <w:rPr>
          <w:rFonts w:ascii="宋体" w:hAnsi="宋体"/>
          <w:color w:val="auto"/>
          <w:szCs w:val="28"/>
          <w:highlight w:val="none"/>
        </w:rPr>
      </w:pPr>
      <w:r>
        <w:rPr>
          <w:rFonts w:ascii="宋体" w:hAnsi="宋体"/>
          <w:b/>
          <w:bCs/>
          <w:color w:val="auto"/>
          <w:szCs w:val="28"/>
          <w:highlight w:val="none"/>
        </w:rPr>
        <w:t>第三十</w:t>
      </w:r>
      <w:r>
        <w:rPr>
          <w:rFonts w:hint="eastAsia" w:ascii="宋体" w:hAnsi="宋体"/>
          <w:b/>
          <w:bCs/>
          <w:color w:val="auto"/>
          <w:szCs w:val="28"/>
          <w:highlight w:val="none"/>
        </w:rPr>
        <w:t>二</w:t>
      </w:r>
      <w:r>
        <w:rPr>
          <w:rFonts w:ascii="宋体" w:hAnsi="宋体"/>
          <w:b/>
          <w:bCs/>
          <w:color w:val="auto"/>
          <w:szCs w:val="28"/>
          <w:highlight w:val="none"/>
        </w:rPr>
        <w:t>条</w:t>
      </w:r>
      <w:r>
        <w:rPr>
          <w:rFonts w:ascii="宋体" w:hAnsi="宋体"/>
          <w:color w:val="auto"/>
          <w:szCs w:val="28"/>
          <w:highlight w:val="none"/>
        </w:rPr>
        <w:t xml:space="preserve">  双方约定的委托人应</w:t>
      </w:r>
      <w:r>
        <w:rPr>
          <w:rFonts w:hint="eastAsia" w:ascii="宋体" w:hAnsi="宋体"/>
          <w:color w:val="auto"/>
          <w:szCs w:val="28"/>
          <w:highlight w:val="none"/>
        </w:rPr>
        <w:t>按</w:t>
      </w:r>
      <w:r>
        <w:rPr>
          <w:rFonts w:ascii="宋体" w:hAnsi="宋体"/>
          <w:color w:val="auto"/>
          <w:szCs w:val="28"/>
          <w:highlight w:val="none"/>
        </w:rPr>
        <w:t>规定要求,提供相应的建设工程造价</w:t>
      </w:r>
    </w:p>
    <w:p>
      <w:pPr>
        <w:spacing w:line="560" w:lineRule="exact"/>
        <w:ind w:left="-37" w:leftChars="-50" w:right="-386" w:rightChars="-138" w:hanging="103" w:hangingChars="37"/>
        <w:rPr>
          <w:rFonts w:ascii="宋体" w:hAnsi="宋体"/>
          <w:color w:val="auto"/>
          <w:szCs w:val="28"/>
          <w:highlight w:val="none"/>
        </w:rPr>
      </w:pPr>
      <w:r>
        <w:rPr>
          <w:rFonts w:ascii="宋体" w:hAnsi="宋体"/>
          <w:color w:val="auto"/>
          <w:szCs w:val="28"/>
          <w:highlight w:val="none"/>
        </w:rPr>
        <w:t>咨询资料。</w:t>
      </w:r>
    </w:p>
    <w:p>
      <w:pPr>
        <w:spacing w:line="560" w:lineRule="exact"/>
        <w:ind w:right="238" w:rightChars="85" w:firstLine="562" w:firstLineChars="200"/>
        <w:rPr>
          <w:rFonts w:ascii="宋体" w:hAnsi="宋体"/>
          <w:color w:val="auto"/>
          <w:szCs w:val="28"/>
          <w:highlight w:val="none"/>
        </w:rPr>
      </w:pPr>
      <w:r>
        <w:rPr>
          <w:rFonts w:ascii="宋体" w:hAnsi="宋体"/>
          <w:b/>
          <w:bCs/>
          <w:color w:val="auto"/>
          <w:szCs w:val="28"/>
          <w:highlight w:val="none"/>
        </w:rPr>
        <w:t>第三十</w:t>
      </w:r>
      <w:r>
        <w:rPr>
          <w:rFonts w:hint="eastAsia" w:ascii="宋体" w:hAnsi="宋体"/>
          <w:b/>
          <w:bCs/>
          <w:color w:val="auto"/>
          <w:szCs w:val="28"/>
          <w:highlight w:val="none"/>
        </w:rPr>
        <w:t>三</w:t>
      </w:r>
      <w:r>
        <w:rPr>
          <w:rFonts w:ascii="宋体" w:hAnsi="宋体"/>
          <w:b/>
          <w:bCs/>
          <w:color w:val="auto"/>
          <w:szCs w:val="28"/>
          <w:highlight w:val="none"/>
        </w:rPr>
        <w:t>条</w:t>
      </w:r>
      <w:r>
        <w:rPr>
          <w:rFonts w:ascii="宋体" w:hAnsi="宋体"/>
          <w:color w:val="auto"/>
          <w:szCs w:val="28"/>
          <w:highlight w:val="none"/>
        </w:rPr>
        <w:t xml:space="preserve">  委托人应在</w:t>
      </w:r>
      <w:r>
        <w:rPr>
          <w:rFonts w:hint="eastAsia" w:ascii="宋体" w:hAnsi="宋体"/>
          <w:color w:val="auto"/>
          <w:sz w:val="32"/>
          <w:szCs w:val="28"/>
          <w:highlight w:val="none"/>
          <w:u w:val="single"/>
        </w:rPr>
        <w:t>7</w:t>
      </w:r>
      <w:r>
        <w:rPr>
          <w:rFonts w:hint="eastAsia" w:ascii="宋体" w:hAnsi="宋体"/>
          <w:color w:val="auto"/>
          <w:szCs w:val="28"/>
          <w:highlight w:val="none"/>
        </w:rPr>
        <w:t>工作</w:t>
      </w:r>
      <w:r>
        <w:rPr>
          <w:rFonts w:ascii="宋体" w:hAnsi="宋体"/>
          <w:color w:val="auto"/>
          <w:szCs w:val="28"/>
          <w:highlight w:val="none"/>
        </w:rPr>
        <w:t>日内对咨询人书面提交并要求做出答复的事宜做出书面答复。</w:t>
      </w:r>
    </w:p>
    <w:p>
      <w:pPr>
        <w:spacing w:line="560" w:lineRule="exact"/>
        <w:ind w:firstLine="562" w:firstLineChars="200"/>
        <w:rPr>
          <w:rFonts w:ascii="宋体" w:hAnsi="宋体"/>
          <w:color w:val="auto"/>
          <w:szCs w:val="28"/>
          <w:highlight w:val="none"/>
        </w:rPr>
      </w:pPr>
      <w:r>
        <w:rPr>
          <w:rFonts w:ascii="宋体" w:hAnsi="宋体"/>
          <w:b/>
          <w:bCs/>
          <w:color w:val="auto"/>
          <w:szCs w:val="28"/>
          <w:highlight w:val="none"/>
        </w:rPr>
        <w:t>第三十</w:t>
      </w:r>
      <w:r>
        <w:rPr>
          <w:rFonts w:hint="eastAsia" w:ascii="宋体" w:hAnsi="宋体"/>
          <w:b/>
          <w:bCs/>
          <w:color w:val="auto"/>
          <w:szCs w:val="28"/>
          <w:highlight w:val="none"/>
        </w:rPr>
        <w:t>四条</w:t>
      </w:r>
      <w:r>
        <w:rPr>
          <w:rFonts w:ascii="宋体" w:hAnsi="宋体"/>
          <w:color w:val="auto"/>
          <w:szCs w:val="28"/>
          <w:highlight w:val="none"/>
        </w:rPr>
        <w:t xml:space="preserve">  咨询人在其责任期内如果失职，</w:t>
      </w:r>
      <w:r>
        <w:rPr>
          <w:rFonts w:hint="eastAsia" w:ascii="宋体" w:hAnsi="宋体"/>
          <w:color w:val="auto"/>
          <w:szCs w:val="28"/>
          <w:highlight w:val="none"/>
        </w:rPr>
        <w:t>应</w:t>
      </w:r>
      <w:r>
        <w:rPr>
          <w:rFonts w:ascii="宋体" w:hAnsi="宋体"/>
          <w:color w:val="auto"/>
          <w:szCs w:val="28"/>
          <w:highlight w:val="none"/>
        </w:rPr>
        <w:t>承担</w:t>
      </w:r>
      <w:r>
        <w:rPr>
          <w:rFonts w:hint="eastAsia" w:ascii="宋体" w:hAnsi="宋体"/>
          <w:color w:val="auto"/>
          <w:szCs w:val="28"/>
          <w:highlight w:val="none"/>
        </w:rPr>
        <w:t>单</w:t>
      </w:r>
      <w:r>
        <w:rPr>
          <w:rFonts w:ascii="宋体" w:hAnsi="宋体"/>
          <w:color w:val="auto"/>
          <w:szCs w:val="28"/>
          <w:highlight w:val="none"/>
        </w:rPr>
        <w:t>方责任而造成的经济损失。</w:t>
      </w:r>
    </w:p>
    <w:p>
      <w:pPr>
        <w:spacing w:line="560" w:lineRule="exact"/>
        <w:ind w:firstLine="562" w:firstLineChars="200"/>
        <w:rPr>
          <w:rFonts w:ascii="宋体" w:hAnsi="宋体"/>
          <w:color w:val="auto"/>
          <w:szCs w:val="28"/>
          <w:highlight w:val="none"/>
        </w:rPr>
      </w:pPr>
      <w:r>
        <w:rPr>
          <w:rFonts w:ascii="宋体" w:hAnsi="宋体"/>
          <w:b/>
          <w:bCs/>
          <w:color w:val="auto"/>
          <w:szCs w:val="28"/>
          <w:highlight w:val="none"/>
        </w:rPr>
        <w:t>第三十</w:t>
      </w:r>
      <w:r>
        <w:rPr>
          <w:rFonts w:hint="eastAsia" w:ascii="宋体" w:hAnsi="宋体"/>
          <w:b/>
          <w:bCs/>
          <w:color w:val="auto"/>
          <w:szCs w:val="28"/>
          <w:highlight w:val="none"/>
        </w:rPr>
        <w:t>五条</w:t>
      </w:r>
      <w:r>
        <w:rPr>
          <w:rFonts w:ascii="宋体" w:hAnsi="宋体"/>
          <w:color w:val="auto"/>
          <w:szCs w:val="28"/>
          <w:highlight w:val="none"/>
        </w:rPr>
        <w:t xml:space="preserve">  双方同意用</w:t>
      </w:r>
      <w:r>
        <w:rPr>
          <w:rFonts w:ascii="宋体" w:hAnsi="宋体"/>
          <w:b/>
          <w:bCs/>
          <w:color w:val="auto"/>
          <w:szCs w:val="28"/>
          <w:highlight w:val="none"/>
          <w:u w:val="single"/>
        </w:rPr>
        <w:t>人民币</w:t>
      </w:r>
      <w:r>
        <w:rPr>
          <w:rFonts w:ascii="宋体" w:hAnsi="宋体"/>
          <w:color w:val="auto"/>
          <w:szCs w:val="28"/>
          <w:highlight w:val="none"/>
        </w:rPr>
        <w:t xml:space="preserve"> 支付酬金，按</w:t>
      </w:r>
      <w:r>
        <w:rPr>
          <w:rFonts w:ascii="宋体" w:hAnsi="宋体"/>
          <w:color w:val="auto"/>
          <w:szCs w:val="28"/>
          <w:highlight w:val="none"/>
          <w:u w:val="single"/>
        </w:rPr>
        <w:t xml:space="preserve"> /  </w:t>
      </w:r>
      <w:r>
        <w:rPr>
          <w:rFonts w:ascii="宋体" w:hAnsi="宋体"/>
          <w:color w:val="auto"/>
          <w:szCs w:val="28"/>
          <w:highlight w:val="none"/>
        </w:rPr>
        <w:t>汇率计付。</w:t>
      </w:r>
    </w:p>
    <w:p>
      <w:pPr>
        <w:spacing w:line="560" w:lineRule="exact"/>
        <w:ind w:firstLine="562" w:firstLineChars="200"/>
        <w:rPr>
          <w:rFonts w:ascii="宋体" w:hAnsi="宋体"/>
          <w:color w:val="auto"/>
          <w:szCs w:val="28"/>
          <w:highlight w:val="none"/>
        </w:rPr>
      </w:pPr>
      <w:r>
        <w:rPr>
          <w:rFonts w:ascii="宋体" w:hAnsi="宋体"/>
          <w:b/>
          <w:bCs/>
          <w:color w:val="auto"/>
          <w:szCs w:val="28"/>
          <w:highlight w:val="none"/>
        </w:rPr>
        <w:t>第</w:t>
      </w:r>
      <w:r>
        <w:rPr>
          <w:rFonts w:hint="eastAsia" w:ascii="宋体" w:hAnsi="宋体"/>
          <w:b/>
          <w:bCs/>
          <w:color w:val="auto"/>
          <w:szCs w:val="28"/>
          <w:highlight w:val="none"/>
        </w:rPr>
        <w:t>三十六条</w:t>
      </w:r>
      <w:r>
        <w:rPr>
          <w:rFonts w:ascii="宋体" w:hAnsi="宋体"/>
          <w:color w:val="auto"/>
          <w:szCs w:val="28"/>
          <w:highlight w:val="none"/>
        </w:rPr>
        <w:t xml:space="preserve">  建设工程造价咨询合同在履行过程中发生争议，委托人与咨询人应及时协商解决；如未能达成一致，可提交有关主管部门调解；协商或调解不成的，按下列第</w:t>
      </w:r>
      <w:r>
        <w:rPr>
          <w:rFonts w:ascii="宋体" w:hAnsi="宋体"/>
          <w:color w:val="auto"/>
          <w:szCs w:val="28"/>
          <w:highlight w:val="none"/>
          <w:u w:val="single"/>
        </w:rPr>
        <w:t xml:space="preserve"> (二) </w:t>
      </w:r>
      <w:r>
        <w:rPr>
          <w:rFonts w:ascii="宋体" w:hAnsi="宋体"/>
          <w:color w:val="auto"/>
          <w:szCs w:val="28"/>
          <w:highlight w:val="none"/>
        </w:rPr>
        <w:t>种方式解决；</w:t>
      </w:r>
    </w:p>
    <w:p>
      <w:pPr>
        <w:spacing w:line="560" w:lineRule="exact"/>
        <w:ind w:firstLine="560" w:firstLineChars="200"/>
        <w:rPr>
          <w:rFonts w:ascii="宋体" w:hAnsi="宋体"/>
          <w:color w:val="auto"/>
          <w:szCs w:val="28"/>
          <w:highlight w:val="none"/>
        </w:rPr>
      </w:pPr>
      <w:r>
        <w:rPr>
          <w:rFonts w:ascii="宋体" w:hAnsi="宋体"/>
          <w:color w:val="auto"/>
          <w:szCs w:val="28"/>
          <w:highlight w:val="none"/>
        </w:rPr>
        <w:t>（一）提交</w:t>
      </w:r>
      <w:r>
        <w:rPr>
          <w:rFonts w:ascii="宋体" w:hAnsi="宋体"/>
          <w:color w:val="auto"/>
          <w:szCs w:val="28"/>
          <w:highlight w:val="none"/>
          <w:u w:val="single"/>
        </w:rPr>
        <w:t xml:space="preserve">  /  </w:t>
      </w:r>
      <w:r>
        <w:rPr>
          <w:rFonts w:ascii="宋体" w:hAnsi="宋体"/>
          <w:color w:val="auto"/>
          <w:szCs w:val="28"/>
          <w:highlight w:val="none"/>
        </w:rPr>
        <w:t>仲裁委员会仲裁；</w:t>
      </w:r>
    </w:p>
    <w:p>
      <w:pPr>
        <w:spacing w:line="560" w:lineRule="exact"/>
        <w:ind w:firstLine="560" w:firstLineChars="200"/>
        <w:rPr>
          <w:rFonts w:ascii="宋体" w:hAnsi="宋体"/>
          <w:color w:val="auto"/>
          <w:szCs w:val="28"/>
          <w:highlight w:val="none"/>
        </w:rPr>
      </w:pPr>
      <w:r>
        <w:rPr>
          <w:rFonts w:ascii="宋体" w:hAnsi="宋体"/>
          <w:color w:val="auto"/>
          <w:szCs w:val="28"/>
          <w:highlight w:val="none"/>
        </w:rPr>
        <w:t>（二）依法向人民法院起诉。</w:t>
      </w:r>
    </w:p>
    <w:p>
      <w:pPr>
        <w:spacing w:line="500" w:lineRule="exact"/>
        <w:jc w:val="center"/>
        <w:rPr>
          <w:rFonts w:ascii="宋体" w:hAnsi="宋体"/>
          <w:b/>
          <w:color w:val="auto"/>
          <w:szCs w:val="28"/>
          <w:highlight w:val="none"/>
        </w:rPr>
      </w:pPr>
    </w:p>
    <w:p>
      <w:pPr>
        <w:spacing w:line="500" w:lineRule="exact"/>
        <w:jc w:val="center"/>
        <w:rPr>
          <w:rFonts w:ascii="宋体" w:hAnsi="宋体"/>
          <w:b/>
          <w:color w:val="auto"/>
          <w:szCs w:val="28"/>
          <w:highlight w:val="none"/>
        </w:rPr>
      </w:pPr>
      <w:r>
        <w:rPr>
          <w:rFonts w:hint="eastAsia" w:ascii="宋体" w:hAnsi="宋体"/>
          <w:b/>
          <w:color w:val="auto"/>
          <w:szCs w:val="28"/>
          <w:highlight w:val="none"/>
        </w:rPr>
        <w:t>第三十七条  补充条款</w:t>
      </w:r>
    </w:p>
    <w:p>
      <w:pPr>
        <w:spacing w:line="500" w:lineRule="exact"/>
        <w:ind w:firstLine="3064" w:firstLineChars="1090"/>
        <w:rPr>
          <w:rFonts w:ascii="宋体" w:hAnsi="宋体"/>
          <w:b/>
          <w:color w:val="auto"/>
          <w:szCs w:val="28"/>
          <w:highlight w:val="none"/>
        </w:rPr>
      </w:pPr>
    </w:p>
    <w:p>
      <w:pPr>
        <w:spacing w:line="500" w:lineRule="exact"/>
        <w:ind w:firstLine="562" w:firstLineChars="200"/>
        <w:rPr>
          <w:rFonts w:ascii="宋体" w:hAnsi="宋体"/>
          <w:b/>
          <w:color w:val="auto"/>
          <w:szCs w:val="28"/>
          <w:highlight w:val="none"/>
        </w:rPr>
      </w:pPr>
      <w:r>
        <w:rPr>
          <w:rFonts w:hint="eastAsia" w:ascii="宋体" w:hAnsi="宋体"/>
          <w:b/>
          <w:color w:val="auto"/>
          <w:szCs w:val="28"/>
          <w:highlight w:val="none"/>
        </w:rPr>
        <w:t>一、咨询服务业务范围</w:t>
      </w:r>
    </w:p>
    <w:p>
      <w:pPr>
        <w:spacing w:line="500" w:lineRule="exact"/>
        <w:ind w:firstLine="560" w:firstLineChars="200"/>
        <w:rPr>
          <w:rFonts w:ascii="宋体" w:hAnsi="宋体"/>
          <w:color w:val="auto"/>
          <w:highlight w:val="none"/>
        </w:rPr>
      </w:pPr>
      <w:r>
        <w:rPr>
          <w:rFonts w:hint="eastAsia" w:ascii="宋体" w:hAnsi="宋体"/>
          <w:color w:val="auto"/>
          <w:highlight w:val="none"/>
        </w:rPr>
        <w:t>咨询服务业务范围为工程施工过程中涉及的所有工程造价全过程控制跟踪审核。具体咨询业务范围如下：</w:t>
      </w:r>
    </w:p>
    <w:p>
      <w:pPr>
        <w:spacing w:line="500" w:lineRule="exact"/>
        <w:ind w:firstLine="560" w:firstLineChars="200"/>
        <w:rPr>
          <w:rFonts w:hint="eastAsia" w:ascii="宋体" w:hAnsi="宋体" w:eastAsia="宋体"/>
          <w:color w:val="auto"/>
          <w:szCs w:val="22"/>
          <w:highlight w:val="none"/>
          <w:lang w:eastAsia="zh-CN"/>
        </w:rPr>
      </w:pPr>
      <w:r>
        <w:rPr>
          <w:rFonts w:hint="eastAsia" w:ascii="宋体" w:hAnsi="宋体"/>
          <w:color w:val="auto"/>
          <w:highlight w:val="none"/>
        </w:rPr>
        <w:t>1、</w:t>
      </w:r>
      <w:r>
        <w:rPr>
          <w:rFonts w:hint="eastAsia" w:ascii="宋体" w:hAnsi="宋体" w:eastAsia="宋体"/>
          <w:color w:val="auto"/>
          <w:szCs w:val="22"/>
          <w:highlight w:val="none"/>
        </w:rPr>
        <w:t>预算编制和</w:t>
      </w:r>
      <w:r>
        <w:rPr>
          <w:rFonts w:hint="eastAsia" w:ascii="宋体" w:hAnsi="宋体" w:eastAsia="宋体"/>
          <w:color w:val="auto"/>
          <w:szCs w:val="22"/>
          <w:highlight w:val="none"/>
          <w:lang w:eastAsia="zh-CN"/>
        </w:rPr>
        <w:t>评审复核；</w:t>
      </w:r>
    </w:p>
    <w:p>
      <w:pPr>
        <w:spacing w:line="500" w:lineRule="exact"/>
        <w:ind w:firstLine="560" w:firstLineChars="200"/>
        <w:rPr>
          <w:rFonts w:hint="eastAsia" w:ascii="宋体" w:hAnsi="宋体" w:eastAsia="宋体"/>
          <w:color w:val="auto"/>
          <w:szCs w:val="22"/>
          <w:highlight w:val="none"/>
        </w:rPr>
      </w:pPr>
      <w:r>
        <w:rPr>
          <w:rFonts w:hint="eastAsia" w:ascii="宋体" w:hAnsi="宋体" w:eastAsia="宋体"/>
          <w:color w:val="auto"/>
          <w:szCs w:val="22"/>
          <w:highlight w:val="none"/>
          <w:lang w:val="en-US" w:eastAsia="zh-CN"/>
        </w:rPr>
        <w:t>2、</w:t>
      </w:r>
      <w:r>
        <w:rPr>
          <w:rFonts w:hint="eastAsia" w:ascii="宋体" w:hAnsi="宋体" w:eastAsia="宋体"/>
          <w:color w:val="auto"/>
          <w:szCs w:val="22"/>
          <w:highlight w:val="none"/>
        </w:rPr>
        <w:t>参与隐蔽工程收方及验收；</w:t>
      </w:r>
    </w:p>
    <w:p>
      <w:pPr>
        <w:spacing w:line="500" w:lineRule="exact"/>
        <w:ind w:firstLine="560" w:firstLineChars="200"/>
        <w:rPr>
          <w:rFonts w:ascii="宋体" w:hAnsi="宋体"/>
          <w:color w:val="auto"/>
          <w:highlight w:val="none"/>
        </w:rPr>
      </w:pPr>
      <w:r>
        <w:rPr>
          <w:rFonts w:hint="eastAsia" w:ascii="宋体" w:hAnsi="宋体"/>
          <w:color w:val="auto"/>
          <w:highlight w:val="none"/>
          <w:lang w:val="en-US" w:eastAsia="zh-CN"/>
        </w:rPr>
        <w:t>3</w:t>
      </w:r>
      <w:r>
        <w:rPr>
          <w:rFonts w:hint="eastAsia" w:ascii="宋体" w:hAnsi="宋体"/>
          <w:color w:val="auto"/>
          <w:highlight w:val="none"/>
        </w:rPr>
        <w:t>、进行市场考察，会同有关各方核定材料价格；</w:t>
      </w:r>
    </w:p>
    <w:p>
      <w:pPr>
        <w:spacing w:line="500" w:lineRule="exact"/>
        <w:ind w:firstLine="560" w:firstLineChars="200"/>
        <w:rPr>
          <w:rFonts w:ascii="宋体" w:hAnsi="宋体"/>
          <w:color w:val="auto"/>
          <w:szCs w:val="28"/>
          <w:highlight w:val="none"/>
        </w:rPr>
      </w:pPr>
      <w:r>
        <w:rPr>
          <w:rFonts w:hint="eastAsia" w:ascii="宋体" w:hAnsi="宋体"/>
          <w:color w:val="auto"/>
          <w:highlight w:val="none"/>
          <w:lang w:val="en-US" w:eastAsia="zh-CN"/>
        </w:rPr>
        <w:t>4</w:t>
      </w:r>
      <w:r>
        <w:rPr>
          <w:rFonts w:hint="eastAsia" w:ascii="宋体" w:hAnsi="宋体"/>
          <w:color w:val="auto"/>
          <w:highlight w:val="none"/>
        </w:rPr>
        <w:t>、核定每月完成的工程量和相应的工程进度款，出具审定书并报甲方及区审计局备案；</w:t>
      </w:r>
    </w:p>
    <w:p>
      <w:pPr>
        <w:spacing w:line="500" w:lineRule="exact"/>
        <w:ind w:firstLine="560" w:firstLineChars="200"/>
        <w:rPr>
          <w:rFonts w:ascii="宋体" w:hAnsi="宋体"/>
          <w:color w:val="auto"/>
          <w:szCs w:val="28"/>
          <w:highlight w:val="none"/>
        </w:rPr>
      </w:pPr>
      <w:r>
        <w:rPr>
          <w:rFonts w:hint="eastAsia" w:ascii="宋体" w:hAnsi="宋体"/>
          <w:color w:val="auto"/>
          <w:highlight w:val="none"/>
          <w:lang w:val="en-US" w:eastAsia="zh-CN"/>
        </w:rPr>
        <w:t>5</w:t>
      </w:r>
      <w:r>
        <w:rPr>
          <w:rFonts w:hint="eastAsia" w:ascii="宋体" w:hAnsi="宋体"/>
          <w:color w:val="auto"/>
          <w:highlight w:val="none"/>
        </w:rPr>
        <w:t>、工程变更的造价控制</w:t>
      </w:r>
      <w:r>
        <w:rPr>
          <w:rFonts w:hint="eastAsia" w:ascii="宋体" w:hAnsi="宋体"/>
          <w:color w:val="auto"/>
          <w:szCs w:val="28"/>
          <w:highlight w:val="none"/>
        </w:rPr>
        <w:t>；</w:t>
      </w:r>
    </w:p>
    <w:p>
      <w:pPr>
        <w:spacing w:line="500" w:lineRule="exact"/>
        <w:ind w:firstLine="560" w:firstLineChars="200"/>
        <w:rPr>
          <w:rFonts w:ascii="宋体" w:hAnsi="宋体" w:cs="Arial"/>
          <w:b/>
          <w:color w:val="auto"/>
          <w:kern w:val="0"/>
          <w:szCs w:val="28"/>
          <w:highlight w:val="none"/>
        </w:rPr>
      </w:pPr>
      <w:r>
        <w:rPr>
          <w:rFonts w:hint="eastAsia" w:ascii="宋体" w:hAnsi="宋体"/>
          <w:color w:val="auto"/>
          <w:szCs w:val="28"/>
          <w:highlight w:val="none"/>
          <w:lang w:val="en-US" w:eastAsia="zh-CN"/>
        </w:rPr>
        <w:t>6</w:t>
      </w:r>
      <w:r>
        <w:rPr>
          <w:rFonts w:hint="eastAsia" w:ascii="宋体" w:hAnsi="宋体"/>
          <w:color w:val="auto"/>
          <w:szCs w:val="28"/>
          <w:highlight w:val="none"/>
        </w:rPr>
        <w:t>、</w:t>
      </w:r>
      <w:r>
        <w:rPr>
          <w:rFonts w:hint="eastAsia" w:ascii="宋体" w:hAnsi="宋体"/>
          <w:color w:val="auto"/>
          <w:highlight w:val="none"/>
        </w:rPr>
        <w:t>对工程签证单进行审核；</w:t>
      </w:r>
    </w:p>
    <w:p>
      <w:pPr>
        <w:spacing w:line="500" w:lineRule="exact"/>
        <w:ind w:firstLine="560" w:firstLineChars="200"/>
        <w:rPr>
          <w:rFonts w:ascii="宋体" w:hAnsi="宋体"/>
          <w:color w:val="auto"/>
          <w:highlight w:val="none"/>
        </w:rPr>
      </w:pPr>
      <w:r>
        <w:rPr>
          <w:rFonts w:hint="eastAsia" w:ascii="宋体" w:hAnsi="宋体"/>
          <w:color w:val="auto"/>
          <w:szCs w:val="28"/>
          <w:highlight w:val="none"/>
          <w:lang w:val="en-US" w:eastAsia="zh-CN"/>
        </w:rPr>
        <w:t>7</w:t>
      </w:r>
      <w:r>
        <w:rPr>
          <w:rFonts w:hint="eastAsia" w:ascii="宋体" w:hAnsi="宋体"/>
          <w:color w:val="auto"/>
          <w:szCs w:val="28"/>
          <w:highlight w:val="none"/>
        </w:rPr>
        <w:t>、协助委托单位对</w:t>
      </w:r>
      <w:r>
        <w:rPr>
          <w:rFonts w:hint="eastAsia" w:ascii="宋体" w:hAnsi="宋体"/>
          <w:color w:val="auto"/>
          <w:highlight w:val="none"/>
        </w:rPr>
        <w:t>索赔事项的造价审核；</w:t>
      </w:r>
    </w:p>
    <w:p>
      <w:pPr>
        <w:spacing w:line="500" w:lineRule="exact"/>
        <w:ind w:firstLine="560" w:firstLineChars="200"/>
        <w:rPr>
          <w:rFonts w:ascii="宋体" w:hAnsi="宋体"/>
          <w:color w:val="auto"/>
          <w:highlight w:val="none"/>
        </w:rPr>
      </w:pPr>
      <w:r>
        <w:rPr>
          <w:rFonts w:hint="eastAsia" w:ascii="宋体" w:hAnsi="宋体"/>
          <w:color w:val="auto"/>
          <w:highlight w:val="none"/>
          <w:lang w:val="en-US" w:eastAsia="zh-CN"/>
        </w:rPr>
        <w:t>8</w:t>
      </w:r>
      <w:r>
        <w:rPr>
          <w:rFonts w:hint="eastAsia" w:ascii="宋体" w:hAnsi="宋体"/>
          <w:color w:val="auto"/>
          <w:highlight w:val="none"/>
        </w:rPr>
        <w:t>、例行检查；</w:t>
      </w:r>
    </w:p>
    <w:p>
      <w:pPr>
        <w:spacing w:line="500" w:lineRule="exact"/>
        <w:ind w:firstLine="560" w:firstLineChars="200"/>
        <w:rPr>
          <w:rFonts w:ascii="宋体" w:hAnsi="宋体"/>
          <w:color w:val="auto"/>
          <w:highlight w:val="none"/>
        </w:rPr>
      </w:pPr>
      <w:r>
        <w:rPr>
          <w:rFonts w:hint="eastAsia" w:ascii="宋体" w:hAnsi="宋体"/>
          <w:color w:val="auto"/>
          <w:highlight w:val="none"/>
          <w:lang w:val="en-US" w:eastAsia="zh-CN"/>
        </w:rPr>
        <w:t>9</w:t>
      </w:r>
      <w:r>
        <w:rPr>
          <w:rFonts w:hint="eastAsia" w:ascii="宋体" w:hAnsi="宋体"/>
          <w:color w:val="auto"/>
          <w:highlight w:val="none"/>
        </w:rPr>
        <w:t>、协助决策；</w:t>
      </w:r>
    </w:p>
    <w:p>
      <w:pPr>
        <w:spacing w:line="500" w:lineRule="exact"/>
        <w:ind w:firstLine="560" w:firstLineChars="200"/>
        <w:rPr>
          <w:rFonts w:ascii="宋体" w:hAnsi="宋体"/>
          <w:color w:val="auto"/>
          <w:highlight w:val="none"/>
        </w:rPr>
      </w:pPr>
      <w:r>
        <w:rPr>
          <w:rFonts w:hint="eastAsia" w:ascii="宋体" w:hAnsi="宋体"/>
          <w:color w:val="auto"/>
          <w:highlight w:val="none"/>
          <w:lang w:val="en-US" w:eastAsia="zh-CN"/>
        </w:rPr>
        <w:t>10</w:t>
      </w:r>
      <w:r>
        <w:rPr>
          <w:rFonts w:hint="eastAsia" w:ascii="宋体" w:hAnsi="宋体"/>
          <w:color w:val="auto"/>
          <w:highlight w:val="none"/>
        </w:rPr>
        <w:t>、编写审计日志及审计工作小结；</w:t>
      </w:r>
    </w:p>
    <w:p>
      <w:pPr>
        <w:spacing w:line="500" w:lineRule="exact"/>
        <w:ind w:firstLine="560" w:firstLineChars="200"/>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1</w:t>
      </w:r>
      <w:r>
        <w:rPr>
          <w:rFonts w:hint="eastAsia" w:ascii="宋体" w:hAnsi="宋体"/>
          <w:color w:val="auto"/>
          <w:highlight w:val="none"/>
        </w:rPr>
        <w:t>、整理工程结算审计的证明材料；</w:t>
      </w:r>
    </w:p>
    <w:p>
      <w:pPr>
        <w:spacing w:line="500" w:lineRule="exact"/>
        <w:ind w:firstLine="560" w:firstLineChars="200"/>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2</w:t>
      </w:r>
      <w:r>
        <w:rPr>
          <w:rFonts w:hint="eastAsia" w:ascii="宋体" w:hAnsi="宋体"/>
          <w:color w:val="auto"/>
          <w:highlight w:val="none"/>
        </w:rPr>
        <w:t>、审查工程竣工资料；</w:t>
      </w:r>
    </w:p>
    <w:p>
      <w:pPr>
        <w:spacing w:line="500" w:lineRule="exact"/>
        <w:ind w:firstLine="560" w:firstLineChars="200"/>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3</w:t>
      </w:r>
      <w:r>
        <w:rPr>
          <w:rFonts w:hint="eastAsia" w:ascii="宋体" w:hAnsi="宋体"/>
          <w:color w:val="auto"/>
          <w:highlight w:val="none"/>
        </w:rPr>
        <w:t>、进行工程结算审核，编制工程结算审核报告；</w:t>
      </w:r>
    </w:p>
    <w:p>
      <w:pPr>
        <w:spacing w:line="500" w:lineRule="exact"/>
        <w:ind w:firstLine="560" w:firstLineChars="200"/>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4</w:t>
      </w:r>
      <w:r>
        <w:rPr>
          <w:rFonts w:hint="eastAsia" w:ascii="宋体" w:hAnsi="宋体"/>
          <w:color w:val="auto"/>
          <w:highlight w:val="none"/>
        </w:rPr>
        <w:t>、整理归档的（达到送审条件）。</w:t>
      </w:r>
    </w:p>
    <w:p>
      <w:pPr>
        <w:tabs>
          <w:tab w:val="right" w:pos="8674"/>
        </w:tabs>
        <w:autoSpaceDE w:val="0"/>
        <w:autoSpaceDN w:val="0"/>
        <w:adjustRightInd w:val="0"/>
        <w:spacing w:line="500" w:lineRule="exact"/>
        <w:ind w:firstLine="560" w:firstLineChars="200"/>
        <w:jc w:val="left"/>
        <w:rPr>
          <w:rFonts w:hint="eastAsia" w:ascii="宋体" w:hAnsi="宋体"/>
          <w:color w:val="auto"/>
          <w:szCs w:val="22"/>
          <w:highlight w:val="none"/>
          <w:lang w:val="en-US" w:eastAsia="zh-CN"/>
        </w:rPr>
      </w:pPr>
      <w:r>
        <w:rPr>
          <w:rFonts w:hint="eastAsia" w:ascii="宋体" w:hAnsi="宋体"/>
          <w:color w:val="auto"/>
          <w:szCs w:val="22"/>
          <w:highlight w:val="none"/>
          <w:lang w:val="en-US" w:eastAsia="zh-CN"/>
        </w:rPr>
        <w:t>15、咨询人定时及不定时检查收方测量仪器，检查仪器年检记录，并对仪器进行现场校对、且有文字记录。</w:t>
      </w:r>
    </w:p>
    <w:p>
      <w:pPr>
        <w:tabs>
          <w:tab w:val="right" w:pos="8674"/>
        </w:tabs>
        <w:autoSpaceDE w:val="0"/>
        <w:autoSpaceDN w:val="0"/>
        <w:adjustRightInd w:val="0"/>
        <w:spacing w:line="500" w:lineRule="exact"/>
        <w:ind w:firstLine="560" w:firstLineChars="200"/>
        <w:jc w:val="left"/>
        <w:rPr>
          <w:rFonts w:hint="eastAsia" w:ascii="宋体" w:hAnsi="宋体"/>
          <w:color w:val="auto"/>
          <w:szCs w:val="22"/>
          <w:highlight w:val="none"/>
          <w:lang w:val="en-US" w:eastAsia="zh-CN"/>
        </w:rPr>
      </w:pPr>
      <w:r>
        <w:rPr>
          <w:rFonts w:hint="eastAsia" w:ascii="宋体" w:hAnsi="宋体"/>
          <w:color w:val="auto"/>
          <w:szCs w:val="22"/>
          <w:highlight w:val="none"/>
          <w:lang w:val="en-US" w:eastAsia="zh-CN"/>
        </w:rPr>
        <w:t>16、提交审计报表：1、乙方应每月向甲方提交工程投资完成及验工计价审核报表；2、乙方按甲方委托的单项工程项目的内容和时间要求，向甲方提供工程预、结算报告；3、若工程跨年度实施，乙方应在每年12月31日前给甲方出具年度审核报告；4、工程全部完成后，乙方应给甲方提供工程最终审核报告。</w:t>
      </w:r>
    </w:p>
    <w:p>
      <w:pPr>
        <w:spacing w:line="500" w:lineRule="exact"/>
        <w:ind w:firstLine="560" w:firstLineChars="200"/>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7</w:t>
      </w:r>
      <w:r>
        <w:rPr>
          <w:rFonts w:hint="eastAsia" w:ascii="宋体" w:hAnsi="宋体"/>
          <w:color w:val="auto"/>
          <w:highlight w:val="none"/>
        </w:rPr>
        <w:t>、制订切实可行的《全过程造价控制跟踪审核实施方案》，并在开工前发放给各参建单位。</w:t>
      </w:r>
    </w:p>
    <w:p>
      <w:pPr>
        <w:spacing w:line="500" w:lineRule="exact"/>
        <w:ind w:firstLine="562" w:firstLineChars="200"/>
        <w:rPr>
          <w:rFonts w:ascii="宋体" w:hAnsi="宋体"/>
          <w:b/>
          <w:color w:val="auto"/>
          <w:highlight w:val="none"/>
        </w:rPr>
      </w:pPr>
      <w:r>
        <w:rPr>
          <w:rFonts w:hint="eastAsia" w:ascii="宋体" w:hAnsi="宋体"/>
          <w:b/>
          <w:color w:val="auto"/>
          <w:highlight w:val="none"/>
        </w:rPr>
        <w:t>二、咨询期限</w:t>
      </w:r>
    </w:p>
    <w:p>
      <w:pPr>
        <w:tabs>
          <w:tab w:val="right" w:pos="8674"/>
        </w:tabs>
        <w:autoSpaceDE w:val="0"/>
        <w:autoSpaceDN w:val="0"/>
        <w:adjustRightInd w:val="0"/>
        <w:spacing w:line="500" w:lineRule="exact"/>
        <w:ind w:firstLine="560" w:firstLineChars="200"/>
        <w:jc w:val="left"/>
        <w:rPr>
          <w:rFonts w:hint="eastAsia" w:ascii="宋体" w:hAnsi="宋体"/>
          <w:color w:val="auto"/>
          <w:szCs w:val="22"/>
          <w:highlight w:val="none"/>
          <w:lang w:eastAsia="zh-CN"/>
        </w:rPr>
      </w:pPr>
      <w:r>
        <w:rPr>
          <w:rFonts w:hint="eastAsia" w:ascii="宋体" w:hAnsi="宋体"/>
          <w:color w:val="auto"/>
          <w:szCs w:val="22"/>
          <w:highlight w:val="none"/>
          <w:lang w:val="en-US" w:eastAsia="zh-CN"/>
        </w:rPr>
        <w:t>从项目正式开工建设至项目完工（即整个施工工期）</w:t>
      </w:r>
      <w:r>
        <w:rPr>
          <w:rFonts w:hint="eastAsia" w:ascii="宋体" w:hAnsi="宋体"/>
          <w:color w:val="auto"/>
          <w:szCs w:val="22"/>
          <w:highlight w:val="none"/>
        </w:rPr>
        <w:t>，全过程造价</w:t>
      </w:r>
      <w:r>
        <w:rPr>
          <w:rFonts w:hint="eastAsia" w:ascii="宋体" w:hAnsi="宋体"/>
          <w:color w:val="auto"/>
          <w:szCs w:val="22"/>
          <w:highlight w:val="none"/>
          <w:lang w:val="en-US" w:eastAsia="zh-CN"/>
        </w:rPr>
        <w:t>咨询服务驻场时间暂定</w:t>
      </w:r>
      <w:r>
        <w:rPr>
          <w:rFonts w:hint="eastAsia" w:ascii="宋体" w:hAnsi="宋体"/>
          <w:color w:val="auto"/>
          <w:szCs w:val="22"/>
          <w:highlight w:val="none"/>
        </w:rPr>
        <w:t>为</w:t>
      </w:r>
      <w:r>
        <w:rPr>
          <w:rFonts w:hint="eastAsia" w:ascii="宋体" w:hAnsi="宋体"/>
          <w:color w:val="auto"/>
          <w:szCs w:val="22"/>
          <w:highlight w:val="none"/>
          <w:lang w:val="en-US" w:eastAsia="zh-CN"/>
        </w:rPr>
        <w:t>240日历天</w:t>
      </w:r>
      <w:r>
        <w:rPr>
          <w:rFonts w:hint="eastAsia" w:ascii="宋体" w:hAnsi="宋体"/>
          <w:color w:val="auto"/>
          <w:szCs w:val="22"/>
          <w:highlight w:val="none"/>
          <w:lang w:eastAsia="zh-CN"/>
        </w:rPr>
        <w:t>。</w:t>
      </w:r>
    </w:p>
    <w:p>
      <w:pPr>
        <w:spacing w:line="500" w:lineRule="exact"/>
        <w:ind w:firstLine="562" w:firstLineChars="200"/>
        <w:rPr>
          <w:rFonts w:ascii="宋体" w:hAnsi="宋体"/>
          <w:b/>
          <w:color w:val="auto"/>
          <w:highlight w:val="none"/>
        </w:rPr>
      </w:pPr>
      <w:r>
        <w:rPr>
          <w:rFonts w:hint="eastAsia" w:ascii="宋体" w:hAnsi="宋体"/>
          <w:b/>
          <w:color w:val="auto"/>
          <w:highlight w:val="none"/>
        </w:rPr>
        <w:t>三、甲方联系代表及乙方咨询代表</w:t>
      </w:r>
    </w:p>
    <w:p>
      <w:pPr>
        <w:spacing w:line="500" w:lineRule="exact"/>
        <w:ind w:firstLine="562" w:firstLineChars="200"/>
        <w:rPr>
          <w:rFonts w:ascii="宋体" w:hAnsi="宋体"/>
          <w:b/>
          <w:color w:val="auto"/>
          <w:highlight w:val="none"/>
        </w:rPr>
      </w:pPr>
      <w:r>
        <w:rPr>
          <w:rFonts w:hint="eastAsia" w:ascii="宋体" w:hAnsi="宋体"/>
          <w:b/>
          <w:color w:val="auto"/>
          <w:highlight w:val="none"/>
        </w:rPr>
        <w:t>1、甲方联系代表</w:t>
      </w:r>
    </w:p>
    <w:p>
      <w:pPr>
        <w:tabs>
          <w:tab w:val="right" w:pos="8674"/>
        </w:tabs>
        <w:autoSpaceDE w:val="0"/>
        <w:autoSpaceDN w:val="0"/>
        <w:adjustRightInd w:val="0"/>
        <w:spacing w:line="500" w:lineRule="exact"/>
        <w:ind w:firstLine="560" w:firstLineChars="200"/>
        <w:jc w:val="left"/>
        <w:rPr>
          <w:rFonts w:ascii="宋体" w:hAnsi="宋体"/>
          <w:color w:val="auto"/>
          <w:highlight w:val="none"/>
        </w:rPr>
      </w:pPr>
      <w:r>
        <w:rPr>
          <w:rFonts w:hint="eastAsia" w:ascii="宋体" w:hAnsi="宋体"/>
          <w:color w:val="auto"/>
          <w:highlight w:val="none"/>
        </w:rPr>
        <w:t>甲方派驻施工现场代表，代表甲方协调本工程造价全过程控制跟踪审核咨询管理工作相关事宜。</w:t>
      </w:r>
    </w:p>
    <w:p>
      <w:pPr>
        <w:spacing w:line="500" w:lineRule="exact"/>
        <w:ind w:firstLine="562" w:firstLineChars="200"/>
        <w:rPr>
          <w:rFonts w:ascii="宋体" w:hAnsi="宋体"/>
          <w:b/>
          <w:color w:val="auto"/>
          <w:highlight w:val="none"/>
        </w:rPr>
      </w:pPr>
      <w:r>
        <w:rPr>
          <w:rFonts w:hint="eastAsia" w:ascii="宋体" w:hAnsi="宋体"/>
          <w:b/>
          <w:color w:val="auto"/>
          <w:highlight w:val="none"/>
        </w:rPr>
        <w:t>2、乙方承担本咨询业务的总负责人及专业人员名单</w:t>
      </w:r>
    </w:p>
    <w:p>
      <w:pPr>
        <w:spacing w:line="500" w:lineRule="exact"/>
        <w:ind w:firstLine="560" w:firstLineChars="200"/>
        <w:rPr>
          <w:rFonts w:ascii="宋体" w:hAnsi="宋体"/>
          <w:color w:val="auto"/>
          <w:highlight w:val="none"/>
        </w:rPr>
      </w:pPr>
      <w:r>
        <w:rPr>
          <w:rFonts w:hint="eastAsia" w:ascii="宋体" w:hAnsi="宋体"/>
          <w:color w:val="auto"/>
          <w:highlight w:val="none"/>
        </w:rPr>
        <w:t>乙方派驻现场代表，执行本工程造价全过程控制跟踪审核咨询管理工作。</w:t>
      </w:r>
    </w:p>
    <w:p>
      <w:pPr>
        <w:spacing w:line="500" w:lineRule="exact"/>
        <w:ind w:firstLine="560" w:firstLineChars="200"/>
        <w:rPr>
          <w:rFonts w:hint="eastAsia" w:ascii="宋体" w:hAnsi="宋体"/>
          <w:color w:val="auto"/>
          <w:szCs w:val="22"/>
          <w:highlight w:val="none"/>
        </w:rPr>
      </w:pPr>
      <w:r>
        <w:rPr>
          <w:rFonts w:hint="eastAsia" w:ascii="宋体" w:hAnsi="宋体"/>
          <w:color w:val="auto"/>
          <w:szCs w:val="22"/>
          <w:highlight w:val="none"/>
        </w:rPr>
        <w:t>2.1项目负责人：</w:t>
      </w:r>
      <w:r>
        <w:rPr>
          <w:rFonts w:hint="eastAsia" w:ascii="宋体" w:hAnsi="宋体"/>
          <w:color w:val="auto"/>
          <w:szCs w:val="22"/>
          <w:highlight w:val="none"/>
          <w:u w:val="single"/>
          <w:lang w:val="en-US" w:eastAsia="zh-CN"/>
        </w:rPr>
        <w:t xml:space="preserve">      </w:t>
      </w:r>
      <w:r>
        <w:rPr>
          <w:rFonts w:hint="eastAsia" w:ascii="宋体" w:hAnsi="宋体"/>
          <w:color w:val="auto"/>
          <w:szCs w:val="22"/>
          <w:highlight w:val="none"/>
        </w:rPr>
        <w:t>。</w:t>
      </w:r>
    </w:p>
    <w:p>
      <w:pPr>
        <w:spacing w:line="500" w:lineRule="exact"/>
        <w:ind w:firstLine="560" w:firstLineChars="200"/>
        <w:rPr>
          <w:rFonts w:ascii="宋体" w:hAnsi="宋体"/>
          <w:color w:val="auto"/>
          <w:szCs w:val="22"/>
          <w:highlight w:val="none"/>
        </w:rPr>
      </w:pPr>
      <w:r>
        <w:rPr>
          <w:rFonts w:hint="eastAsia" w:ascii="宋体" w:hAnsi="宋体"/>
          <w:color w:val="auto"/>
          <w:szCs w:val="22"/>
          <w:highlight w:val="none"/>
        </w:rPr>
        <w:t>2.2造价人员：</w:t>
      </w:r>
      <w:r>
        <w:rPr>
          <w:rFonts w:hint="eastAsia" w:ascii="宋体" w:hAnsi="宋体"/>
          <w:color w:val="auto"/>
          <w:szCs w:val="22"/>
          <w:highlight w:val="none"/>
          <w:u w:val="single"/>
        </w:rPr>
        <w:t xml:space="preserve">           。</w:t>
      </w:r>
    </w:p>
    <w:p>
      <w:pPr>
        <w:spacing w:line="500" w:lineRule="exact"/>
        <w:ind w:firstLine="560" w:firstLineChars="200"/>
        <w:rPr>
          <w:rFonts w:ascii="宋体" w:hAnsi="宋体"/>
          <w:color w:val="auto"/>
          <w:szCs w:val="22"/>
          <w:highlight w:val="none"/>
        </w:rPr>
      </w:pPr>
      <w:r>
        <w:rPr>
          <w:rFonts w:hint="eastAsia" w:ascii="宋体" w:hAnsi="宋体"/>
          <w:color w:val="auto"/>
          <w:szCs w:val="22"/>
          <w:highlight w:val="none"/>
        </w:rPr>
        <w:t>特别说明：</w:t>
      </w:r>
    </w:p>
    <w:p>
      <w:pPr>
        <w:spacing w:line="500" w:lineRule="exact"/>
        <w:ind w:firstLine="560" w:firstLineChars="200"/>
        <w:rPr>
          <w:rFonts w:ascii="宋体" w:hAnsi="宋体"/>
          <w:color w:val="auto"/>
          <w:szCs w:val="22"/>
          <w:highlight w:val="none"/>
        </w:rPr>
      </w:pPr>
      <w:r>
        <w:rPr>
          <w:rFonts w:hint="eastAsia" w:ascii="宋体" w:hAnsi="宋体"/>
          <w:color w:val="auto"/>
          <w:szCs w:val="22"/>
          <w:highlight w:val="none"/>
        </w:rPr>
        <w:t>以上主要人员人数要求作为本次资格审查要求。施工过程中，投标人自投标截止之日起至完成合同约定工作内容之日止，不得擅自更换和撤离项目人员。若有特殊原因需更换项目人员，需先经采购人同意，拟更换人员的资格不得低于投标人员，且更换人员比例不得超过50%。</w:t>
      </w:r>
    </w:p>
    <w:p>
      <w:pPr>
        <w:autoSpaceDE w:val="0"/>
        <w:autoSpaceDN w:val="0"/>
        <w:adjustRightInd w:val="0"/>
        <w:spacing w:line="500" w:lineRule="exact"/>
        <w:ind w:left="745" w:leftChars="266"/>
        <w:jc w:val="left"/>
        <w:rPr>
          <w:rFonts w:ascii="宋体" w:hAnsi="宋体"/>
          <w:b/>
          <w:color w:val="auto"/>
          <w:highlight w:val="none"/>
        </w:rPr>
      </w:pPr>
      <w:r>
        <w:rPr>
          <w:rFonts w:hint="eastAsia" w:ascii="宋体" w:hAnsi="宋体"/>
          <w:b/>
          <w:color w:val="auto"/>
          <w:highlight w:val="none"/>
        </w:rPr>
        <w:t xml:space="preserve">四、甲乙双方工作内容 </w:t>
      </w:r>
    </w:p>
    <w:p>
      <w:pPr>
        <w:spacing w:line="500" w:lineRule="exact"/>
        <w:ind w:firstLine="560" w:firstLineChars="200"/>
        <w:rPr>
          <w:rFonts w:ascii="宋体" w:hAnsi="宋体"/>
          <w:color w:val="auto"/>
          <w:highlight w:val="none"/>
        </w:rPr>
      </w:pPr>
      <w:r>
        <w:rPr>
          <w:rFonts w:hint="eastAsia" w:ascii="宋体" w:hAnsi="宋体"/>
          <w:color w:val="auto"/>
          <w:highlight w:val="none"/>
        </w:rPr>
        <w:t>(一) 甲方工作内容</w:t>
      </w:r>
    </w:p>
    <w:p>
      <w:pPr>
        <w:spacing w:line="500" w:lineRule="exact"/>
        <w:ind w:firstLine="560" w:firstLineChars="200"/>
        <w:rPr>
          <w:rFonts w:ascii="宋体" w:hAnsi="宋体"/>
          <w:color w:val="auto"/>
          <w:highlight w:val="none"/>
        </w:rPr>
      </w:pPr>
      <w:r>
        <w:rPr>
          <w:rFonts w:hint="eastAsia" w:ascii="宋体" w:hAnsi="宋体"/>
          <w:color w:val="auto"/>
          <w:highlight w:val="none"/>
        </w:rPr>
        <w:t>1、甲方负责为乙方提供相关办公场所；</w:t>
      </w:r>
    </w:p>
    <w:p>
      <w:pPr>
        <w:spacing w:line="500" w:lineRule="exact"/>
        <w:ind w:firstLine="560" w:firstLineChars="200"/>
        <w:rPr>
          <w:rFonts w:ascii="宋体" w:hAnsi="宋体"/>
          <w:color w:val="auto"/>
          <w:highlight w:val="none"/>
        </w:rPr>
      </w:pPr>
      <w:r>
        <w:rPr>
          <w:rFonts w:hint="eastAsia" w:ascii="宋体" w:hAnsi="宋体"/>
          <w:color w:val="auto"/>
          <w:highlight w:val="none"/>
        </w:rPr>
        <w:t>2、甲方协助乙方对与本建设工程造价咨询业务有关的第三人的协调；</w:t>
      </w:r>
    </w:p>
    <w:p>
      <w:pPr>
        <w:spacing w:line="500" w:lineRule="exact"/>
        <w:ind w:firstLine="560" w:firstLineChars="200"/>
        <w:rPr>
          <w:rFonts w:ascii="宋体" w:hAnsi="宋体"/>
          <w:color w:val="auto"/>
          <w:highlight w:val="none"/>
        </w:rPr>
      </w:pPr>
      <w:r>
        <w:rPr>
          <w:rFonts w:hint="eastAsia" w:ascii="宋体" w:hAnsi="宋体"/>
          <w:color w:val="auto"/>
          <w:highlight w:val="none"/>
        </w:rPr>
        <w:t>3、甲方负责</w:t>
      </w:r>
      <w:r>
        <w:rPr>
          <w:rFonts w:ascii="宋体" w:hAnsi="宋体"/>
          <w:color w:val="auto"/>
          <w:highlight w:val="none"/>
        </w:rPr>
        <w:t>在约定的时间内，向</w:t>
      </w:r>
      <w:r>
        <w:rPr>
          <w:rFonts w:hint="eastAsia" w:ascii="宋体" w:hAnsi="宋体"/>
          <w:color w:val="auto"/>
          <w:highlight w:val="none"/>
        </w:rPr>
        <w:t>乙方</w:t>
      </w:r>
      <w:r>
        <w:rPr>
          <w:rFonts w:ascii="宋体" w:hAnsi="宋体"/>
          <w:color w:val="auto"/>
          <w:highlight w:val="none"/>
        </w:rPr>
        <w:t>提供与本项目咨询业务有关的资料</w:t>
      </w:r>
      <w:r>
        <w:rPr>
          <w:rFonts w:hint="eastAsia" w:ascii="宋体" w:hAnsi="宋体"/>
          <w:color w:val="auto"/>
          <w:highlight w:val="none"/>
        </w:rPr>
        <w:t>， 如：招标文件、施工合同、已完成的现场签证、隐蔽工程的验收、设计变更等相关资料；</w:t>
      </w:r>
    </w:p>
    <w:p>
      <w:pPr>
        <w:spacing w:line="500" w:lineRule="exact"/>
        <w:ind w:firstLine="560" w:firstLineChars="200"/>
        <w:rPr>
          <w:rFonts w:ascii="宋体" w:hAnsi="宋体"/>
          <w:color w:val="auto"/>
          <w:szCs w:val="28"/>
          <w:highlight w:val="none"/>
        </w:rPr>
      </w:pPr>
      <w:r>
        <w:rPr>
          <w:rFonts w:hint="eastAsia" w:ascii="宋体" w:hAnsi="宋体"/>
          <w:color w:val="auto"/>
          <w:highlight w:val="none"/>
        </w:rPr>
        <w:t>4、甲方负责</w:t>
      </w:r>
      <w:r>
        <w:rPr>
          <w:rFonts w:ascii="宋体" w:hAnsi="宋体"/>
          <w:color w:val="auto"/>
          <w:highlight w:val="none"/>
        </w:rPr>
        <w:t>在约定的时间内就</w:t>
      </w:r>
      <w:r>
        <w:rPr>
          <w:rFonts w:hint="eastAsia" w:ascii="宋体" w:hAnsi="宋体"/>
          <w:color w:val="auto"/>
          <w:highlight w:val="none"/>
        </w:rPr>
        <w:t>乙方</w:t>
      </w:r>
      <w:r>
        <w:rPr>
          <w:rFonts w:ascii="宋体" w:hAnsi="宋体"/>
          <w:color w:val="auto"/>
          <w:highlight w:val="none"/>
        </w:rPr>
        <w:t>书面提交并要求做出答复的事宜</w:t>
      </w:r>
      <w:r>
        <w:rPr>
          <w:rFonts w:ascii="宋体" w:hAnsi="宋体"/>
          <w:color w:val="auto"/>
          <w:szCs w:val="28"/>
          <w:highlight w:val="none"/>
        </w:rPr>
        <w:t>做出书面答复。</w:t>
      </w:r>
      <w:r>
        <w:rPr>
          <w:rFonts w:hint="eastAsia" w:ascii="宋体" w:hAnsi="宋体"/>
          <w:color w:val="auto"/>
          <w:szCs w:val="28"/>
          <w:highlight w:val="none"/>
        </w:rPr>
        <w:t>乙方</w:t>
      </w:r>
      <w:r>
        <w:rPr>
          <w:rFonts w:ascii="宋体" w:hAnsi="宋体"/>
          <w:color w:val="auto"/>
          <w:szCs w:val="28"/>
          <w:highlight w:val="none"/>
        </w:rPr>
        <w:t>要求第三人提供有关资料时，</w:t>
      </w:r>
      <w:r>
        <w:rPr>
          <w:rFonts w:hint="eastAsia" w:ascii="宋体" w:hAnsi="宋体"/>
          <w:color w:val="auto"/>
          <w:szCs w:val="28"/>
          <w:highlight w:val="none"/>
        </w:rPr>
        <w:t>甲方</w:t>
      </w:r>
      <w:r>
        <w:rPr>
          <w:rFonts w:ascii="宋体" w:hAnsi="宋体"/>
          <w:color w:val="auto"/>
          <w:szCs w:val="28"/>
          <w:highlight w:val="none"/>
        </w:rPr>
        <w:t>负责转达。</w:t>
      </w:r>
    </w:p>
    <w:p>
      <w:pPr>
        <w:spacing w:line="500" w:lineRule="exact"/>
        <w:ind w:firstLine="560" w:firstLineChars="200"/>
        <w:rPr>
          <w:rFonts w:ascii="宋体" w:hAnsi="宋体"/>
          <w:color w:val="auto"/>
          <w:highlight w:val="none"/>
        </w:rPr>
      </w:pPr>
      <w:r>
        <w:rPr>
          <w:rFonts w:hint="eastAsia" w:ascii="宋体" w:hAnsi="宋体"/>
          <w:color w:val="auto"/>
          <w:highlight w:val="none"/>
        </w:rPr>
        <w:t>(二) 乙方工作内容</w:t>
      </w:r>
    </w:p>
    <w:p>
      <w:pPr>
        <w:spacing w:line="500" w:lineRule="exact"/>
        <w:ind w:firstLine="560" w:firstLineChars="200"/>
        <w:rPr>
          <w:rFonts w:ascii="宋体" w:hAnsi="宋体"/>
          <w:color w:val="auto"/>
          <w:highlight w:val="none"/>
        </w:rPr>
      </w:pPr>
      <w:r>
        <w:rPr>
          <w:rFonts w:hint="eastAsia" w:ascii="宋体" w:hAnsi="宋体"/>
          <w:color w:val="auto"/>
          <w:highlight w:val="none"/>
        </w:rPr>
        <w:t>乙方应严格按照国家法律法规及工程造价相关管理规定展开工程造价的全过程控制，确保工程造价客观、公正地反映工程实际情况。</w:t>
      </w:r>
    </w:p>
    <w:p>
      <w:pPr>
        <w:spacing w:line="500" w:lineRule="exact"/>
        <w:ind w:firstLine="560" w:firstLineChars="200"/>
        <w:rPr>
          <w:rFonts w:ascii="宋体" w:hAnsi="宋体"/>
          <w:color w:val="auto"/>
          <w:highlight w:val="none"/>
        </w:rPr>
      </w:pPr>
      <w:r>
        <w:rPr>
          <w:rFonts w:hint="eastAsia" w:ascii="宋体" w:hAnsi="宋体"/>
          <w:color w:val="auto"/>
          <w:highlight w:val="none"/>
        </w:rPr>
        <w:t>1、前期准备工作</w:t>
      </w:r>
    </w:p>
    <w:p>
      <w:pPr>
        <w:spacing w:line="500" w:lineRule="exact"/>
        <w:ind w:firstLine="560" w:firstLineChars="200"/>
        <w:rPr>
          <w:rFonts w:ascii="宋体" w:hAnsi="宋体"/>
          <w:color w:val="auto"/>
          <w:highlight w:val="none"/>
        </w:rPr>
      </w:pPr>
      <w:r>
        <w:rPr>
          <w:rFonts w:hint="eastAsia" w:ascii="宋体" w:hAnsi="宋体"/>
          <w:color w:val="auto"/>
          <w:highlight w:val="none"/>
        </w:rPr>
        <w:t>1.1乙方向甲方提交本工程</w:t>
      </w:r>
      <w:bookmarkStart w:id="131" w:name="_Hlk11593718"/>
      <w:r>
        <w:rPr>
          <w:rFonts w:hint="eastAsia" w:ascii="宋体" w:hAnsi="宋体"/>
          <w:color w:val="auto"/>
          <w:highlight w:val="none"/>
        </w:rPr>
        <w:t>造价全过程控制跟踪审核</w:t>
      </w:r>
      <w:bookmarkEnd w:id="131"/>
      <w:r>
        <w:rPr>
          <w:rFonts w:hint="eastAsia" w:ascii="宋体" w:hAnsi="宋体"/>
          <w:color w:val="auto"/>
          <w:highlight w:val="none"/>
        </w:rPr>
        <w:t>的详细咨询计划。</w:t>
      </w:r>
    </w:p>
    <w:p>
      <w:pPr>
        <w:spacing w:line="500" w:lineRule="exact"/>
        <w:ind w:firstLine="560" w:firstLineChars="200"/>
        <w:rPr>
          <w:rFonts w:ascii="宋体" w:hAnsi="宋体"/>
          <w:color w:val="auto"/>
          <w:highlight w:val="none"/>
        </w:rPr>
      </w:pPr>
      <w:r>
        <w:rPr>
          <w:rFonts w:hint="eastAsia" w:ascii="宋体" w:hAnsi="宋体"/>
          <w:color w:val="auto"/>
          <w:highlight w:val="none"/>
        </w:rPr>
        <w:t>1.2乙方应向甲方提供工程造价咨询的资质证书，并委派具备相应资质、相关工作经历及相应知识水平和能力的能够胜任本咨询业务的专业人员进驻施工现场。运用合理、科学的专业技能，为甲方提供具有专业水准的、严谨的、规范的的咨询服务，并能客观公正的处理各方利益关系。</w:t>
      </w:r>
    </w:p>
    <w:p>
      <w:pPr>
        <w:spacing w:line="500" w:lineRule="exact"/>
        <w:ind w:firstLine="560" w:firstLineChars="200"/>
        <w:rPr>
          <w:rFonts w:ascii="宋体" w:hAnsi="宋体"/>
          <w:color w:val="auto"/>
          <w:highlight w:val="none"/>
        </w:rPr>
      </w:pPr>
      <w:r>
        <w:rPr>
          <w:rFonts w:hint="eastAsia" w:ascii="宋体" w:hAnsi="宋体"/>
          <w:color w:val="auto"/>
          <w:highlight w:val="none"/>
        </w:rPr>
        <w:t>2、施工阶段具体工作</w:t>
      </w:r>
    </w:p>
    <w:p>
      <w:pPr>
        <w:spacing w:line="500" w:lineRule="exact"/>
        <w:ind w:firstLine="560" w:firstLineChars="200"/>
        <w:rPr>
          <w:rFonts w:ascii="宋体" w:hAnsi="宋体"/>
          <w:color w:val="auto"/>
          <w:highlight w:val="none"/>
        </w:rPr>
      </w:pPr>
      <w:r>
        <w:rPr>
          <w:rFonts w:hint="eastAsia" w:ascii="宋体" w:hAnsi="宋体"/>
          <w:color w:val="auto"/>
          <w:highlight w:val="none"/>
        </w:rPr>
        <w:t>2.1施工方案和技术措施的可行性论证及其经济评价</w:t>
      </w:r>
    </w:p>
    <w:p>
      <w:pPr>
        <w:spacing w:line="500" w:lineRule="exact"/>
        <w:ind w:firstLine="560" w:firstLineChars="200"/>
        <w:rPr>
          <w:rFonts w:ascii="宋体" w:hAnsi="宋体"/>
          <w:color w:val="auto"/>
          <w:highlight w:val="none"/>
        </w:rPr>
      </w:pPr>
      <w:r>
        <w:rPr>
          <w:rFonts w:hint="eastAsia" w:ascii="宋体" w:hAnsi="宋体"/>
          <w:color w:val="auto"/>
          <w:highlight w:val="none"/>
        </w:rPr>
        <w:t>对施工单位的施工方案和技术措施进行可行性论证及其经济评价，尽可能督促施工单位以最经济、最合理的方案完成施工任务。</w:t>
      </w:r>
    </w:p>
    <w:p>
      <w:pPr>
        <w:spacing w:line="500" w:lineRule="exact"/>
        <w:ind w:firstLine="560" w:firstLineChars="200"/>
        <w:rPr>
          <w:rFonts w:ascii="宋体" w:hAnsi="宋体"/>
          <w:color w:val="auto"/>
          <w:highlight w:val="none"/>
        </w:rPr>
      </w:pPr>
      <w:r>
        <w:rPr>
          <w:rFonts w:hint="eastAsia" w:ascii="宋体" w:hAnsi="宋体"/>
          <w:color w:val="auto"/>
          <w:highlight w:val="none"/>
        </w:rPr>
        <w:t>2.2参与设计变更及施工签证的监督</w:t>
      </w:r>
    </w:p>
    <w:p>
      <w:pPr>
        <w:spacing w:line="500" w:lineRule="exact"/>
        <w:ind w:firstLine="560" w:firstLineChars="200"/>
        <w:rPr>
          <w:rFonts w:ascii="宋体" w:hAnsi="宋体"/>
          <w:color w:val="auto"/>
          <w:highlight w:val="none"/>
        </w:rPr>
      </w:pPr>
      <w:r>
        <w:rPr>
          <w:rFonts w:hint="eastAsia" w:ascii="宋体" w:hAnsi="宋体"/>
          <w:color w:val="auto"/>
          <w:highlight w:val="none"/>
        </w:rPr>
        <w:t>2.2.1 乙方对设计变更进行合理性及经济性分析，根据甲方的指示，在变更发出前，对造价进行初步估算，若属重大变更签发，乙方应对其作出造价评估和造价控制意见，供甲方参考和决定是否进行该项变更，乙方应在规定的时限内完成并保证估算的准确性、及时性，避免延误工期及甲方误判。</w:t>
      </w:r>
    </w:p>
    <w:p>
      <w:pPr>
        <w:spacing w:line="500" w:lineRule="exact"/>
        <w:ind w:firstLine="560" w:firstLineChars="200"/>
        <w:rPr>
          <w:rFonts w:ascii="宋体" w:hAnsi="宋体"/>
          <w:color w:val="auto"/>
          <w:highlight w:val="none"/>
        </w:rPr>
      </w:pPr>
      <w:r>
        <w:rPr>
          <w:rFonts w:hint="eastAsia" w:ascii="宋体" w:hAnsi="宋体"/>
          <w:color w:val="auto"/>
          <w:highlight w:val="none"/>
        </w:rPr>
        <w:t xml:space="preserve">2.2.2乙方应根据大渡口区相关投资管理办法对项目设计变更程序进行监督管理，提示甲方应按相应的程序确定后，设计变更方可实施。 </w:t>
      </w:r>
    </w:p>
    <w:p>
      <w:pPr>
        <w:spacing w:line="500" w:lineRule="exact"/>
        <w:ind w:firstLine="560" w:firstLineChars="200"/>
        <w:rPr>
          <w:rFonts w:ascii="宋体" w:hAnsi="宋体"/>
          <w:color w:val="auto"/>
          <w:highlight w:val="none"/>
        </w:rPr>
      </w:pPr>
      <w:r>
        <w:rPr>
          <w:rFonts w:hint="eastAsia" w:ascii="宋体" w:hAnsi="宋体"/>
          <w:color w:val="auto"/>
          <w:highlight w:val="none"/>
        </w:rPr>
        <w:t>2.2.3 乙方对施工签证进行认真审核，确保签证资料及其数据的真实性和准确性。</w:t>
      </w:r>
    </w:p>
    <w:p>
      <w:pPr>
        <w:spacing w:line="500" w:lineRule="exact"/>
        <w:ind w:firstLine="560" w:firstLineChars="200"/>
        <w:rPr>
          <w:rFonts w:ascii="宋体" w:hAnsi="宋体"/>
          <w:color w:val="auto"/>
          <w:highlight w:val="none"/>
        </w:rPr>
      </w:pPr>
      <w:r>
        <w:rPr>
          <w:rFonts w:hint="eastAsia" w:ascii="宋体" w:hAnsi="宋体"/>
          <w:color w:val="auto"/>
          <w:highlight w:val="none"/>
        </w:rPr>
        <w:t>2.3参与隐蔽工程的质量监督及验收</w:t>
      </w:r>
    </w:p>
    <w:p>
      <w:pPr>
        <w:spacing w:line="500" w:lineRule="exact"/>
        <w:ind w:firstLine="560" w:firstLineChars="200"/>
        <w:rPr>
          <w:rFonts w:ascii="宋体" w:hAnsi="宋体"/>
          <w:color w:val="auto"/>
          <w:highlight w:val="none"/>
        </w:rPr>
      </w:pPr>
      <w:r>
        <w:rPr>
          <w:rFonts w:hint="eastAsia" w:ascii="宋体" w:hAnsi="宋体"/>
          <w:color w:val="auto"/>
          <w:highlight w:val="none"/>
        </w:rPr>
        <w:t>参与隐蔽工程的质量监督及验收，若发现问题及时向甲方反映，并提出处理参考意见，确保隐蔽资料的符合性、真实性，督促工程质量达到工程设计及施工合同要求。</w:t>
      </w:r>
    </w:p>
    <w:p>
      <w:pPr>
        <w:spacing w:line="500" w:lineRule="exact"/>
        <w:ind w:firstLine="560" w:firstLineChars="200"/>
        <w:rPr>
          <w:rFonts w:ascii="宋体" w:hAnsi="宋体"/>
          <w:color w:val="auto"/>
          <w:highlight w:val="none"/>
        </w:rPr>
      </w:pPr>
      <w:r>
        <w:rPr>
          <w:rFonts w:hint="eastAsia" w:ascii="宋体" w:hAnsi="宋体"/>
          <w:color w:val="auto"/>
          <w:highlight w:val="none"/>
        </w:rPr>
        <w:t>2.4建筑材料及设备认价审核及其质量监督</w:t>
      </w:r>
    </w:p>
    <w:p>
      <w:pPr>
        <w:spacing w:line="500" w:lineRule="exact"/>
        <w:ind w:firstLine="560" w:firstLineChars="200"/>
        <w:rPr>
          <w:rFonts w:ascii="宋体" w:hAnsi="宋体"/>
          <w:color w:val="auto"/>
          <w:highlight w:val="none"/>
        </w:rPr>
      </w:pPr>
      <w:r>
        <w:rPr>
          <w:rFonts w:hint="eastAsia" w:ascii="宋体" w:hAnsi="宋体"/>
          <w:color w:val="auto"/>
          <w:highlight w:val="none"/>
        </w:rPr>
        <w:t>2.4.1乙方对本工程建筑材料和设备的认价进行市场考察和确认，并提供甲供主要材料用量及主要设备用量。</w:t>
      </w:r>
    </w:p>
    <w:p>
      <w:pPr>
        <w:spacing w:line="500" w:lineRule="exact"/>
        <w:ind w:firstLine="560" w:firstLineChars="200"/>
        <w:rPr>
          <w:rFonts w:ascii="宋体" w:hAnsi="宋体"/>
          <w:color w:val="auto"/>
          <w:highlight w:val="none"/>
        </w:rPr>
      </w:pPr>
      <w:r>
        <w:rPr>
          <w:rFonts w:hint="eastAsia" w:ascii="宋体" w:hAnsi="宋体"/>
          <w:color w:val="auto"/>
          <w:highlight w:val="none"/>
        </w:rPr>
        <w:t>2.4.2乙方对整个工程建筑材料和设备的质量进行监督，杜绝不合格材料及设备用于工程。</w:t>
      </w:r>
    </w:p>
    <w:p>
      <w:pPr>
        <w:spacing w:line="500" w:lineRule="exact"/>
        <w:ind w:firstLine="560" w:firstLineChars="200"/>
        <w:rPr>
          <w:rFonts w:ascii="宋体" w:hAnsi="宋体"/>
          <w:color w:val="auto"/>
          <w:highlight w:val="none"/>
        </w:rPr>
      </w:pPr>
      <w:r>
        <w:rPr>
          <w:rFonts w:hint="eastAsia" w:ascii="宋体" w:hAnsi="宋体"/>
          <w:color w:val="auto"/>
          <w:highlight w:val="none"/>
        </w:rPr>
        <w:t>2.5乙方应对施工过程中完成的工程量及费用进行审核和监控，包括审核设计变更工程量、工程变更、现场签证及洽商的费用、新增单价、验工计价。</w:t>
      </w:r>
    </w:p>
    <w:p>
      <w:pPr>
        <w:spacing w:line="500" w:lineRule="exact"/>
        <w:ind w:firstLine="560" w:firstLineChars="200"/>
        <w:rPr>
          <w:rFonts w:ascii="宋体" w:hAnsi="宋体"/>
          <w:color w:val="auto"/>
          <w:highlight w:val="none"/>
        </w:rPr>
      </w:pPr>
      <w:r>
        <w:rPr>
          <w:rFonts w:hint="eastAsia" w:ascii="宋体" w:hAnsi="宋体"/>
          <w:color w:val="auto"/>
          <w:highlight w:val="none"/>
        </w:rPr>
        <w:t>2.6工程进度款支付的审核</w:t>
      </w:r>
    </w:p>
    <w:p>
      <w:pPr>
        <w:spacing w:line="500" w:lineRule="exact"/>
        <w:ind w:firstLine="560" w:firstLineChars="200"/>
        <w:rPr>
          <w:rFonts w:ascii="宋体" w:hAnsi="宋体"/>
          <w:color w:val="auto"/>
          <w:highlight w:val="none"/>
        </w:rPr>
      </w:pPr>
      <w:r>
        <w:rPr>
          <w:rFonts w:hint="eastAsia" w:ascii="宋体" w:hAnsi="宋体"/>
          <w:color w:val="auto"/>
          <w:highlight w:val="none"/>
        </w:rPr>
        <w:t>乙方按照工程项目施工合同的规定严格审核施工方已完工程量，提供每月完成工程进度完成情况的审核意见，为甲方支付工程进度款提供依据，确保工程进度款支付符合施工合同规定。</w:t>
      </w:r>
    </w:p>
    <w:p>
      <w:pPr>
        <w:spacing w:line="500" w:lineRule="exact"/>
        <w:ind w:firstLine="560" w:firstLineChars="200"/>
        <w:rPr>
          <w:rFonts w:ascii="宋体" w:hAnsi="宋体"/>
          <w:color w:val="auto"/>
          <w:highlight w:val="none"/>
        </w:rPr>
      </w:pPr>
      <w:r>
        <w:rPr>
          <w:rFonts w:hint="eastAsia" w:ascii="宋体" w:hAnsi="宋体"/>
          <w:color w:val="auto"/>
          <w:highlight w:val="none"/>
        </w:rPr>
        <w:t>2.7工程索赔及反索赔的处理</w:t>
      </w:r>
    </w:p>
    <w:p>
      <w:pPr>
        <w:spacing w:line="500" w:lineRule="exact"/>
        <w:ind w:firstLine="560" w:firstLineChars="200"/>
        <w:rPr>
          <w:rFonts w:ascii="宋体" w:hAnsi="宋体"/>
          <w:color w:val="auto"/>
          <w:highlight w:val="none"/>
        </w:rPr>
      </w:pPr>
      <w:r>
        <w:rPr>
          <w:rFonts w:hint="eastAsia" w:ascii="宋体" w:hAnsi="宋体"/>
          <w:color w:val="auto"/>
          <w:highlight w:val="none"/>
        </w:rPr>
        <w:t>乙方应记录现场动态、收集证据，做好“索赔”及“反索赔”工作，审核“工程索赔”报告书，防止或减少“工程索赔”时间的发生，协助甲方处理索赔与反索赔的界定。</w:t>
      </w:r>
    </w:p>
    <w:p>
      <w:pPr>
        <w:spacing w:line="500" w:lineRule="exact"/>
        <w:ind w:firstLine="560" w:firstLineChars="200"/>
        <w:rPr>
          <w:rFonts w:ascii="宋体" w:hAnsi="宋体"/>
          <w:color w:val="auto"/>
          <w:highlight w:val="none"/>
        </w:rPr>
      </w:pPr>
      <w:r>
        <w:rPr>
          <w:rFonts w:hint="eastAsia" w:ascii="宋体" w:hAnsi="宋体"/>
          <w:color w:val="auto"/>
          <w:highlight w:val="none"/>
        </w:rPr>
        <w:t>3、负责施工范围内涉及行业单位综合管网改迁、主管部门或周边企业涉及设施拆除、搬迁、新建费用的审核编制。</w:t>
      </w:r>
    </w:p>
    <w:p>
      <w:pPr>
        <w:spacing w:line="500" w:lineRule="exact"/>
        <w:ind w:firstLine="560" w:firstLineChars="200"/>
        <w:rPr>
          <w:rFonts w:ascii="宋体" w:hAnsi="宋体"/>
          <w:color w:val="auto"/>
          <w:highlight w:val="none"/>
        </w:rPr>
      </w:pPr>
      <w:r>
        <w:rPr>
          <w:rFonts w:hint="eastAsia" w:ascii="宋体" w:hAnsi="宋体"/>
          <w:color w:val="auto"/>
          <w:highlight w:val="none"/>
        </w:rPr>
        <w:t>4、完成竣工结算审核及工程决算审计的配合</w:t>
      </w:r>
    </w:p>
    <w:p>
      <w:pPr>
        <w:spacing w:line="500" w:lineRule="exact"/>
        <w:ind w:firstLine="560" w:firstLineChars="200"/>
        <w:rPr>
          <w:rFonts w:ascii="宋体" w:hAnsi="宋体"/>
          <w:color w:val="auto"/>
          <w:highlight w:val="none"/>
        </w:rPr>
      </w:pPr>
      <w:r>
        <w:rPr>
          <w:rFonts w:hint="eastAsia" w:ascii="宋体" w:hAnsi="宋体"/>
          <w:color w:val="auto"/>
          <w:highlight w:val="none"/>
        </w:rPr>
        <w:t>4.1完成工程竣工结算审核</w:t>
      </w:r>
    </w:p>
    <w:p>
      <w:pPr>
        <w:spacing w:line="500" w:lineRule="exact"/>
        <w:ind w:firstLine="560" w:firstLineChars="200"/>
        <w:rPr>
          <w:rFonts w:ascii="宋体" w:hAnsi="宋体"/>
          <w:color w:val="auto"/>
          <w:highlight w:val="none"/>
        </w:rPr>
      </w:pPr>
      <w:r>
        <w:rPr>
          <w:rFonts w:hint="eastAsia" w:ascii="宋体" w:hAnsi="宋体"/>
          <w:color w:val="auto"/>
          <w:highlight w:val="none"/>
        </w:rPr>
        <w:t>4.1.1乙方应以合理、系统的安排推进并完成结算审核工作，确保结算审核工作能按甲方的计划顺利完成。</w:t>
      </w:r>
    </w:p>
    <w:p>
      <w:pPr>
        <w:spacing w:line="500" w:lineRule="exact"/>
        <w:ind w:firstLine="560" w:firstLineChars="200"/>
        <w:rPr>
          <w:rFonts w:ascii="宋体" w:hAnsi="宋体"/>
          <w:color w:val="auto"/>
          <w:highlight w:val="none"/>
        </w:rPr>
      </w:pPr>
      <w:r>
        <w:rPr>
          <w:rFonts w:hint="eastAsia" w:ascii="宋体" w:hAnsi="宋体"/>
          <w:color w:val="auto"/>
          <w:highlight w:val="none"/>
        </w:rPr>
        <w:t>4.1.2 乙方结算审核人员应严格按照施工合同及相关资料认真审核本工程结算造价，确保结算造价的准确性。</w:t>
      </w:r>
    </w:p>
    <w:p>
      <w:pPr>
        <w:spacing w:line="500" w:lineRule="exact"/>
        <w:ind w:firstLine="560" w:firstLineChars="200"/>
        <w:rPr>
          <w:rFonts w:ascii="宋体" w:hAnsi="宋体"/>
          <w:color w:val="auto"/>
          <w:highlight w:val="none"/>
        </w:rPr>
      </w:pPr>
      <w:r>
        <w:rPr>
          <w:rFonts w:hint="eastAsia" w:ascii="宋体" w:hAnsi="宋体"/>
          <w:color w:val="auto"/>
          <w:highlight w:val="none"/>
        </w:rPr>
        <w:t>4.2配合完成工程竣工结算的复审及工程决算的审计</w:t>
      </w:r>
    </w:p>
    <w:p>
      <w:pPr>
        <w:spacing w:line="500" w:lineRule="exact"/>
        <w:ind w:firstLine="560" w:firstLineChars="200"/>
        <w:rPr>
          <w:rFonts w:ascii="宋体" w:hAnsi="宋体"/>
          <w:color w:val="auto"/>
          <w:highlight w:val="none"/>
        </w:rPr>
      </w:pPr>
      <w:r>
        <w:rPr>
          <w:rFonts w:hint="eastAsia" w:ascii="宋体" w:hAnsi="宋体"/>
          <w:color w:val="auto"/>
          <w:highlight w:val="none"/>
        </w:rPr>
        <w:t>乙方负责配合完成甲方对工程竣工结算的复审，以及上级主管部门对结算造价及工程决算进行审计的相关工作，并承担因审核造价不准确带来的一切经济损失及相应的法律责任。</w:t>
      </w:r>
    </w:p>
    <w:p>
      <w:pPr>
        <w:spacing w:line="500" w:lineRule="exact"/>
        <w:ind w:firstLine="560" w:firstLineChars="200"/>
        <w:rPr>
          <w:rFonts w:ascii="宋体" w:hAnsi="宋体"/>
          <w:color w:val="auto"/>
          <w:highlight w:val="none"/>
        </w:rPr>
      </w:pPr>
      <w:r>
        <w:rPr>
          <w:rFonts w:hint="eastAsia" w:ascii="宋体" w:hAnsi="宋体"/>
          <w:color w:val="auto"/>
          <w:highlight w:val="none"/>
        </w:rPr>
        <w:t>5、乙方应分阶段收集整理咨询资料，并出具完整的咨询成本报告书</w:t>
      </w:r>
    </w:p>
    <w:p>
      <w:pPr>
        <w:spacing w:line="500" w:lineRule="exact"/>
        <w:ind w:firstLine="560" w:firstLineChars="200"/>
        <w:rPr>
          <w:rFonts w:ascii="宋体" w:hAnsi="宋体"/>
          <w:color w:val="auto"/>
          <w:highlight w:val="none"/>
        </w:rPr>
      </w:pPr>
      <w:r>
        <w:rPr>
          <w:rFonts w:hint="eastAsia" w:ascii="宋体" w:hAnsi="宋体"/>
          <w:color w:val="auto"/>
          <w:highlight w:val="none"/>
        </w:rPr>
        <w:t>5.1乙方进场后，应及时了解、跟踪工程施工进展情况及合同执行情况，其派驻施工现场的监控人员应建立工程审核台帐跟踪控制(期中支付、变更等各项费用审核)，为正确核定费用，提供第一手资料。</w:t>
      </w:r>
    </w:p>
    <w:p>
      <w:pPr>
        <w:spacing w:line="500" w:lineRule="exact"/>
        <w:ind w:firstLine="560" w:firstLineChars="200"/>
        <w:rPr>
          <w:rFonts w:ascii="宋体" w:hAnsi="宋体"/>
          <w:color w:val="auto"/>
          <w:highlight w:val="none"/>
        </w:rPr>
      </w:pPr>
      <w:r>
        <w:rPr>
          <w:rFonts w:hint="eastAsia" w:ascii="宋体" w:hAnsi="宋体"/>
          <w:color w:val="auto"/>
          <w:highlight w:val="none"/>
        </w:rPr>
        <w:t>5.2 乙方应在收到甲方移交的变更、洽商资料后，5个工作日内向甲方提供其变更洽商经济影响报告。</w:t>
      </w:r>
    </w:p>
    <w:p>
      <w:pPr>
        <w:spacing w:line="500" w:lineRule="exact"/>
        <w:ind w:firstLine="560" w:firstLineChars="200"/>
        <w:rPr>
          <w:rFonts w:ascii="宋体" w:hAnsi="宋体"/>
          <w:color w:val="auto"/>
          <w:highlight w:val="none"/>
        </w:rPr>
      </w:pPr>
      <w:r>
        <w:rPr>
          <w:rFonts w:hint="eastAsia" w:ascii="宋体" w:hAnsi="宋体"/>
          <w:color w:val="auto"/>
          <w:highlight w:val="none"/>
        </w:rPr>
        <w:t>6、其他</w:t>
      </w:r>
    </w:p>
    <w:p>
      <w:pPr>
        <w:spacing w:line="500" w:lineRule="exact"/>
        <w:ind w:firstLine="560" w:firstLineChars="200"/>
        <w:rPr>
          <w:rFonts w:ascii="宋体" w:hAnsi="宋体"/>
          <w:color w:val="auto"/>
          <w:highlight w:val="none"/>
        </w:rPr>
      </w:pPr>
      <w:r>
        <w:rPr>
          <w:rFonts w:hint="eastAsia" w:ascii="宋体" w:hAnsi="宋体"/>
          <w:color w:val="auto"/>
          <w:highlight w:val="none"/>
        </w:rPr>
        <w:t>与工程造价相关的其他工作的咨询服务，为甲方提供工程造价全过程控制跟踪审核切实可行的依据，以减少甲方经济损失，确保工程造价的有效控制。</w:t>
      </w:r>
    </w:p>
    <w:p>
      <w:pPr>
        <w:spacing w:line="500" w:lineRule="exact"/>
        <w:ind w:firstLine="562" w:firstLineChars="200"/>
        <w:rPr>
          <w:rFonts w:ascii="宋体" w:hAnsi="宋体"/>
          <w:b/>
          <w:color w:val="auto"/>
          <w:highlight w:val="none"/>
        </w:rPr>
      </w:pPr>
      <w:r>
        <w:rPr>
          <w:rFonts w:hint="eastAsia" w:ascii="宋体" w:hAnsi="宋体"/>
          <w:b/>
          <w:color w:val="auto"/>
          <w:highlight w:val="none"/>
        </w:rPr>
        <w:t>五、甲乙双方权利及责任</w:t>
      </w:r>
    </w:p>
    <w:p>
      <w:pPr>
        <w:spacing w:line="500" w:lineRule="exact"/>
        <w:ind w:firstLine="560" w:firstLineChars="200"/>
        <w:rPr>
          <w:rFonts w:ascii="宋体" w:hAnsi="宋体"/>
          <w:color w:val="auto"/>
          <w:highlight w:val="none"/>
        </w:rPr>
      </w:pPr>
      <w:r>
        <w:rPr>
          <w:rFonts w:hint="eastAsia" w:ascii="宋体" w:hAnsi="宋体"/>
          <w:color w:val="auto"/>
          <w:highlight w:val="none"/>
        </w:rPr>
        <w:t>(一) 甲方权利及责任</w:t>
      </w:r>
    </w:p>
    <w:p>
      <w:pPr>
        <w:spacing w:line="500" w:lineRule="exact"/>
        <w:ind w:firstLine="560" w:firstLineChars="200"/>
        <w:rPr>
          <w:rFonts w:ascii="宋体" w:hAnsi="宋体"/>
          <w:color w:val="auto"/>
          <w:highlight w:val="none"/>
        </w:rPr>
      </w:pPr>
      <w:r>
        <w:rPr>
          <w:rFonts w:hint="eastAsia" w:ascii="宋体" w:hAnsi="宋体"/>
          <w:color w:val="auto"/>
          <w:highlight w:val="none"/>
        </w:rPr>
        <w:t>1、甲方有权向乙方询问工作进展情况及相关的内容。</w:t>
      </w:r>
    </w:p>
    <w:p>
      <w:pPr>
        <w:spacing w:line="500" w:lineRule="exact"/>
        <w:ind w:firstLine="560" w:firstLineChars="200"/>
        <w:rPr>
          <w:rFonts w:ascii="宋体" w:hAnsi="宋体"/>
          <w:color w:val="auto"/>
          <w:highlight w:val="none"/>
        </w:rPr>
      </w:pPr>
      <w:r>
        <w:rPr>
          <w:rFonts w:hint="eastAsia" w:ascii="宋体" w:hAnsi="宋体"/>
          <w:color w:val="auto"/>
          <w:highlight w:val="none"/>
        </w:rPr>
        <w:t>2、甲方有权阐述对具体问题的意见和建议。</w:t>
      </w:r>
    </w:p>
    <w:p>
      <w:pPr>
        <w:spacing w:line="500" w:lineRule="exact"/>
        <w:ind w:firstLine="560" w:firstLineChars="200"/>
        <w:rPr>
          <w:rFonts w:ascii="宋体" w:hAnsi="宋体"/>
          <w:color w:val="auto"/>
          <w:highlight w:val="none"/>
        </w:rPr>
      </w:pPr>
      <w:r>
        <w:rPr>
          <w:rFonts w:hint="eastAsia" w:ascii="宋体" w:hAnsi="宋体"/>
          <w:color w:val="auto"/>
          <w:highlight w:val="none"/>
        </w:rPr>
        <w:t>3、若甲方认定乙方咨询专业人员不按咨询合同履行其职责，或与第三人串通给甲方造成经济损失的，甲方有权要求乙方更换不称职的咨询专业人员，直至终止合同并要求乙方承担相应的赔偿责任。</w:t>
      </w:r>
    </w:p>
    <w:p>
      <w:pPr>
        <w:spacing w:line="500" w:lineRule="exact"/>
        <w:ind w:firstLine="560" w:firstLineChars="200"/>
        <w:rPr>
          <w:rFonts w:ascii="宋体" w:hAnsi="宋体"/>
          <w:color w:val="auto"/>
          <w:highlight w:val="none"/>
        </w:rPr>
      </w:pPr>
      <w:r>
        <w:rPr>
          <w:rFonts w:hint="eastAsia" w:ascii="宋体" w:hAnsi="宋体"/>
          <w:color w:val="auto"/>
          <w:highlight w:val="none"/>
        </w:rPr>
        <w:t>4、甲方应当履行建设工程造价咨询合同约定的义务，否则应当承担违约责任，赔偿给乙方造成的损失。</w:t>
      </w:r>
    </w:p>
    <w:p>
      <w:pPr>
        <w:spacing w:line="500" w:lineRule="exact"/>
        <w:ind w:firstLine="560" w:firstLineChars="200"/>
        <w:rPr>
          <w:rFonts w:ascii="宋体" w:hAnsi="宋体"/>
          <w:color w:val="auto"/>
          <w:highlight w:val="none"/>
        </w:rPr>
      </w:pPr>
      <w:r>
        <w:rPr>
          <w:rFonts w:hint="eastAsia" w:ascii="宋体" w:hAnsi="宋体"/>
          <w:color w:val="auto"/>
          <w:highlight w:val="none"/>
        </w:rPr>
        <w:t>5、甲方若向乙方提出赔偿或其他要求不能成立时，则应补偿由于该赔偿或其他要求所导致乙方的各种费用的支出。</w:t>
      </w:r>
    </w:p>
    <w:p>
      <w:pPr>
        <w:spacing w:line="500" w:lineRule="exact"/>
        <w:ind w:firstLine="560" w:firstLineChars="200"/>
        <w:rPr>
          <w:rFonts w:ascii="宋体" w:hAnsi="宋体"/>
          <w:color w:val="auto"/>
          <w:highlight w:val="none"/>
        </w:rPr>
      </w:pPr>
      <w:r>
        <w:rPr>
          <w:rFonts w:hint="eastAsia" w:ascii="宋体" w:hAnsi="宋体"/>
          <w:color w:val="auto"/>
          <w:highlight w:val="none"/>
        </w:rPr>
        <w:t>(二) 乙方权利及责任</w:t>
      </w:r>
    </w:p>
    <w:p>
      <w:pPr>
        <w:spacing w:line="500" w:lineRule="exact"/>
        <w:ind w:firstLine="560" w:firstLineChars="200"/>
        <w:rPr>
          <w:rFonts w:ascii="宋体" w:hAnsi="宋体"/>
          <w:color w:val="auto"/>
          <w:highlight w:val="none"/>
        </w:rPr>
      </w:pPr>
      <w:r>
        <w:rPr>
          <w:rFonts w:hint="eastAsia" w:ascii="宋体" w:hAnsi="宋体"/>
          <w:color w:val="auto"/>
          <w:highlight w:val="none"/>
        </w:rPr>
        <w:t>1、乙方在咨询过程中，对甲方提供的资料不明确的可随时向甲方要求补充或解释。</w:t>
      </w:r>
    </w:p>
    <w:p>
      <w:pPr>
        <w:spacing w:line="500" w:lineRule="exact"/>
        <w:ind w:firstLine="560" w:firstLineChars="200"/>
        <w:rPr>
          <w:rFonts w:ascii="宋体" w:hAnsi="宋体"/>
          <w:color w:val="auto"/>
          <w:highlight w:val="none"/>
        </w:rPr>
      </w:pPr>
      <w:r>
        <w:rPr>
          <w:rFonts w:hint="eastAsia" w:ascii="宋体" w:hAnsi="宋体"/>
          <w:color w:val="auto"/>
          <w:highlight w:val="none"/>
        </w:rPr>
        <w:t>2、乙方在咨询过程中有权向本业务相关的第三方提出与本咨询业务有关的问题进行核对或查问。</w:t>
      </w:r>
    </w:p>
    <w:p>
      <w:pPr>
        <w:spacing w:line="500" w:lineRule="exact"/>
        <w:ind w:firstLine="560" w:firstLineChars="200"/>
        <w:rPr>
          <w:rFonts w:ascii="宋体" w:hAnsi="宋体"/>
          <w:color w:val="auto"/>
          <w:highlight w:val="none"/>
        </w:rPr>
      </w:pPr>
      <w:r>
        <w:rPr>
          <w:rFonts w:hint="eastAsia" w:ascii="宋体" w:hAnsi="宋体"/>
          <w:color w:val="auto"/>
          <w:highlight w:val="none"/>
        </w:rPr>
        <w:t>3、乙方履行合同期间有权到工程现场勘察、测量的权利。</w:t>
      </w:r>
    </w:p>
    <w:p>
      <w:pPr>
        <w:spacing w:line="500" w:lineRule="exact"/>
        <w:ind w:firstLine="560" w:firstLineChars="200"/>
        <w:rPr>
          <w:rFonts w:ascii="宋体" w:hAnsi="宋体"/>
          <w:color w:val="auto"/>
          <w:highlight w:val="none"/>
        </w:rPr>
      </w:pPr>
      <w:r>
        <w:rPr>
          <w:rFonts w:hint="eastAsia" w:ascii="宋体" w:hAnsi="宋体"/>
          <w:color w:val="auto"/>
          <w:highlight w:val="none"/>
        </w:rPr>
        <w:t>4、乙方责任期内，应履行建设工程造价咨询合同中约定的义务，因乙方的单方过失造成的经济损失，应当向甲方进行相应的经济赔偿。</w:t>
      </w:r>
    </w:p>
    <w:p>
      <w:pPr>
        <w:spacing w:line="500" w:lineRule="exact"/>
        <w:ind w:firstLine="560" w:firstLineChars="200"/>
        <w:rPr>
          <w:rFonts w:ascii="宋体" w:hAnsi="宋体"/>
          <w:color w:val="auto"/>
          <w:highlight w:val="none"/>
        </w:rPr>
      </w:pPr>
      <w:r>
        <w:rPr>
          <w:rFonts w:hint="eastAsia" w:ascii="宋体" w:hAnsi="宋体"/>
          <w:color w:val="auto"/>
          <w:highlight w:val="none"/>
        </w:rPr>
        <w:t>5、乙方对委托人或第三人所提出的问题不能及时核对或答复，导致不能全部或部分履行，乙方应承担责任。</w:t>
      </w:r>
    </w:p>
    <w:p>
      <w:pPr>
        <w:spacing w:line="500" w:lineRule="exact"/>
        <w:ind w:firstLine="560" w:firstLineChars="200"/>
        <w:rPr>
          <w:rFonts w:ascii="宋体" w:hAnsi="宋体"/>
          <w:color w:val="auto"/>
          <w:highlight w:val="none"/>
        </w:rPr>
      </w:pPr>
      <w:r>
        <w:rPr>
          <w:rFonts w:hint="eastAsia" w:ascii="宋体" w:hAnsi="宋体"/>
          <w:color w:val="auto"/>
          <w:highlight w:val="none"/>
        </w:rPr>
        <w:t>6、乙方向甲方提出赔偿要求不能成立时，则应补偿由于该赔偿或其他要求所导致甲方的各种费用的支出。</w:t>
      </w:r>
    </w:p>
    <w:p>
      <w:pPr>
        <w:spacing w:line="500" w:lineRule="exact"/>
        <w:ind w:firstLine="560" w:firstLineChars="200"/>
        <w:rPr>
          <w:rFonts w:ascii="宋体" w:hAnsi="宋体"/>
          <w:color w:val="auto"/>
          <w:highlight w:val="none"/>
        </w:rPr>
      </w:pPr>
      <w:r>
        <w:rPr>
          <w:rFonts w:hint="eastAsia" w:ascii="宋体" w:hAnsi="宋体"/>
          <w:color w:val="auto"/>
          <w:highlight w:val="none"/>
        </w:rPr>
        <w:t>7、乙方派驻现场人员必须保证工作需要。项目组成员须为合同约定的人员，不得在工作开展前后擅自进行更换。驻现场人员保证2人及以上，离开现场3天以上，报甲方备案。</w:t>
      </w:r>
    </w:p>
    <w:p>
      <w:pPr>
        <w:spacing w:line="500" w:lineRule="exact"/>
        <w:ind w:firstLine="560" w:firstLineChars="200"/>
        <w:rPr>
          <w:rFonts w:ascii="宋体" w:hAnsi="宋体"/>
          <w:color w:val="auto"/>
          <w:highlight w:val="none"/>
        </w:rPr>
      </w:pPr>
      <w:r>
        <w:rPr>
          <w:rFonts w:hint="eastAsia" w:ascii="宋体" w:hAnsi="宋体"/>
          <w:color w:val="auto"/>
          <w:highlight w:val="none"/>
        </w:rPr>
        <w:t>8、乙方严格执行“审计纪律八项规定”。如违反职业操守，经查证属实的，甲方将追究其责任。</w:t>
      </w:r>
    </w:p>
    <w:p>
      <w:pPr>
        <w:spacing w:line="500" w:lineRule="exact"/>
        <w:ind w:firstLine="560" w:firstLineChars="200"/>
        <w:rPr>
          <w:rFonts w:ascii="宋体" w:hAnsi="宋体"/>
          <w:color w:val="auto"/>
          <w:highlight w:val="none"/>
        </w:rPr>
      </w:pPr>
      <w:r>
        <w:rPr>
          <w:rFonts w:hint="eastAsia" w:ascii="宋体" w:hAnsi="宋体"/>
          <w:color w:val="auto"/>
          <w:highlight w:val="none"/>
        </w:rPr>
        <w:t>9、乙方严格回避制度。按国家有关规定有回避情形的，应主动告知甲方，予以回避。</w:t>
      </w:r>
    </w:p>
    <w:p>
      <w:pPr>
        <w:spacing w:line="500" w:lineRule="exact"/>
        <w:ind w:firstLine="560" w:firstLineChars="200"/>
        <w:rPr>
          <w:rFonts w:ascii="宋体" w:hAnsi="宋体"/>
          <w:color w:val="auto"/>
          <w:highlight w:val="none"/>
        </w:rPr>
      </w:pPr>
      <w:r>
        <w:rPr>
          <w:rFonts w:hint="eastAsia" w:ascii="宋体" w:hAnsi="宋体"/>
          <w:color w:val="auto"/>
          <w:highlight w:val="none"/>
        </w:rPr>
        <w:t>10、乙方严格遵守保密纪律。未经甲方同意，不得擅自使用审计资料和结果，不得擅自截留、存留审计资料等相关文书。</w:t>
      </w:r>
    </w:p>
    <w:p>
      <w:pPr>
        <w:spacing w:line="500" w:lineRule="exact"/>
        <w:ind w:firstLine="560" w:firstLineChars="200"/>
        <w:rPr>
          <w:rFonts w:ascii="宋体" w:hAnsi="宋体"/>
          <w:color w:val="auto"/>
          <w:highlight w:val="none"/>
        </w:rPr>
      </w:pPr>
      <w:r>
        <w:rPr>
          <w:rFonts w:hint="eastAsia" w:ascii="宋体" w:hAnsi="宋体"/>
          <w:color w:val="auto"/>
          <w:highlight w:val="none"/>
        </w:rPr>
        <w:t>11、乙方向甲方开具合法、有效、真实的咨询服务费发票。</w:t>
      </w:r>
    </w:p>
    <w:p>
      <w:pPr>
        <w:spacing w:line="500" w:lineRule="exact"/>
        <w:ind w:firstLine="560" w:firstLineChars="200"/>
        <w:rPr>
          <w:rFonts w:ascii="宋体" w:hAnsi="宋体"/>
          <w:color w:val="auto"/>
          <w:highlight w:val="none"/>
        </w:rPr>
      </w:pPr>
      <w:r>
        <w:rPr>
          <w:rFonts w:hint="eastAsia" w:ascii="宋体" w:hAnsi="宋体"/>
          <w:color w:val="auto"/>
          <w:highlight w:val="none"/>
        </w:rPr>
        <w:t>12、乙方对审核结果独立承担民事和法律责任。</w:t>
      </w:r>
    </w:p>
    <w:p>
      <w:pPr>
        <w:spacing w:line="500" w:lineRule="exact"/>
        <w:ind w:firstLine="562" w:firstLineChars="200"/>
        <w:rPr>
          <w:rFonts w:ascii="宋体" w:hAnsi="宋体"/>
          <w:b/>
          <w:color w:val="auto"/>
          <w:highlight w:val="none"/>
        </w:rPr>
      </w:pPr>
      <w:r>
        <w:rPr>
          <w:rFonts w:hint="eastAsia" w:ascii="宋体" w:hAnsi="宋体"/>
          <w:b/>
          <w:color w:val="auto"/>
          <w:highlight w:val="none"/>
        </w:rPr>
        <w:t>六、全过程造价控制时间、咨询费用及其支付方式</w:t>
      </w:r>
    </w:p>
    <w:p>
      <w:pPr>
        <w:spacing w:line="500" w:lineRule="exact"/>
        <w:ind w:firstLine="560" w:firstLineChars="200"/>
        <w:rPr>
          <w:rFonts w:hint="eastAsia" w:ascii="宋体" w:hAnsi="宋体"/>
          <w:color w:val="auto"/>
          <w:szCs w:val="28"/>
          <w:highlight w:val="none"/>
        </w:rPr>
      </w:pPr>
      <w:r>
        <w:rPr>
          <w:rFonts w:hint="eastAsia" w:ascii="宋体" w:hAnsi="宋体"/>
          <w:color w:val="auto"/>
          <w:szCs w:val="28"/>
          <w:highlight w:val="none"/>
        </w:rPr>
        <w:t>（一）全过程造价控制时间为</w:t>
      </w:r>
      <w:r>
        <w:rPr>
          <w:rFonts w:hint="eastAsia" w:ascii="宋体" w:hAnsi="宋体"/>
          <w:color w:val="auto"/>
          <w:szCs w:val="28"/>
          <w:highlight w:val="none"/>
          <w:lang w:val="en-US" w:eastAsia="zh-CN"/>
        </w:rPr>
        <w:t>8个月</w:t>
      </w:r>
      <w:r>
        <w:rPr>
          <w:rFonts w:hint="eastAsia" w:ascii="宋体" w:hAnsi="宋体"/>
          <w:color w:val="auto"/>
          <w:szCs w:val="28"/>
          <w:highlight w:val="none"/>
        </w:rPr>
        <w:t>，超过时间按在</w:t>
      </w:r>
      <w:r>
        <w:rPr>
          <w:rFonts w:hint="eastAsia" w:ascii="宋体" w:hAnsi="宋体"/>
          <w:color w:val="auto"/>
          <w:szCs w:val="28"/>
          <w:highlight w:val="none"/>
          <w:lang w:val="en-US" w:eastAsia="zh-CN"/>
        </w:rPr>
        <w:t>8个月</w:t>
      </w:r>
      <w:r>
        <w:rPr>
          <w:rFonts w:hint="eastAsia" w:ascii="宋体" w:hAnsi="宋体"/>
          <w:color w:val="auto"/>
          <w:szCs w:val="28"/>
          <w:highlight w:val="none"/>
        </w:rPr>
        <w:t>以后，按合同结算费用总额（不含延期）÷</w:t>
      </w:r>
      <w:r>
        <w:rPr>
          <w:rFonts w:hint="eastAsia" w:ascii="宋体" w:hAnsi="宋体"/>
          <w:color w:val="auto"/>
          <w:szCs w:val="28"/>
          <w:highlight w:val="none"/>
          <w:lang w:val="en-US" w:eastAsia="zh-CN"/>
        </w:rPr>
        <w:t>8个月</w:t>
      </w:r>
      <w:r>
        <w:rPr>
          <w:rFonts w:hint="eastAsia" w:ascii="宋体" w:hAnsi="宋体"/>
          <w:color w:val="auto"/>
          <w:szCs w:val="28"/>
          <w:highlight w:val="none"/>
        </w:rPr>
        <w:t>×实际延期月份（不足15天的按半月计算，超过15天按1个月计算）计算出的咨询费为增加的全过程造价控制费用，工程完工时间以该工程竣（完）工验收时间为准。全过程造价控制时间延误费用在合同费用结算时一并支付。</w:t>
      </w:r>
    </w:p>
    <w:p>
      <w:pPr>
        <w:spacing w:line="500" w:lineRule="exact"/>
        <w:ind w:firstLine="560" w:firstLineChars="200"/>
        <w:rPr>
          <w:rFonts w:hint="eastAsia" w:ascii="宋体" w:hAnsi="宋体"/>
          <w:color w:val="auto"/>
          <w:szCs w:val="28"/>
          <w:highlight w:val="none"/>
        </w:rPr>
      </w:pPr>
      <w:r>
        <w:rPr>
          <w:rFonts w:hint="eastAsia" w:ascii="宋体" w:hAnsi="宋体"/>
          <w:color w:val="auto"/>
          <w:szCs w:val="28"/>
          <w:highlight w:val="none"/>
        </w:rPr>
        <w:t>（二）全过程造价控制费计算标准</w:t>
      </w:r>
    </w:p>
    <w:p>
      <w:pPr>
        <w:spacing w:line="500" w:lineRule="exact"/>
        <w:ind w:firstLine="560" w:firstLineChars="200"/>
        <w:rPr>
          <w:rFonts w:hint="eastAsia" w:ascii="宋体" w:hAnsi="宋体"/>
          <w:color w:val="auto"/>
          <w:szCs w:val="28"/>
          <w:highlight w:val="none"/>
        </w:rPr>
      </w:pPr>
      <w:r>
        <w:rPr>
          <w:rFonts w:hint="eastAsia" w:ascii="宋体" w:hAnsi="宋体"/>
          <w:color w:val="auto"/>
          <w:szCs w:val="28"/>
          <w:highlight w:val="none"/>
        </w:rPr>
        <w:t>1.合同暂定服务费以建安总投资</w:t>
      </w:r>
      <w:r>
        <w:rPr>
          <w:rFonts w:hint="eastAsia" w:ascii="宋体" w:hAnsi="宋体"/>
          <w:color w:val="auto"/>
          <w:szCs w:val="28"/>
          <w:highlight w:val="none"/>
          <w:lang w:val="en-US" w:eastAsia="zh-CN"/>
        </w:rPr>
        <w:t>5000万元</w:t>
      </w:r>
      <w:r>
        <w:rPr>
          <w:rFonts w:hint="eastAsia" w:ascii="宋体" w:hAnsi="宋体"/>
          <w:color w:val="auto"/>
          <w:szCs w:val="28"/>
          <w:highlight w:val="none"/>
        </w:rPr>
        <w:t>按重庆市物价局渝价[2013]428号文件规定计算的标准费额×</w:t>
      </w:r>
      <w:r>
        <w:rPr>
          <w:rFonts w:hint="eastAsia" w:ascii="宋体" w:hAnsi="宋体"/>
          <w:color w:val="auto"/>
          <w:szCs w:val="28"/>
          <w:highlight w:val="none"/>
          <w:lang w:eastAsia="zh-CN"/>
        </w:rPr>
        <w:t>中标折扣率</w:t>
      </w:r>
      <w:r>
        <w:rPr>
          <w:rFonts w:hint="eastAsia" w:ascii="宋体" w:hAnsi="宋体"/>
          <w:color w:val="auto"/>
          <w:szCs w:val="28"/>
          <w:highlight w:val="none"/>
        </w:rPr>
        <w:t>进行计算（</w:t>
      </w:r>
      <w:r>
        <w:rPr>
          <w:rFonts w:hint="eastAsia" w:ascii="宋体" w:hAnsi="宋体"/>
          <w:color w:val="auto"/>
          <w:szCs w:val="28"/>
          <w:highlight w:val="none"/>
          <w:lang w:eastAsia="zh-CN"/>
        </w:rPr>
        <w:t>暂</w:t>
      </w:r>
      <w:r>
        <w:rPr>
          <w:rFonts w:hint="eastAsia" w:ascii="宋体" w:hAnsi="宋体"/>
          <w:color w:val="auto"/>
          <w:szCs w:val="28"/>
          <w:highlight w:val="none"/>
        </w:rPr>
        <w:t>按</w:t>
      </w:r>
      <w:r>
        <w:rPr>
          <w:rFonts w:hint="eastAsia" w:ascii="宋体" w:hAnsi="宋体"/>
          <w:color w:val="auto"/>
          <w:szCs w:val="28"/>
          <w:highlight w:val="none"/>
          <w:lang w:val="en-US" w:eastAsia="zh-CN"/>
        </w:rPr>
        <w:t>8个月</w:t>
      </w:r>
      <w:r>
        <w:rPr>
          <w:rFonts w:hint="eastAsia" w:ascii="宋体" w:hAnsi="宋体"/>
          <w:color w:val="auto"/>
          <w:szCs w:val="28"/>
          <w:highlight w:val="none"/>
        </w:rPr>
        <w:t>计算；结算时间不包括在内，不因结算时间的长短而增加费用），</w:t>
      </w:r>
      <w:r>
        <w:rPr>
          <w:rFonts w:hint="eastAsia" w:ascii="宋体" w:hAnsi="宋体"/>
          <w:color w:val="auto"/>
          <w:szCs w:val="28"/>
          <w:highlight w:val="none"/>
          <w:lang w:val="en-US" w:eastAsia="zh-CN"/>
        </w:rPr>
        <w:t>暂定为****万元（大写：*****）</w:t>
      </w:r>
      <w:r>
        <w:rPr>
          <w:rFonts w:hint="eastAsia" w:ascii="宋体" w:hAnsi="宋体"/>
          <w:color w:val="auto"/>
          <w:szCs w:val="28"/>
          <w:highlight w:val="none"/>
        </w:rPr>
        <w:t>，最终收取的咨询费用：</w:t>
      </w:r>
      <w:r>
        <w:rPr>
          <w:rFonts w:hint="eastAsia" w:ascii="宋体" w:hAnsi="宋体"/>
          <w:color w:val="auto"/>
          <w:szCs w:val="28"/>
          <w:highlight w:val="none"/>
          <w:lang w:eastAsia="zh-CN"/>
        </w:rPr>
        <w:t>以</w:t>
      </w:r>
      <w:r>
        <w:rPr>
          <w:rFonts w:hint="eastAsia" w:ascii="宋体" w:hAnsi="宋体"/>
          <w:color w:val="auto"/>
          <w:szCs w:val="28"/>
          <w:highlight w:val="none"/>
          <w:lang w:val="en-US" w:eastAsia="zh-CN"/>
        </w:rPr>
        <w:t>预算评审审定金额作为计费基数结算</w:t>
      </w:r>
      <w:r>
        <w:rPr>
          <w:rFonts w:hint="eastAsia" w:ascii="宋体" w:hAnsi="宋体"/>
          <w:color w:val="auto"/>
          <w:szCs w:val="28"/>
          <w:highlight w:val="none"/>
        </w:rPr>
        <w:t>，按重庆市物价局渝价[2013]428号文件规定计算的标准费额×中标</w:t>
      </w:r>
      <w:r>
        <w:rPr>
          <w:rFonts w:hint="eastAsia" w:ascii="宋体" w:hAnsi="宋体"/>
          <w:color w:val="auto"/>
          <w:szCs w:val="28"/>
          <w:highlight w:val="none"/>
          <w:lang w:eastAsia="zh-CN"/>
        </w:rPr>
        <w:t>折扣率</w:t>
      </w:r>
      <w:r>
        <w:rPr>
          <w:rFonts w:hint="eastAsia" w:ascii="宋体" w:hAnsi="宋体"/>
          <w:color w:val="auto"/>
          <w:szCs w:val="28"/>
          <w:highlight w:val="none"/>
        </w:rPr>
        <w:t>-违约金。</w:t>
      </w:r>
    </w:p>
    <w:p>
      <w:pPr>
        <w:spacing w:line="500" w:lineRule="exact"/>
        <w:ind w:firstLine="560" w:firstLineChars="200"/>
        <w:rPr>
          <w:rFonts w:hint="eastAsia" w:ascii="宋体" w:hAnsi="宋体"/>
          <w:color w:val="auto"/>
          <w:szCs w:val="28"/>
          <w:highlight w:val="none"/>
        </w:rPr>
      </w:pPr>
      <w:r>
        <w:rPr>
          <w:rFonts w:hint="eastAsia" w:ascii="宋体" w:hAnsi="宋体"/>
          <w:color w:val="auto"/>
          <w:szCs w:val="28"/>
          <w:highlight w:val="none"/>
        </w:rPr>
        <w:t>（三）全过程造价控制费支付方式及全过程造价控制时间延误费用计算办法</w:t>
      </w:r>
    </w:p>
    <w:p>
      <w:pPr>
        <w:spacing w:line="500" w:lineRule="exact"/>
        <w:ind w:firstLine="560" w:firstLineChars="200"/>
        <w:rPr>
          <w:rFonts w:hint="eastAsia" w:ascii="宋体" w:hAnsi="宋体"/>
          <w:color w:val="auto"/>
          <w:szCs w:val="28"/>
          <w:highlight w:val="none"/>
        </w:rPr>
      </w:pPr>
      <w:r>
        <w:rPr>
          <w:rFonts w:hint="eastAsia" w:ascii="宋体" w:hAnsi="宋体"/>
          <w:color w:val="auto"/>
          <w:szCs w:val="28"/>
          <w:highlight w:val="none"/>
        </w:rPr>
        <w:t>1、项目完成预算审核后15日内，支付咨询费结算总价的20%；</w:t>
      </w:r>
    </w:p>
    <w:p>
      <w:pPr>
        <w:spacing w:line="500" w:lineRule="exact"/>
        <w:ind w:firstLine="560" w:firstLineChars="200"/>
        <w:rPr>
          <w:rFonts w:hint="eastAsia" w:ascii="宋体" w:hAnsi="宋体"/>
          <w:color w:val="auto"/>
          <w:szCs w:val="28"/>
          <w:highlight w:val="none"/>
        </w:rPr>
      </w:pPr>
      <w:r>
        <w:rPr>
          <w:rFonts w:hint="eastAsia" w:ascii="宋体" w:hAnsi="宋体"/>
          <w:color w:val="auto"/>
          <w:szCs w:val="28"/>
          <w:highlight w:val="none"/>
        </w:rPr>
        <w:t>2、项目完成路基工程后15日内，支付咨询费结算总价的30%；</w:t>
      </w:r>
    </w:p>
    <w:p>
      <w:pPr>
        <w:spacing w:line="500" w:lineRule="exact"/>
        <w:ind w:firstLine="560" w:firstLineChars="200"/>
        <w:rPr>
          <w:rFonts w:hint="eastAsia" w:ascii="宋体" w:hAnsi="宋体"/>
          <w:color w:val="auto"/>
          <w:szCs w:val="28"/>
          <w:highlight w:val="none"/>
        </w:rPr>
      </w:pPr>
      <w:r>
        <w:rPr>
          <w:rFonts w:hint="eastAsia" w:ascii="宋体" w:hAnsi="宋体"/>
          <w:color w:val="auto"/>
          <w:szCs w:val="28"/>
          <w:highlight w:val="none"/>
        </w:rPr>
        <w:t>3、项目完工后15日内，支付咨询费结算总价的30%；</w:t>
      </w:r>
    </w:p>
    <w:p>
      <w:pPr>
        <w:spacing w:line="500" w:lineRule="exact"/>
        <w:ind w:firstLine="560" w:firstLineChars="200"/>
        <w:rPr>
          <w:rFonts w:hint="eastAsia" w:ascii="宋体" w:hAnsi="宋体"/>
          <w:color w:val="auto"/>
          <w:szCs w:val="28"/>
          <w:highlight w:val="none"/>
        </w:rPr>
      </w:pPr>
      <w:r>
        <w:rPr>
          <w:rFonts w:hint="eastAsia" w:ascii="宋体" w:hAnsi="宋体"/>
          <w:color w:val="auto"/>
          <w:szCs w:val="28"/>
          <w:highlight w:val="none"/>
        </w:rPr>
        <w:t>4、项目出具初步结算审核报告，并通过审计机关结算评审，并取得最终结算评审报告后15日内，支付至结算咨询费的100%（扣除违约金）。</w:t>
      </w:r>
    </w:p>
    <w:p>
      <w:pPr>
        <w:spacing w:line="500" w:lineRule="exact"/>
        <w:ind w:firstLine="560" w:firstLineChars="200"/>
        <w:rPr>
          <w:rFonts w:hint="eastAsia" w:ascii="宋体" w:hAnsi="宋体"/>
          <w:color w:val="auto"/>
          <w:szCs w:val="28"/>
          <w:highlight w:val="none"/>
        </w:rPr>
      </w:pPr>
      <w:r>
        <w:rPr>
          <w:rFonts w:hint="eastAsia" w:ascii="宋体" w:hAnsi="宋体"/>
          <w:color w:val="auto"/>
          <w:szCs w:val="28"/>
          <w:highlight w:val="none"/>
        </w:rPr>
        <w:t>4、全过程造价控制尾款支付时，由乙方填写项目《全过程造价控制费用计算表》报甲方审查。</w:t>
      </w:r>
    </w:p>
    <w:p>
      <w:pPr>
        <w:spacing w:line="500" w:lineRule="exact"/>
        <w:ind w:firstLine="560" w:firstLineChars="200"/>
        <w:rPr>
          <w:rFonts w:hint="eastAsia" w:ascii="宋体" w:hAnsi="宋体"/>
          <w:color w:val="auto"/>
          <w:szCs w:val="28"/>
          <w:highlight w:val="none"/>
        </w:rPr>
      </w:pPr>
      <w:r>
        <w:rPr>
          <w:rFonts w:hint="eastAsia" w:ascii="宋体" w:hAnsi="宋体"/>
          <w:color w:val="auto"/>
          <w:szCs w:val="28"/>
          <w:highlight w:val="none"/>
        </w:rPr>
        <w:t>5、延期费用计算方式：项目施工工期（不含办理结算时间）在</w:t>
      </w:r>
      <w:r>
        <w:rPr>
          <w:rFonts w:hint="eastAsia" w:ascii="宋体" w:hAnsi="宋体"/>
          <w:color w:val="auto"/>
          <w:szCs w:val="28"/>
          <w:highlight w:val="none"/>
          <w:lang w:val="en-US" w:eastAsia="zh-CN"/>
        </w:rPr>
        <w:t>8</w:t>
      </w:r>
      <w:r>
        <w:rPr>
          <w:rFonts w:hint="eastAsia" w:ascii="宋体" w:hAnsi="宋体"/>
          <w:color w:val="auto"/>
          <w:szCs w:val="28"/>
          <w:highlight w:val="none"/>
        </w:rPr>
        <w:t>个月以内的，无延期费用；项目施工工期（不含办理结算时间）超过</w:t>
      </w:r>
      <w:r>
        <w:rPr>
          <w:rFonts w:hint="eastAsia" w:ascii="宋体" w:hAnsi="宋体"/>
          <w:color w:val="auto"/>
          <w:szCs w:val="28"/>
          <w:highlight w:val="none"/>
          <w:lang w:val="en-US" w:eastAsia="zh-CN"/>
        </w:rPr>
        <w:t>8</w:t>
      </w:r>
      <w:r>
        <w:rPr>
          <w:rFonts w:hint="eastAsia" w:ascii="宋体" w:hAnsi="宋体"/>
          <w:color w:val="auto"/>
          <w:szCs w:val="28"/>
          <w:highlight w:val="none"/>
        </w:rPr>
        <w:t>个月的，按合同结算费用总额（不含延期）÷</w:t>
      </w:r>
      <w:r>
        <w:rPr>
          <w:rFonts w:hint="eastAsia" w:ascii="宋体" w:hAnsi="宋体"/>
          <w:color w:val="auto"/>
          <w:szCs w:val="28"/>
          <w:highlight w:val="none"/>
          <w:lang w:val="en-US" w:eastAsia="zh-CN"/>
        </w:rPr>
        <w:t>8</w:t>
      </w:r>
      <w:r>
        <w:rPr>
          <w:rFonts w:hint="eastAsia" w:ascii="宋体" w:hAnsi="宋体"/>
          <w:color w:val="auto"/>
          <w:szCs w:val="28"/>
          <w:highlight w:val="none"/>
        </w:rPr>
        <w:t>个月×实际延期月份（不足15天的按半月计算，超过15天按1个月计算）计算出的咨询费为增加的全过程造价控制费用，工程完工时间以该工程竣（完）工验收时间为准。全过程造价控制时间延误费用在合同费用结算时一并支付。</w:t>
      </w:r>
    </w:p>
    <w:p>
      <w:pPr>
        <w:spacing w:line="500" w:lineRule="exact"/>
        <w:ind w:firstLine="560" w:firstLineChars="200"/>
        <w:rPr>
          <w:rFonts w:hint="eastAsia" w:ascii="宋体" w:hAnsi="宋体"/>
          <w:color w:val="auto"/>
          <w:szCs w:val="28"/>
          <w:highlight w:val="none"/>
        </w:rPr>
      </w:pPr>
      <w:r>
        <w:rPr>
          <w:rFonts w:hint="eastAsia" w:ascii="宋体" w:hAnsi="宋体"/>
          <w:color w:val="auto"/>
          <w:szCs w:val="28"/>
          <w:highlight w:val="none"/>
        </w:rPr>
        <w:t>6、因不可抗力原因或因甲方原因连续停工达6个月及以上导致的工期延误，不计算在跟踪审计服务时间内，但甲方应书面通知乙方。</w:t>
      </w:r>
    </w:p>
    <w:p>
      <w:pPr>
        <w:spacing w:line="500" w:lineRule="exact"/>
        <w:ind w:firstLine="560" w:firstLineChars="200"/>
        <w:rPr>
          <w:rFonts w:hint="eastAsia" w:ascii="宋体" w:hAnsi="宋体"/>
          <w:color w:val="auto"/>
          <w:szCs w:val="28"/>
          <w:highlight w:val="none"/>
        </w:rPr>
      </w:pPr>
      <w:r>
        <w:rPr>
          <w:rFonts w:hint="eastAsia" w:ascii="宋体" w:hAnsi="宋体"/>
          <w:color w:val="auto"/>
          <w:szCs w:val="28"/>
          <w:highlight w:val="none"/>
        </w:rPr>
        <w:t>7、甲方支付审计费时，乙方须提供增值税专用发票。</w:t>
      </w:r>
    </w:p>
    <w:p>
      <w:pPr>
        <w:spacing w:line="500" w:lineRule="exact"/>
        <w:ind w:firstLine="562" w:firstLineChars="200"/>
        <w:rPr>
          <w:rFonts w:ascii="宋体" w:hAnsi="宋体"/>
          <w:b/>
          <w:color w:val="auto"/>
          <w:highlight w:val="none"/>
        </w:rPr>
      </w:pPr>
      <w:r>
        <w:rPr>
          <w:rFonts w:hint="eastAsia" w:ascii="宋体" w:hAnsi="宋体"/>
          <w:b/>
          <w:color w:val="auto"/>
          <w:highlight w:val="none"/>
        </w:rPr>
        <w:t>七、咨询成果</w:t>
      </w:r>
    </w:p>
    <w:p>
      <w:pPr>
        <w:spacing w:line="500" w:lineRule="exact"/>
        <w:ind w:firstLine="560" w:firstLineChars="200"/>
        <w:rPr>
          <w:rFonts w:ascii="宋体" w:hAnsi="宋体"/>
          <w:color w:val="auto"/>
          <w:highlight w:val="none"/>
        </w:rPr>
      </w:pPr>
      <w:r>
        <w:rPr>
          <w:rFonts w:hint="eastAsia" w:ascii="宋体" w:hAnsi="宋体"/>
          <w:color w:val="auto"/>
          <w:highlight w:val="none"/>
        </w:rPr>
        <w:t>本工程造价全过程控制跟踪审核咨询成果应满足以下要求：</w:t>
      </w:r>
    </w:p>
    <w:p>
      <w:pPr>
        <w:spacing w:line="500" w:lineRule="exact"/>
        <w:ind w:firstLine="560" w:firstLineChars="200"/>
        <w:rPr>
          <w:rFonts w:ascii="宋体" w:hAnsi="宋体"/>
          <w:color w:val="auto"/>
          <w:highlight w:val="none"/>
        </w:rPr>
      </w:pPr>
      <w:r>
        <w:rPr>
          <w:rFonts w:hint="eastAsia" w:ascii="宋体" w:hAnsi="宋体"/>
          <w:color w:val="auto"/>
          <w:highlight w:val="none"/>
        </w:rPr>
        <w:t>1、通过实施工程造价全过程控制的咨询工作尽可能使该工程以最经济及最合理的施工方案进行实施，确保结算造价的经济性，实现工程施工技术与工程造价的统一，达到工程全过程造价控制的最佳效果。</w:t>
      </w:r>
    </w:p>
    <w:p>
      <w:pPr>
        <w:spacing w:line="500" w:lineRule="exact"/>
        <w:ind w:firstLine="560" w:firstLineChars="200"/>
        <w:rPr>
          <w:rFonts w:ascii="宋体" w:hAnsi="宋体"/>
          <w:color w:val="auto"/>
          <w:highlight w:val="none"/>
        </w:rPr>
      </w:pPr>
      <w:r>
        <w:rPr>
          <w:rFonts w:hint="eastAsia" w:ascii="宋体" w:hAnsi="宋体"/>
          <w:color w:val="auto"/>
          <w:highlight w:val="none"/>
        </w:rPr>
        <w:t xml:space="preserve">2、咨询成果应能随时接受复审及上级主管部门的审计，咨询成果及咨询成果报告书应确保专业性、合理性及准确性。 </w:t>
      </w:r>
    </w:p>
    <w:p>
      <w:pPr>
        <w:spacing w:line="500" w:lineRule="exact"/>
        <w:ind w:firstLine="560" w:firstLineChars="200"/>
        <w:rPr>
          <w:rFonts w:ascii="宋体" w:hAnsi="宋体"/>
          <w:color w:val="auto"/>
          <w:highlight w:val="none"/>
        </w:rPr>
      </w:pPr>
      <w:r>
        <w:rPr>
          <w:rFonts w:hint="eastAsia" w:ascii="宋体" w:hAnsi="宋体"/>
          <w:color w:val="auto"/>
          <w:highlight w:val="none"/>
        </w:rPr>
        <w:t>3、咨询成果报告书应具有专业性、规范性。咨询成果报告书一式柒份，甲方陆份，乙方一份。</w:t>
      </w:r>
    </w:p>
    <w:p>
      <w:pPr>
        <w:spacing w:line="500" w:lineRule="exact"/>
        <w:ind w:firstLine="562" w:firstLineChars="200"/>
        <w:rPr>
          <w:rFonts w:ascii="宋体" w:hAnsi="宋体"/>
          <w:b/>
          <w:color w:val="auto"/>
          <w:highlight w:val="none"/>
        </w:rPr>
      </w:pPr>
      <w:r>
        <w:rPr>
          <w:rFonts w:hint="eastAsia" w:ascii="宋体" w:hAnsi="宋体"/>
          <w:b/>
          <w:color w:val="auto"/>
          <w:highlight w:val="none"/>
        </w:rPr>
        <w:t>八、违约及违约责任</w:t>
      </w:r>
    </w:p>
    <w:p>
      <w:pPr>
        <w:spacing w:line="500" w:lineRule="exact"/>
        <w:ind w:firstLine="560" w:firstLineChars="200"/>
        <w:rPr>
          <w:rFonts w:ascii="宋体" w:hAnsi="宋体"/>
          <w:color w:val="auto"/>
          <w:highlight w:val="none"/>
        </w:rPr>
      </w:pPr>
      <w:r>
        <w:rPr>
          <w:rFonts w:hint="eastAsia" w:ascii="宋体" w:hAnsi="宋体"/>
          <w:color w:val="auto"/>
          <w:highlight w:val="none"/>
        </w:rPr>
        <w:t>1、乙方不得将工程的咨询任务进行挂靠、转包或分包，如经发现，甲方将取消本工程咨询资格，并赔偿因此对甲方造成一切经济损失。</w:t>
      </w:r>
    </w:p>
    <w:p>
      <w:pPr>
        <w:spacing w:line="500" w:lineRule="exact"/>
        <w:ind w:firstLine="560" w:firstLineChars="200"/>
        <w:rPr>
          <w:rFonts w:ascii="宋体" w:hAnsi="宋体"/>
          <w:color w:val="auto"/>
          <w:szCs w:val="28"/>
          <w:highlight w:val="none"/>
          <w:shd w:val="clear" w:color="auto" w:fill="FFFFFF"/>
        </w:rPr>
      </w:pPr>
      <w:r>
        <w:rPr>
          <w:rFonts w:hint="eastAsia" w:ascii="宋体" w:hAnsi="宋体"/>
          <w:color w:val="auto"/>
          <w:highlight w:val="none"/>
        </w:rPr>
        <w:t>2</w:t>
      </w:r>
      <w:r>
        <w:rPr>
          <w:rFonts w:ascii="宋体" w:hAnsi="宋体"/>
          <w:color w:val="auto"/>
          <w:szCs w:val="28"/>
          <w:highlight w:val="none"/>
          <w:shd w:val="clear" w:color="auto" w:fill="FFFFFF"/>
        </w:rPr>
        <w:t>、</w:t>
      </w:r>
      <w:r>
        <w:rPr>
          <w:rFonts w:hint="eastAsia" w:ascii="宋体" w:hAnsi="宋体"/>
          <w:color w:val="auto"/>
          <w:szCs w:val="28"/>
          <w:highlight w:val="none"/>
          <w:shd w:val="clear" w:color="auto" w:fill="FFFFFF"/>
        </w:rPr>
        <w:t>乙方必须</w:t>
      </w:r>
      <w:r>
        <w:rPr>
          <w:rFonts w:ascii="宋体" w:hAnsi="宋体"/>
          <w:color w:val="auto"/>
          <w:szCs w:val="28"/>
          <w:highlight w:val="none"/>
          <w:shd w:val="clear" w:color="auto" w:fill="FFFFFF"/>
        </w:rPr>
        <w:t>建立对现场代表的监管，</w:t>
      </w:r>
      <w:r>
        <w:rPr>
          <w:rFonts w:hint="eastAsia" w:ascii="宋体" w:hAnsi="宋体"/>
          <w:color w:val="auto"/>
          <w:szCs w:val="28"/>
          <w:highlight w:val="none"/>
          <w:shd w:val="clear" w:color="auto" w:fill="FFFFFF"/>
        </w:rPr>
        <w:t>杜绝现场代表</w:t>
      </w:r>
      <w:r>
        <w:rPr>
          <w:rFonts w:hint="eastAsia" w:ascii="宋体" w:hAnsi="宋体"/>
          <w:color w:val="auto"/>
          <w:highlight w:val="none"/>
        </w:rPr>
        <w:t>参与与甲方利益相冲突的任何活动。并</w:t>
      </w:r>
      <w:r>
        <w:rPr>
          <w:rFonts w:ascii="宋体" w:hAnsi="宋体"/>
          <w:color w:val="auto"/>
          <w:szCs w:val="28"/>
          <w:highlight w:val="none"/>
          <w:shd w:val="clear" w:color="auto" w:fill="FFFFFF"/>
        </w:rPr>
        <w:t>承担因现场代表的违规违法行为造成的一切经济损失和法律责任</w:t>
      </w:r>
      <w:r>
        <w:rPr>
          <w:rFonts w:hint="eastAsia" w:ascii="宋体" w:hAnsi="宋体"/>
          <w:color w:val="auto"/>
          <w:szCs w:val="28"/>
          <w:highlight w:val="none"/>
          <w:shd w:val="clear" w:color="auto" w:fill="FFFFFF"/>
        </w:rPr>
        <w:t>。</w:t>
      </w:r>
    </w:p>
    <w:p>
      <w:pPr>
        <w:spacing w:line="500" w:lineRule="exact"/>
        <w:ind w:firstLine="560" w:firstLineChars="200"/>
        <w:rPr>
          <w:rFonts w:ascii="宋体" w:hAnsi="宋体" w:eastAsia="宋体"/>
          <w:color w:val="auto"/>
          <w:szCs w:val="28"/>
          <w:highlight w:val="none"/>
          <w:shd w:val="clear" w:color="auto" w:fill="FFFFFF"/>
        </w:rPr>
      </w:pPr>
      <w:r>
        <w:rPr>
          <w:rFonts w:hint="eastAsia" w:ascii="宋体" w:hAnsi="宋体" w:eastAsia="宋体"/>
          <w:color w:val="auto"/>
          <w:szCs w:val="28"/>
          <w:highlight w:val="none"/>
          <w:shd w:val="clear" w:color="auto" w:fill="FFFFFF"/>
        </w:rPr>
        <w:t>3、乙方必须确保结算审核造价的准确性，若结算审核后的造价经招标人复审或国家审计机关审计审减差率在-5%至+5%范围外，每超出1%，扣除全过程造价控制费用结算金额的2%，若超出-10%至+10%（含）范围以上的，采购人将在结算总额中直接扣除成交人剩余全过程造价控制服务费。</w:t>
      </w:r>
    </w:p>
    <w:p>
      <w:pPr>
        <w:spacing w:line="500" w:lineRule="exact"/>
        <w:ind w:firstLine="560" w:firstLineChars="200"/>
        <w:rPr>
          <w:rFonts w:ascii="宋体" w:hAnsi="宋体"/>
          <w:color w:val="auto"/>
          <w:highlight w:val="none"/>
        </w:rPr>
      </w:pPr>
      <w:r>
        <w:rPr>
          <w:rFonts w:hint="eastAsia" w:ascii="宋体" w:hAnsi="宋体" w:eastAsia="宋体"/>
          <w:color w:val="auto"/>
          <w:szCs w:val="28"/>
          <w:highlight w:val="none"/>
          <w:shd w:val="clear" w:color="auto" w:fill="FFFFFF"/>
        </w:rPr>
        <w:t>4、乙方确定的咨询负责人员及其专业人员不得随意更换，如</w:t>
      </w:r>
      <w:r>
        <w:rPr>
          <w:rFonts w:hint="eastAsia" w:ascii="宋体" w:hAnsi="宋体"/>
          <w:color w:val="auto"/>
          <w:highlight w:val="none"/>
        </w:rPr>
        <w:t>需更换必须征得甲方同意，且甲方有权更换不称职的咨询专业负责人员，否则造成的经济损失由乙方承担。</w:t>
      </w:r>
    </w:p>
    <w:p>
      <w:pPr>
        <w:spacing w:line="500" w:lineRule="exact"/>
        <w:ind w:firstLine="560" w:firstLineChars="200"/>
        <w:rPr>
          <w:rFonts w:ascii="宋体" w:hAnsi="宋体"/>
          <w:color w:val="auto"/>
          <w:highlight w:val="none"/>
        </w:rPr>
      </w:pPr>
      <w:r>
        <w:rPr>
          <w:rFonts w:hint="eastAsia" w:ascii="宋体" w:hAnsi="宋体"/>
          <w:color w:val="auto"/>
          <w:highlight w:val="none"/>
        </w:rPr>
        <w:t>5、甲方必须按合同约定支付乙方咨询费用，延期支付按银行贷款利率的三倍支付乙方利率。</w:t>
      </w:r>
    </w:p>
    <w:p>
      <w:pPr>
        <w:spacing w:line="500" w:lineRule="exact"/>
        <w:ind w:firstLine="562" w:firstLineChars="200"/>
        <w:rPr>
          <w:rFonts w:ascii="宋体" w:hAnsi="宋体"/>
          <w:b/>
          <w:color w:val="auto"/>
          <w:highlight w:val="none"/>
        </w:rPr>
      </w:pPr>
      <w:r>
        <w:rPr>
          <w:rFonts w:hint="eastAsia" w:ascii="宋体" w:hAnsi="宋体"/>
          <w:b/>
          <w:color w:val="auto"/>
          <w:highlight w:val="none"/>
        </w:rPr>
        <w:t>九、保  险</w:t>
      </w:r>
    </w:p>
    <w:p>
      <w:pPr>
        <w:pStyle w:val="5"/>
        <w:spacing w:line="500" w:lineRule="exact"/>
        <w:ind w:firstLine="560" w:firstLineChars="200"/>
        <w:rPr>
          <w:rFonts w:ascii="宋体" w:hAnsi="宋体" w:eastAsia="宋体"/>
          <w:color w:val="auto"/>
          <w:sz w:val="28"/>
          <w:szCs w:val="22"/>
          <w:highlight w:val="none"/>
        </w:rPr>
      </w:pPr>
      <w:r>
        <w:rPr>
          <w:rFonts w:hint="eastAsia" w:ascii="宋体" w:hAnsi="宋体" w:eastAsia="宋体"/>
          <w:color w:val="auto"/>
          <w:sz w:val="28"/>
          <w:szCs w:val="22"/>
          <w:highlight w:val="none"/>
        </w:rPr>
        <w:t>甲、乙方双方办理各自人员及财产的保险业务，并各自承担相应费用和保险受益。</w:t>
      </w:r>
    </w:p>
    <w:p>
      <w:pPr>
        <w:spacing w:line="500" w:lineRule="exact"/>
        <w:ind w:firstLine="562" w:firstLineChars="200"/>
        <w:rPr>
          <w:rFonts w:ascii="宋体" w:hAnsi="宋体"/>
          <w:b/>
          <w:color w:val="auto"/>
          <w:highlight w:val="none"/>
        </w:rPr>
      </w:pPr>
      <w:r>
        <w:rPr>
          <w:rFonts w:hint="eastAsia" w:ascii="宋体" w:hAnsi="宋体"/>
          <w:b/>
          <w:color w:val="auto"/>
          <w:highlight w:val="none"/>
        </w:rPr>
        <w:t>十、其他</w:t>
      </w:r>
    </w:p>
    <w:p>
      <w:pPr>
        <w:spacing w:line="500" w:lineRule="exact"/>
        <w:ind w:firstLine="560" w:firstLineChars="200"/>
        <w:rPr>
          <w:rFonts w:ascii="宋体" w:hAnsi="宋体"/>
          <w:color w:val="auto"/>
          <w:highlight w:val="none"/>
        </w:rPr>
      </w:pPr>
      <w:r>
        <w:rPr>
          <w:rFonts w:hint="eastAsia" w:ascii="宋体" w:hAnsi="宋体"/>
          <w:color w:val="auto"/>
          <w:highlight w:val="none"/>
        </w:rPr>
        <w:t>1、乙方若需外聘专家协助，在委托的建设工程造价咨询业务方位其费用由咨询人承担；在委托的建设工程造价咨询业务范围以外，经委托人认可其费用，由甲方承担。</w:t>
      </w:r>
    </w:p>
    <w:p>
      <w:pPr>
        <w:spacing w:line="500" w:lineRule="exact"/>
        <w:ind w:firstLine="560" w:firstLineChars="200"/>
        <w:rPr>
          <w:rFonts w:ascii="宋体" w:hAnsi="宋体"/>
          <w:color w:val="auto"/>
          <w:highlight w:val="none"/>
        </w:rPr>
      </w:pPr>
      <w:r>
        <w:rPr>
          <w:rFonts w:hint="eastAsia" w:ascii="宋体" w:hAnsi="宋体"/>
          <w:color w:val="auto"/>
          <w:highlight w:val="none"/>
        </w:rPr>
        <w:t>2、乙方在履行合同期间或合同规定期限内，不得泄露与本合同规定业务活动有关的资料。</w:t>
      </w:r>
    </w:p>
    <w:p>
      <w:pPr>
        <w:spacing w:line="500" w:lineRule="exact"/>
        <w:ind w:firstLine="560" w:firstLineChars="200"/>
        <w:rPr>
          <w:rFonts w:ascii="宋体" w:hAnsi="宋体"/>
          <w:color w:val="auto"/>
          <w:highlight w:val="none"/>
        </w:rPr>
      </w:pPr>
      <w:r>
        <w:rPr>
          <w:rFonts w:hint="eastAsia" w:ascii="宋体" w:hAnsi="宋体"/>
          <w:color w:val="auto"/>
          <w:highlight w:val="none"/>
        </w:rPr>
        <w:t>3、甲方在跟踪审计期间负责统一提供跟踪审计人员办公场所。</w:t>
      </w:r>
    </w:p>
    <w:p>
      <w:pPr>
        <w:spacing w:line="500" w:lineRule="exact"/>
        <w:ind w:firstLine="562" w:firstLineChars="200"/>
        <w:rPr>
          <w:rFonts w:ascii="宋体" w:hAnsi="宋体"/>
          <w:b/>
          <w:color w:val="auto"/>
          <w:highlight w:val="none"/>
        </w:rPr>
      </w:pPr>
      <w:r>
        <w:rPr>
          <w:rFonts w:hint="eastAsia" w:ascii="宋体" w:hAnsi="宋体"/>
          <w:b/>
          <w:color w:val="auto"/>
          <w:highlight w:val="none"/>
        </w:rPr>
        <w:t>十一、合同争议的解决</w:t>
      </w:r>
    </w:p>
    <w:p>
      <w:pPr>
        <w:spacing w:line="500" w:lineRule="exact"/>
        <w:ind w:firstLine="560" w:firstLineChars="200"/>
        <w:rPr>
          <w:rFonts w:ascii="宋体" w:hAnsi="宋体"/>
          <w:color w:val="auto"/>
          <w:szCs w:val="28"/>
          <w:highlight w:val="none"/>
        </w:rPr>
      </w:pPr>
      <w:r>
        <w:rPr>
          <w:rFonts w:ascii="宋体" w:hAnsi="宋体"/>
          <w:color w:val="auto"/>
          <w:szCs w:val="28"/>
          <w:highlight w:val="none"/>
        </w:rPr>
        <w:t>因违约或终止合同而引起的损失和损害的赔偿，委托人与咨询人之间应当协商解决；如未能达成一致，可提交有关主管部门调解；协商或调解不成的，根据双方约定提交</w:t>
      </w:r>
      <w:r>
        <w:rPr>
          <w:rFonts w:hint="eastAsia" w:ascii="宋体" w:hAnsi="宋体"/>
          <w:color w:val="auto"/>
          <w:szCs w:val="28"/>
          <w:highlight w:val="none"/>
        </w:rPr>
        <w:t>仲</w:t>
      </w:r>
      <w:r>
        <w:rPr>
          <w:rFonts w:ascii="宋体" w:hAnsi="宋体"/>
          <w:color w:val="auto"/>
          <w:szCs w:val="28"/>
          <w:highlight w:val="none"/>
        </w:rPr>
        <w:t>裁机关仲裁，或向人民法院提起诉讼。</w:t>
      </w:r>
    </w:p>
    <w:p>
      <w:pPr>
        <w:spacing w:line="500" w:lineRule="exact"/>
        <w:ind w:firstLine="562" w:firstLineChars="200"/>
        <w:rPr>
          <w:rFonts w:ascii="宋体" w:hAnsi="宋体"/>
          <w:b/>
          <w:color w:val="auto"/>
          <w:highlight w:val="none"/>
        </w:rPr>
      </w:pPr>
      <w:r>
        <w:rPr>
          <w:rFonts w:hint="eastAsia" w:ascii="宋体" w:hAnsi="宋体"/>
          <w:b/>
          <w:color w:val="auto"/>
          <w:highlight w:val="none"/>
        </w:rPr>
        <w:t>十二、合同的生效、变更及终止</w:t>
      </w:r>
    </w:p>
    <w:p>
      <w:pPr>
        <w:spacing w:line="500" w:lineRule="exact"/>
        <w:ind w:firstLine="560" w:firstLineChars="200"/>
        <w:rPr>
          <w:rFonts w:ascii="宋体" w:hAnsi="宋体"/>
          <w:color w:val="auto"/>
          <w:highlight w:val="none"/>
        </w:rPr>
      </w:pPr>
      <w:r>
        <w:rPr>
          <w:rFonts w:hint="eastAsia" w:ascii="宋体" w:hAnsi="宋体"/>
          <w:color w:val="auto"/>
          <w:highlight w:val="none"/>
        </w:rPr>
        <w:t>1、本合同自双方签字盖章后生效。</w:t>
      </w:r>
    </w:p>
    <w:p>
      <w:pPr>
        <w:spacing w:line="500" w:lineRule="exact"/>
        <w:ind w:firstLine="560" w:firstLineChars="200"/>
        <w:rPr>
          <w:rFonts w:ascii="宋体" w:hAnsi="宋体"/>
          <w:color w:val="auto"/>
          <w:highlight w:val="none"/>
        </w:rPr>
      </w:pPr>
      <w:r>
        <w:rPr>
          <w:rFonts w:hint="eastAsia" w:ascii="宋体" w:hAnsi="宋体"/>
          <w:color w:val="auto"/>
          <w:highlight w:val="none"/>
        </w:rPr>
        <w:t>2、当事人一方要求变更或解除合同时，则应当在14日前通知；因变更或解除合同使一方遭受损失的，应由责任方负责赔偿。</w:t>
      </w:r>
    </w:p>
    <w:p>
      <w:pPr>
        <w:spacing w:line="500" w:lineRule="exact"/>
        <w:ind w:firstLine="560" w:firstLineChars="200"/>
        <w:rPr>
          <w:rFonts w:ascii="宋体" w:hAnsi="宋体"/>
          <w:color w:val="auto"/>
          <w:highlight w:val="none"/>
        </w:rPr>
      </w:pPr>
      <w:r>
        <w:rPr>
          <w:rFonts w:hint="eastAsia" w:ascii="宋体" w:hAnsi="宋体"/>
          <w:color w:val="auto"/>
          <w:highlight w:val="none"/>
        </w:rPr>
        <w:t>3、变更或解除合同的通知或协议应当采取书面形式，新的协议未达成之前，原合同仍然有效。</w:t>
      </w:r>
    </w:p>
    <w:p>
      <w:pPr>
        <w:spacing w:line="500" w:lineRule="exact"/>
        <w:ind w:firstLine="562" w:firstLineChars="200"/>
        <w:rPr>
          <w:rFonts w:ascii="宋体" w:hAnsi="宋体"/>
          <w:b/>
          <w:color w:val="auto"/>
          <w:highlight w:val="none"/>
        </w:rPr>
      </w:pPr>
      <w:r>
        <w:rPr>
          <w:rFonts w:hint="eastAsia" w:ascii="宋体" w:hAnsi="宋体"/>
          <w:b/>
          <w:color w:val="auto"/>
          <w:highlight w:val="none"/>
        </w:rPr>
        <w:t>十三、本咨询合同一式陆份，甲方执叁份，乙方执叁份，同具法律效力。</w:t>
      </w:r>
    </w:p>
    <w:p>
      <w:pPr>
        <w:spacing w:line="560" w:lineRule="exact"/>
        <w:ind w:firstLine="555"/>
        <w:rPr>
          <w:rFonts w:ascii="宋体" w:hAnsi="宋体"/>
          <w:b/>
          <w:color w:val="auto"/>
          <w:highlight w:val="none"/>
        </w:rPr>
      </w:pPr>
    </w:p>
    <w:p>
      <w:pPr>
        <w:spacing w:line="560" w:lineRule="exact"/>
        <w:ind w:firstLine="560" w:firstLineChars="200"/>
        <w:rPr>
          <w:rFonts w:ascii="宋体" w:hAnsi="宋体"/>
          <w:bCs/>
          <w:color w:val="auto"/>
          <w:szCs w:val="28"/>
          <w:highlight w:val="none"/>
        </w:rPr>
      </w:pPr>
      <w:r>
        <w:rPr>
          <w:rFonts w:hint="eastAsia" w:ascii="宋体" w:hAnsi="宋体"/>
          <w:bCs/>
          <w:color w:val="auto"/>
          <w:kern w:val="0"/>
          <w:szCs w:val="28"/>
          <w:highlight w:val="none"/>
          <w:lang w:val="zh-CN"/>
        </w:rPr>
        <w:t>委托人</w:t>
      </w:r>
      <w:r>
        <w:rPr>
          <w:rFonts w:ascii="宋体" w:hAnsi="宋体"/>
          <w:bCs/>
          <w:color w:val="auto"/>
          <w:kern w:val="0"/>
          <w:szCs w:val="28"/>
          <w:highlight w:val="none"/>
          <w:lang w:val="zh-CN"/>
        </w:rPr>
        <w:t>：</w:t>
      </w:r>
      <w:r>
        <w:rPr>
          <w:rFonts w:hint="eastAsia" w:ascii="宋体" w:hAnsi="宋体"/>
          <w:bCs/>
          <w:color w:val="auto"/>
          <w:szCs w:val="28"/>
          <w:highlight w:val="none"/>
        </w:rPr>
        <w:t xml:space="preserve">（盖章）            </w:t>
      </w:r>
      <w:r>
        <w:rPr>
          <w:rFonts w:hint="eastAsia" w:ascii="宋体" w:hAnsi="宋体"/>
          <w:bCs/>
          <w:color w:val="auto"/>
          <w:kern w:val="0"/>
          <w:szCs w:val="28"/>
          <w:highlight w:val="none"/>
          <w:lang w:val="zh-CN"/>
        </w:rPr>
        <w:t>咨询人</w:t>
      </w:r>
      <w:r>
        <w:rPr>
          <w:rFonts w:ascii="宋体" w:hAnsi="宋体"/>
          <w:bCs/>
          <w:color w:val="auto"/>
          <w:kern w:val="0"/>
          <w:szCs w:val="28"/>
          <w:highlight w:val="none"/>
          <w:lang w:val="zh-CN"/>
        </w:rPr>
        <w:t>：</w:t>
      </w:r>
      <w:r>
        <w:rPr>
          <w:rFonts w:hint="eastAsia" w:ascii="宋体" w:hAnsi="宋体"/>
          <w:bCs/>
          <w:color w:val="auto"/>
          <w:szCs w:val="28"/>
          <w:highlight w:val="none"/>
        </w:rPr>
        <w:t>（盖章）</w:t>
      </w:r>
    </w:p>
    <w:p>
      <w:pPr>
        <w:spacing w:line="560" w:lineRule="exact"/>
        <w:ind w:firstLine="840" w:firstLineChars="300"/>
        <w:rPr>
          <w:rFonts w:ascii="宋体" w:hAnsi="宋体"/>
          <w:bCs/>
          <w:color w:val="auto"/>
          <w:kern w:val="0"/>
          <w:szCs w:val="28"/>
          <w:highlight w:val="none"/>
          <w:lang w:val="zh-CN"/>
        </w:rPr>
      </w:pPr>
    </w:p>
    <w:p>
      <w:pPr>
        <w:autoSpaceDE w:val="0"/>
        <w:autoSpaceDN w:val="0"/>
        <w:adjustRightInd w:val="0"/>
        <w:spacing w:line="540" w:lineRule="exact"/>
        <w:ind w:firstLine="560" w:firstLineChars="200"/>
        <w:jc w:val="left"/>
        <w:rPr>
          <w:rFonts w:ascii="宋体" w:hAnsi="宋体"/>
          <w:bCs/>
          <w:color w:val="auto"/>
          <w:kern w:val="0"/>
          <w:szCs w:val="28"/>
          <w:highlight w:val="none"/>
        </w:rPr>
      </w:pPr>
      <w:r>
        <w:rPr>
          <w:rFonts w:ascii="宋体" w:hAnsi="宋体"/>
          <w:bCs/>
          <w:color w:val="auto"/>
          <w:kern w:val="0"/>
          <w:szCs w:val="28"/>
          <w:highlight w:val="none"/>
          <w:lang w:val="zh-CN"/>
        </w:rPr>
        <w:t>法定代表人</w:t>
      </w:r>
      <w:r>
        <w:rPr>
          <w:rFonts w:ascii="宋体" w:hAnsi="宋体"/>
          <w:bCs/>
          <w:color w:val="auto"/>
          <w:kern w:val="0"/>
          <w:szCs w:val="28"/>
          <w:highlight w:val="none"/>
        </w:rPr>
        <w:t>：</w:t>
      </w:r>
      <w:r>
        <w:rPr>
          <w:rFonts w:hint="eastAsia" w:ascii="宋体" w:hAnsi="宋体"/>
          <w:bCs/>
          <w:color w:val="auto"/>
          <w:kern w:val="0"/>
          <w:szCs w:val="28"/>
          <w:highlight w:val="none"/>
          <w:lang w:val="en-US" w:eastAsia="zh-CN"/>
        </w:rPr>
        <w:t xml:space="preserve">               </w:t>
      </w:r>
      <w:r>
        <w:rPr>
          <w:rFonts w:ascii="宋体" w:hAnsi="宋体"/>
          <w:bCs/>
          <w:color w:val="auto"/>
          <w:kern w:val="0"/>
          <w:szCs w:val="28"/>
          <w:highlight w:val="none"/>
        </w:rPr>
        <w:t xml:space="preserve"> </w:t>
      </w:r>
      <w:r>
        <w:rPr>
          <w:rFonts w:ascii="宋体" w:hAnsi="宋体"/>
          <w:bCs/>
          <w:color w:val="auto"/>
          <w:kern w:val="0"/>
          <w:szCs w:val="28"/>
          <w:highlight w:val="none"/>
          <w:lang w:val="zh-CN"/>
        </w:rPr>
        <w:t>法定代表人</w:t>
      </w:r>
      <w:r>
        <w:rPr>
          <w:rFonts w:ascii="宋体" w:hAnsi="宋体"/>
          <w:bCs/>
          <w:color w:val="auto"/>
          <w:kern w:val="0"/>
          <w:szCs w:val="28"/>
          <w:highlight w:val="none"/>
        </w:rPr>
        <w:t>：</w:t>
      </w:r>
    </w:p>
    <w:p>
      <w:pPr>
        <w:autoSpaceDE w:val="0"/>
        <w:autoSpaceDN w:val="0"/>
        <w:adjustRightInd w:val="0"/>
        <w:spacing w:line="540" w:lineRule="exact"/>
        <w:ind w:firstLine="560" w:firstLineChars="200"/>
        <w:jc w:val="left"/>
        <w:rPr>
          <w:rFonts w:ascii="宋体" w:hAnsi="宋体"/>
          <w:bCs/>
          <w:color w:val="auto"/>
          <w:kern w:val="0"/>
          <w:szCs w:val="28"/>
          <w:highlight w:val="none"/>
          <w:lang w:val="zh-CN"/>
        </w:rPr>
      </w:pPr>
      <w:r>
        <w:rPr>
          <w:rFonts w:hint="eastAsia" w:ascii="宋体" w:hAnsi="宋体"/>
          <w:bCs/>
          <w:color w:val="auto"/>
          <w:kern w:val="0"/>
          <w:szCs w:val="28"/>
          <w:highlight w:val="none"/>
          <w:lang w:val="zh-CN"/>
        </w:rPr>
        <w:t>或授权委托</w:t>
      </w:r>
      <w:r>
        <w:rPr>
          <w:rFonts w:ascii="宋体" w:hAnsi="宋体"/>
          <w:bCs/>
          <w:color w:val="auto"/>
          <w:kern w:val="0"/>
          <w:szCs w:val="28"/>
          <w:highlight w:val="none"/>
          <w:lang w:val="zh-CN"/>
        </w:rPr>
        <w:t>人</w:t>
      </w:r>
      <w:r>
        <w:rPr>
          <w:rFonts w:hint="eastAsia" w:ascii="宋体" w:hAnsi="宋体"/>
          <w:bCs/>
          <w:color w:val="auto"/>
          <w:kern w:val="0"/>
          <w:szCs w:val="28"/>
          <w:highlight w:val="none"/>
          <w:lang w:val="zh-CN"/>
        </w:rPr>
        <w:t xml:space="preserve">               </w:t>
      </w:r>
      <w:r>
        <w:rPr>
          <w:rFonts w:hint="eastAsia" w:ascii="宋体" w:hAnsi="宋体"/>
          <w:bCs/>
          <w:color w:val="auto"/>
          <w:kern w:val="0"/>
          <w:szCs w:val="28"/>
          <w:highlight w:val="none"/>
          <w:lang w:val="en-US" w:eastAsia="zh-CN"/>
        </w:rPr>
        <w:t xml:space="preserve"> </w:t>
      </w:r>
      <w:r>
        <w:rPr>
          <w:rFonts w:hint="eastAsia" w:ascii="宋体" w:hAnsi="宋体"/>
          <w:bCs/>
          <w:color w:val="auto"/>
          <w:kern w:val="0"/>
          <w:szCs w:val="28"/>
          <w:highlight w:val="none"/>
          <w:lang w:val="zh-CN"/>
        </w:rPr>
        <w:t>或授权委托</w:t>
      </w:r>
      <w:r>
        <w:rPr>
          <w:rFonts w:ascii="宋体" w:hAnsi="宋体"/>
          <w:bCs/>
          <w:color w:val="auto"/>
          <w:kern w:val="0"/>
          <w:szCs w:val="28"/>
          <w:highlight w:val="none"/>
          <w:lang w:val="zh-CN"/>
        </w:rPr>
        <w:t>人：</w:t>
      </w:r>
    </w:p>
    <w:p>
      <w:pPr>
        <w:autoSpaceDE w:val="0"/>
        <w:autoSpaceDN w:val="0"/>
        <w:adjustRightInd w:val="0"/>
        <w:spacing w:line="540" w:lineRule="exact"/>
        <w:ind w:firstLine="560" w:firstLineChars="200"/>
        <w:jc w:val="left"/>
        <w:rPr>
          <w:rFonts w:ascii="宋体" w:hAnsi="宋体"/>
          <w:bCs/>
          <w:color w:val="auto"/>
          <w:kern w:val="0"/>
          <w:szCs w:val="28"/>
          <w:highlight w:val="none"/>
          <w:lang w:val="zh-CN"/>
        </w:rPr>
      </w:pPr>
      <w:r>
        <w:rPr>
          <w:rFonts w:hint="eastAsia" w:ascii="宋体" w:hAnsi="宋体"/>
          <w:bCs/>
          <w:color w:val="auto"/>
          <w:kern w:val="0"/>
          <w:szCs w:val="28"/>
          <w:highlight w:val="none"/>
          <w:lang w:val="zh-CN"/>
        </w:rPr>
        <w:t>经办</w:t>
      </w:r>
      <w:r>
        <w:rPr>
          <w:rFonts w:ascii="宋体" w:hAnsi="宋体"/>
          <w:bCs/>
          <w:color w:val="auto"/>
          <w:kern w:val="0"/>
          <w:szCs w:val="28"/>
          <w:highlight w:val="none"/>
          <w:lang w:val="zh-CN"/>
        </w:rPr>
        <w:t xml:space="preserve">人： </w:t>
      </w:r>
      <w:r>
        <w:rPr>
          <w:rFonts w:hint="eastAsia" w:ascii="宋体" w:hAnsi="宋体"/>
          <w:bCs/>
          <w:color w:val="auto"/>
          <w:kern w:val="0"/>
          <w:szCs w:val="28"/>
          <w:highlight w:val="none"/>
          <w:lang w:val="zh-CN"/>
        </w:rPr>
        <w:t xml:space="preserve">   </w:t>
      </w:r>
      <w:r>
        <w:rPr>
          <w:rFonts w:hint="eastAsia" w:ascii="宋体" w:hAnsi="宋体"/>
          <w:bCs/>
          <w:color w:val="auto"/>
          <w:kern w:val="0"/>
          <w:szCs w:val="28"/>
          <w:highlight w:val="none"/>
          <w:lang w:val="en-US" w:eastAsia="zh-CN"/>
        </w:rPr>
        <w:t xml:space="preserve">                </w:t>
      </w:r>
      <w:r>
        <w:rPr>
          <w:rFonts w:hint="eastAsia" w:ascii="宋体" w:hAnsi="宋体"/>
          <w:bCs/>
          <w:color w:val="auto"/>
          <w:kern w:val="0"/>
          <w:szCs w:val="28"/>
          <w:highlight w:val="none"/>
          <w:lang w:val="zh-CN"/>
        </w:rPr>
        <w:t xml:space="preserve"> 经办人</w:t>
      </w:r>
      <w:r>
        <w:rPr>
          <w:rFonts w:ascii="宋体" w:hAnsi="宋体"/>
          <w:bCs/>
          <w:color w:val="auto"/>
          <w:kern w:val="0"/>
          <w:szCs w:val="28"/>
          <w:highlight w:val="none"/>
          <w:lang w:val="zh-CN"/>
        </w:rPr>
        <w:t>：</w:t>
      </w:r>
    </w:p>
    <w:p>
      <w:pPr>
        <w:autoSpaceDE w:val="0"/>
        <w:autoSpaceDN w:val="0"/>
        <w:adjustRightInd w:val="0"/>
        <w:spacing w:line="540" w:lineRule="exact"/>
        <w:ind w:firstLine="560" w:firstLineChars="200"/>
        <w:jc w:val="left"/>
        <w:rPr>
          <w:rFonts w:ascii="宋体" w:hAnsi="宋体"/>
          <w:bCs/>
          <w:color w:val="auto"/>
          <w:kern w:val="0"/>
          <w:szCs w:val="28"/>
          <w:highlight w:val="none"/>
          <w:lang w:val="zh-CN"/>
        </w:rPr>
      </w:pPr>
      <w:r>
        <w:rPr>
          <w:rFonts w:ascii="宋体" w:hAnsi="宋体"/>
          <w:bCs/>
          <w:color w:val="auto"/>
          <w:kern w:val="0"/>
          <w:szCs w:val="28"/>
          <w:highlight w:val="none"/>
          <w:lang w:val="zh-CN"/>
        </w:rPr>
        <w:t>住所：</w:t>
      </w:r>
      <w:r>
        <w:rPr>
          <w:rFonts w:hint="eastAsia" w:ascii="宋体" w:hAnsi="宋体"/>
          <w:bCs/>
          <w:color w:val="auto"/>
          <w:kern w:val="0"/>
          <w:szCs w:val="28"/>
          <w:highlight w:val="none"/>
          <w:lang w:val="en-US" w:eastAsia="zh-CN"/>
        </w:rPr>
        <w:t xml:space="preserve">                       </w:t>
      </w:r>
      <w:r>
        <w:rPr>
          <w:rFonts w:hint="eastAsia" w:ascii="宋体" w:hAnsi="宋体"/>
          <w:bCs/>
          <w:color w:val="auto"/>
          <w:kern w:val="0"/>
          <w:szCs w:val="28"/>
          <w:highlight w:val="none"/>
          <w:lang w:val="zh-CN"/>
        </w:rPr>
        <w:t>住所：</w:t>
      </w:r>
    </w:p>
    <w:p>
      <w:pPr>
        <w:autoSpaceDE w:val="0"/>
        <w:autoSpaceDN w:val="0"/>
        <w:adjustRightInd w:val="0"/>
        <w:spacing w:line="540" w:lineRule="exact"/>
        <w:ind w:firstLine="560" w:firstLineChars="200"/>
        <w:jc w:val="left"/>
        <w:rPr>
          <w:rFonts w:ascii="宋体" w:hAnsi="宋体"/>
          <w:bCs/>
          <w:color w:val="auto"/>
          <w:kern w:val="0"/>
          <w:szCs w:val="28"/>
          <w:highlight w:val="none"/>
          <w:lang w:val="zh-CN"/>
        </w:rPr>
      </w:pPr>
      <w:r>
        <w:rPr>
          <w:rFonts w:ascii="宋体" w:hAnsi="宋体"/>
          <w:bCs/>
          <w:color w:val="auto"/>
          <w:kern w:val="0"/>
          <w:szCs w:val="28"/>
          <w:highlight w:val="none"/>
          <w:lang w:val="zh-CN"/>
        </w:rPr>
        <w:t>开户银行：</w:t>
      </w:r>
      <w:r>
        <w:rPr>
          <w:rFonts w:hint="eastAsia" w:ascii="宋体" w:hAnsi="宋体"/>
          <w:bCs/>
          <w:color w:val="auto"/>
          <w:kern w:val="0"/>
          <w:szCs w:val="28"/>
          <w:highlight w:val="none"/>
          <w:lang w:val="en-US" w:eastAsia="zh-CN"/>
        </w:rPr>
        <w:t xml:space="preserve">                  </w:t>
      </w:r>
      <w:r>
        <w:rPr>
          <w:rFonts w:hint="eastAsia" w:ascii="宋体" w:hAnsi="宋体"/>
          <w:bCs/>
          <w:color w:val="auto"/>
          <w:kern w:val="0"/>
          <w:szCs w:val="28"/>
          <w:highlight w:val="none"/>
          <w:lang w:val="zh-CN"/>
        </w:rPr>
        <w:t xml:space="preserve">开户银行： </w:t>
      </w:r>
    </w:p>
    <w:p>
      <w:pPr>
        <w:autoSpaceDE w:val="0"/>
        <w:autoSpaceDN w:val="0"/>
        <w:adjustRightInd w:val="0"/>
        <w:spacing w:line="540" w:lineRule="exact"/>
        <w:ind w:firstLine="560" w:firstLineChars="200"/>
        <w:jc w:val="left"/>
        <w:rPr>
          <w:rFonts w:ascii="宋体" w:hAnsi="宋体"/>
          <w:bCs/>
          <w:color w:val="auto"/>
          <w:kern w:val="0"/>
          <w:szCs w:val="28"/>
          <w:highlight w:val="none"/>
          <w:lang w:val="zh-CN"/>
        </w:rPr>
      </w:pPr>
      <w:r>
        <w:rPr>
          <w:rFonts w:ascii="宋体" w:hAnsi="宋体"/>
          <w:bCs/>
          <w:color w:val="auto"/>
          <w:kern w:val="0"/>
          <w:szCs w:val="28"/>
          <w:highlight w:val="none"/>
          <w:lang w:val="zh-CN"/>
        </w:rPr>
        <w:t>帐号：</w:t>
      </w:r>
      <w:r>
        <w:rPr>
          <w:rFonts w:hint="eastAsia" w:ascii="宋体" w:hAnsi="宋体"/>
          <w:bCs/>
          <w:color w:val="auto"/>
          <w:kern w:val="0"/>
          <w:szCs w:val="28"/>
          <w:highlight w:val="none"/>
          <w:lang w:val="en-US" w:eastAsia="zh-CN"/>
        </w:rPr>
        <w:t xml:space="preserve">                      </w:t>
      </w:r>
      <w:r>
        <w:rPr>
          <w:rFonts w:ascii="宋体" w:hAnsi="宋体"/>
          <w:bCs/>
          <w:color w:val="auto"/>
          <w:kern w:val="0"/>
          <w:szCs w:val="28"/>
          <w:highlight w:val="none"/>
          <w:lang w:val="zh-CN"/>
        </w:rPr>
        <w:t>帐号</w:t>
      </w:r>
      <w:r>
        <w:rPr>
          <w:rFonts w:hint="eastAsia" w:ascii="宋体" w:hAnsi="宋体"/>
          <w:bCs/>
          <w:color w:val="auto"/>
          <w:kern w:val="0"/>
          <w:szCs w:val="28"/>
          <w:highlight w:val="none"/>
          <w:lang w:val="zh-CN"/>
        </w:rPr>
        <w:t>：</w:t>
      </w:r>
    </w:p>
    <w:p>
      <w:pPr>
        <w:autoSpaceDE w:val="0"/>
        <w:autoSpaceDN w:val="0"/>
        <w:adjustRightInd w:val="0"/>
        <w:spacing w:line="540" w:lineRule="exact"/>
        <w:ind w:firstLine="560" w:firstLineChars="200"/>
        <w:jc w:val="left"/>
        <w:rPr>
          <w:rFonts w:ascii="宋体" w:hAnsi="宋体"/>
          <w:bCs/>
          <w:color w:val="auto"/>
          <w:kern w:val="0"/>
          <w:szCs w:val="28"/>
          <w:highlight w:val="none"/>
          <w:lang w:val="zh-CN"/>
        </w:rPr>
      </w:pPr>
      <w:r>
        <w:rPr>
          <w:rFonts w:hint="eastAsia" w:ascii="宋体" w:hAnsi="宋体"/>
          <w:bCs/>
          <w:color w:val="auto"/>
          <w:kern w:val="0"/>
          <w:szCs w:val="28"/>
          <w:highlight w:val="none"/>
        </w:rPr>
        <w:t>纳税人识别号</w:t>
      </w:r>
      <w:r>
        <w:rPr>
          <w:rFonts w:ascii="宋体" w:hAnsi="宋体"/>
          <w:bCs/>
          <w:color w:val="auto"/>
          <w:kern w:val="0"/>
          <w:szCs w:val="28"/>
          <w:highlight w:val="none"/>
          <w:lang w:val="zh-CN"/>
        </w:rPr>
        <w:t>：</w:t>
      </w:r>
      <w:r>
        <w:rPr>
          <w:rFonts w:hint="eastAsia" w:ascii="宋体" w:hAnsi="宋体"/>
          <w:bCs/>
          <w:color w:val="auto"/>
          <w:kern w:val="0"/>
          <w:szCs w:val="28"/>
          <w:highlight w:val="none"/>
          <w:lang w:val="en-US" w:eastAsia="zh-CN"/>
        </w:rPr>
        <w:t xml:space="preserve">              </w:t>
      </w:r>
      <w:r>
        <w:rPr>
          <w:rFonts w:hint="eastAsia" w:ascii="宋体" w:hAnsi="宋体"/>
          <w:bCs/>
          <w:color w:val="auto"/>
          <w:kern w:val="0"/>
          <w:szCs w:val="28"/>
          <w:highlight w:val="none"/>
        </w:rPr>
        <w:t>纳税人识别号</w:t>
      </w:r>
      <w:r>
        <w:rPr>
          <w:rFonts w:ascii="宋体" w:hAnsi="宋体"/>
          <w:bCs/>
          <w:color w:val="auto"/>
          <w:kern w:val="0"/>
          <w:szCs w:val="28"/>
          <w:highlight w:val="none"/>
          <w:lang w:val="zh-CN"/>
        </w:rPr>
        <w:t>：</w:t>
      </w:r>
    </w:p>
    <w:p>
      <w:pPr>
        <w:autoSpaceDE w:val="0"/>
        <w:autoSpaceDN w:val="0"/>
        <w:adjustRightInd w:val="0"/>
        <w:spacing w:line="540" w:lineRule="exact"/>
        <w:ind w:firstLine="560" w:firstLineChars="200"/>
        <w:jc w:val="left"/>
        <w:rPr>
          <w:rFonts w:ascii="宋体" w:hAnsi="宋体"/>
          <w:bCs/>
          <w:color w:val="auto"/>
          <w:kern w:val="0"/>
          <w:szCs w:val="28"/>
          <w:highlight w:val="none"/>
          <w:lang w:val="zh-CN"/>
        </w:rPr>
      </w:pPr>
      <w:r>
        <w:rPr>
          <w:rFonts w:ascii="宋体" w:hAnsi="宋体"/>
          <w:bCs/>
          <w:color w:val="auto"/>
          <w:kern w:val="0"/>
          <w:szCs w:val="28"/>
          <w:highlight w:val="none"/>
          <w:lang w:val="zh-CN"/>
        </w:rPr>
        <w:t>邮政编码：</w:t>
      </w:r>
      <w:r>
        <w:rPr>
          <w:rFonts w:hint="eastAsia" w:ascii="宋体" w:hAnsi="宋体"/>
          <w:bCs/>
          <w:color w:val="auto"/>
          <w:kern w:val="0"/>
          <w:szCs w:val="28"/>
          <w:highlight w:val="none"/>
          <w:lang w:val="en-US" w:eastAsia="zh-CN"/>
        </w:rPr>
        <w:t xml:space="preserve">                  </w:t>
      </w:r>
      <w:r>
        <w:rPr>
          <w:rFonts w:hAnsi="宋体"/>
          <w:bCs/>
          <w:color w:val="auto"/>
          <w:kern w:val="0"/>
          <w:szCs w:val="28"/>
          <w:highlight w:val="none"/>
          <w:lang w:val="zh-CN"/>
        </w:rPr>
        <w:t>邮政编码</w:t>
      </w:r>
      <w:r>
        <w:rPr>
          <w:rFonts w:hint="eastAsia" w:hAnsi="宋体"/>
          <w:bCs/>
          <w:color w:val="auto"/>
          <w:kern w:val="0"/>
          <w:szCs w:val="28"/>
          <w:highlight w:val="none"/>
          <w:lang w:val="zh-CN"/>
        </w:rPr>
        <w:t>:</w:t>
      </w:r>
    </w:p>
    <w:p>
      <w:pPr>
        <w:ind w:firstLine="560" w:firstLineChars="200"/>
        <w:rPr>
          <w:rFonts w:ascii="方正仿宋_GBK" w:eastAsia="方正仿宋_GBK"/>
          <w:color w:val="auto"/>
          <w:sz w:val="24"/>
          <w:highlight w:val="none"/>
        </w:rPr>
      </w:pPr>
      <w:r>
        <w:rPr>
          <w:rFonts w:hAnsi="宋体"/>
          <w:bCs/>
          <w:color w:val="auto"/>
          <w:kern w:val="0"/>
          <w:szCs w:val="28"/>
          <w:highlight w:val="none"/>
          <w:lang w:val="zh-CN"/>
        </w:rPr>
        <w:t xml:space="preserve">电话：       </w:t>
      </w:r>
      <w:r>
        <w:rPr>
          <w:rFonts w:hint="eastAsia" w:hAnsi="宋体"/>
          <w:bCs/>
          <w:color w:val="auto"/>
          <w:kern w:val="0"/>
          <w:szCs w:val="28"/>
          <w:highlight w:val="none"/>
          <w:lang w:val="en-US" w:eastAsia="zh-CN"/>
        </w:rPr>
        <w:t xml:space="preserve">               </w:t>
      </w:r>
      <w:r>
        <w:rPr>
          <w:rFonts w:hAnsi="宋体"/>
          <w:bCs/>
          <w:color w:val="auto"/>
          <w:kern w:val="0"/>
          <w:szCs w:val="28"/>
          <w:highlight w:val="none"/>
          <w:lang w:val="zh-CN"/>
        </w:rPr>
        <w:t>电话：</w:t>
      </w:r>
    </w:p>
    <w:p>
      <w:pPr>
        <w:tabs>
          <w:tab w:val="left" w:pos="9000"/>
        </w:tabs>
        <w:spacing w:line="276" w:lineRule="auto"/>
        <w:jc w:val="center"/>
        <w:rPr>
          <w:rFonts w:ascii="方正仿宋_GBK" w:eastAsia="方正仿宋_GBK"/>
          <w:color w:val="auto"/>
          <w:sz w:val="21"/>
          <w:szCs w:val="21"/>
          <w:highlight w:val="none"/>
        </w:rPr>
        <w:sectPr>
          <w:pgSz w:w="11907" w:h="16840"/>
          <w:pgMar w:top="1134" w:right="1191" w:bottom="1134" w:left="1304" w:header="964" w:footer="992" w:gutter="0"/>
          <w:pgNumType w:fmt="numberInDash"/>
          <w:cols w:space="720" w:num="1"/>
          <w:docGrid w:linePitch="312" w:charSpace="0"/>
        </w:sectPr>
      </w:pPr>
    </w:p>
    <w:p>
      <w:pPr>
        <w:pStyle w:val="3"/>
        <w:spacing w:before="0" w:after="0" w:line="312" w:lineRule="auto"/>
        <w:jc w:val="center"/>
        <w:rPr>
          <w:rFonts w:ascii="宋体" w:hAnsi="宋体" w:eastAsia="宋体" w:cs="宋体"/>
          <w:bCs/>
          <w:color w:val="auto"/>
          <w:sz w:val="36"/>
          <w:szCs w:val="30"/>
          <w:highlight w:val="none"/>
        </w:rPr>
      </w:pPr>
      <w:r>
        <w:rPr>
          <w:rFonts w:hint="eastAsia" w:ascii="宋体" w:hAnsi="宋体" w:eastAsia="宋体" w:cs="宋体"/>
          <w:bCs/>
          <w:color w:val="auto"/>
          <w:sz w:val="36"/>
          <w:szCs w:val="30"/>
          <w:highlight w:val="none"/>
        </w:rPr>
        <w:t xml:space="preserve">第七篇  </w:t>
      </w:r>
      <w:bookmarkEnd w:id="127"/>
      <w:r>
        <w:rPr>
          <w:rFonts w:hint="eastAsia" w:ascii="宋体" w:hAnsi="宋体" w:eastAsia="宋体" w:cs="宋体"/>
          <w:bCs/>
          <w:color w:val="auto"/>
          <w:sz w:val="36"/>
          <w:szCs w:val="30"/>
          <w:highlight w:val="none"/>
        </w:rPr>
        <w:t>响应文件编制要求</w:t>
      </w:r>
      <w:bookmarkEnd w:id="128"/>
      <w:bookmarkEnd w:id="129"/>
      <w:bookmarkEnd w:id="130"/>
    </w:p>
    <w:p>
      <w:pPr>
        <w:pStyle w:val="4"/>
        <w:spacing w:before="0" w:after="0" w:line="312" w:lineRule="auto"/>
        <w:rPr>
          <w:rFonts w:hint="eastAsia" w:ascii="宋体" w:hAnsi="宋体" w:cs="宋体"/>
          <w:b/>
          <w:bCs/>
          <w:color w:val="auto"/>
          <w:sz w:val="24"/>
          <w:szCs w:val="24"/>
          <w:highlight w:val="none"/>
        </w:rPr>
      </w:pPr>
      <w:bookmarkStart w:id="132" w:name="_Toc313888360"/>
      <w:bookmarkStart w:id="133" w:name="_Toc342913419"/>
      <w:bookmarkStart w:id="134" w:name="_Toc313008356"/>
      <w:bookmarkStart w:id="135" w:name="_Toc3226"/>
      <w:bookmarkStart w:id="136" w:name="_Toc15487"/>
      <w:bookmarkStart w:id="137" w:name="_Toc15071"/>
      <w:bookmarkStart w:id="138" w:name="_Toc283382454"/>
      <w:bookmarkStart w:id="139" w:name="_Toc12789073"/>
      <w:r>
        <w:rPr>
          <w:rFonts w:hint="eastAsia" w:ascii="宋体" w:hAnsi="宋体" w:cs="宋体"/>
          <w:b/>
          <w:bCs/>
          <w:color w:val="auto"/>
          <w:sz w:val="24"/>
          <w:szCs w:val="24"/>
          <w:highlight w:val="none"/>
        </w:rPr>
        <w:t>一、经济部分</w:t>
      </w:r>
    </w:p>
    <w:p>
      <w:pPr>
        <w:pStyle w:val="4"/>
        <w:spacing w:before="0" w:after="0" w:line="312" w:lineRule="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（一）竞争性磋商报价函</w:t>
      </w:r>
    </w:p>
    <w:p>
      <w:pPr>
        <w:pStyle w:val="4"/>
        <w:spacing w:before="0" w:after="0" w:line="312"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二、服务部分</w:t>
      </w:r>
    </w:p>
    <w:p>
      <w:pPr>
        <w:pStyle w:val="4"/>
        <w:spacing w:before="0" w:after="0" w:line="312" w:lineRule="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（一）服务响应偏离表</w:t>
      </w:r>
    </w:p>
    <w:p>
      <w:pPr>
        <w:pStyle w:val="4"/>
        <w:spacing w:before="0" w:after="0" w:line="312" w:lineRule="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（二）其他资料（格式自定）</w:t>
      </w:r>
    </w:p>
    <w:p>
      <w:pPr>
        <w:pStyle w:val="4"/>
        <w:spacing w:before="0" w:after="0" w:line="312"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三、商务部分</w:t>
      </w:r>
    </w:p>
    <w:p>
      <w:pPr>
        <w:pStyle w:val="4"/>
        <w:spacing w:before="0" w:after="0" w:line="312" w:lineRule="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（一）商务响应偏离表</w:t>
      </w:r>
    </w:p>
    <w:p>
      <w:pPr>
        <w:pStyle w:val="4"/>
        <w:spacing w:before="0" w:after="0" w:line="312" w:lineRule="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（二）其它优惠服务承诺（格式自定）</w:t>
      </w:r>
    </w:p>
    <w:p>
      <w:pPr>
        <w:pStyle w:val="4"/>
        <w:spacing w:before="0" w:after="0" w:line="312"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四、资格条件及其他</w:t>
      </w:r>
    </w:p>
    <w:p>
      <w:pPr>
        <w:pStyle w:val="4"/>
        <w:spacing w:before="0" w:after="0" w:line="312" w:lineRule="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（一）法人营业执照（副本）或事业单位法人证书（副本）或个体工商户营业执照或有效的自然人身份证明或社会团体法人登记证书复印件</w:t>
      </w:r>
    </w:p>
    <w:p>
      <w:pPr>
        <w:pStyle w:val="4"/>
        <w:spacing w:before="0" w:after="0" w:line="312" w:lineRule="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（二）法定代表人身份证明书（格式）</w:t>
      </w:r>
    </w:p>
    <w:p>
      <w:pPr>
        <w:pStyle w:val="4"/>
        <w:spacing w:before="0" w:after="0" w:line="312" w:lineRule="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（三）法定代表人授权委托书（格式）</w:t>
      </w:r>
    </w:p>
    <w:p>
      <w:pPr>
        <w:pStyle w:val="4"/>
        <w:spacing w:before="0" w:after="0" w:line="312" w:lineRule="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（四）基本资格条件承诺函（格式）</w:t>
      </w:r>
    </w:p>
    <w:p>
      <w:pPr>
        <w:pStyle w:val="4"/>
        <w:spacing w:before="0" w:after="0" w:line="312" w:lineRule="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（五）特定资格条件证书或证明文件</w:t>
      </w:r>
    </w:p>
    <w:p>
      <w:pPr>
        <w:pStyle w:val="4"/>
        <w:spacing w:before="0" w:after="0" w:line="312"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五、其他资料</w:t>
      </w:r>
    </w:p>
    <w:p>
      <w:pPr>
        <w:pStyle w:val="4"/>
        <w:spacing w:before="0" w:after="0" w:line="312" w:lineRule="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（一）中小企业声明函、监狱企业证明文件、残疾人福利性单位声明函</w:t>
      </w:r>
    </w:p>
    <w:p>
      <w:pPr>
        <w:pStyle w:val="4"/>
        <w:spacing w:before="0" w:after="0" w:line="312" w:lineRule="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（二）联合体协议或分包意向协议（格式自定）</w:t>
      </w:r>
    </w:p>
    <w:p>
      <w:pPr>
        <w:pStyle w:val="4"/>
        <w:spacing w:before="0" w:after="0" w:line="312" w:lineRule="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（三）其他与项目有关的资料</w:t>
      </w:r>
    </w:p>
    <w:p>
      <w:pPr>
        <w:pStyle w:val="4"/>
        <w:spacing w:before="0" w:after="0" w:line="312" w:lineRule="auto"/>
        <w:rPr>
          <w:rFonts w:hint="eastAsia" w:ascii="宋体" w:hAnsi="宋体" w:cs="宋体"/>
          <w:color w:val="auto"/>
          <w:sz w:val="24"/>
          <w:szCs w:val="24"/>
          <w:highlight w:val="none"/>
        </w:rPr>
      </w:pPr>
    </w:p>
    <w:p>
      <w:pPr>
        <w:pStyle w:val="4"/>
        <w:spacing w:before="0" w:after="0" w:line="312" w:lineRule="auto"/>
        <w:rPr>
          <w:rFonts w:hint="eastAsia" w:ascii="宋体" w:hAnsi="宋体" w:cs="宋体"/>
          <w:color w:val="auto"/>
          <w:sz w:val="24"/>
          <w:szCs w:val="24"/>
          <w:highlight w:val="none"/>
        </w:rPr>
      </w:pPr>
    </w:p>
    <w:p>
      <w:pPr>
        <w:pStyle w:val="4"/>
        <w:spacing w:before="0" w:after="0" w:line="312" w:lineRule="auto"/>
        <w:rPr>
          <w:rFonts w:hint="eastAsia" w:ascii="宋体" w:hAnsi="宋体" w:cs="宋体"/>
          <w:color w:val="auto"/>
          <w:sz w:val="24"/>
          <w:szCs w:val="24"/>
          <w:highlight w:val="none"/>
        </w:rPr>
      </w:pPr>
    </w:p>
    <w:p>
      <w:pPr>
        <w:pStyle w:val="4"/>
        <w:spacing w:before="0" w:after="0" w:line="312" w:lineRule="auto"/>
        <w:rPr>
          <w:rFonts w:hint="eastAsia" w:ascii="宋体" w:hAnsi="宋体" w:cs="宋体"/>
          <w:color w:val="auto"/>
          <w:sz w:val="24"/>
          <w:szCs w:val="24"/>
          <w:highlight w:val="none"/>
        </w:rPr>
      </w:pPr>
    </w:p>
    <w:p>
      <w:pPr>
        <w:pStyle w:val="4"/>
        <w:spacing w:before="0" w:after="0" w:line="312" w:lineRule="auto"/>
        <w:rPr>
          <w:rFonts w:hint="eastAsia" w:ascii="宋体" w:hAnsi="宋体" w:cs="宋体"/>
          <w:color w:val="auto"/>
          <w:sz w:val="24"/>
          <w:szCs w:val="24"/>
          <w:highlight w:val="none"/>
        </w:rPr>
      </w:pPr>
    </w:p>
    <w:p>
      <w:pPr>
        <w:pStyle w:val="4"/>
        <w:spacing w:before="0" w:after="0" w:line="312" w:lineRule="auto"/>
        <w:rPr>
          <w:rFonts w:hint="eastAsia" w:ascii="宋体" w:hAnsi="宋体" w:cs="宋体"/>
          <w:color w:val="auto"/>
          <w:sz w:val="24"/>
          <w:szCs w:val="24"/>
          <w:highlight w:val="none"/>
        </w:rPr>
      </w:pPr>
    </w:p>
    <w:p>
      <w:pPr>
        <w:pStyle w:val="4"/>
        <w:spacing w:before="0" w:after="0" w:line="312" w:lineRule="auto"/>
        <w:rPr>
          <w:rFonts w:hint="eastAsia" w:ascii="宋体" w:hAnsi="宋体" w:cs="宋体"/>
          <w:color w:val="auto"/>
          <w:sz w:val="24"/>
          <w:szCs w:val="24"/>
          <w:highlight w:val="none"/>
        </w:rPr>
      </w:pPr>
    </w:p>
    <w:p>
      <w:pPr>
        <w:pStyle w:val="4"/>
        <w:spacing w:before="0" w:after="0" w:line="312" w:lineRule="auto"/>
        <w:rPr>
          <w:rFonts w:hint="eastAsia" w:ascii="宋体" w:hAnsi="宋体" w:cs="宋体"/>
          <w:color w:val="auto"/>
          <w:sz w:val="24"/>
          <w:szCs w:val="24"/>
          <w:highlight w:val="none"/>
        </w:rPr>
      </w:pPr>
    </w:p>
    <w:p>
      <w:pPr>
        <w:pStyle w:val="4"/>
        <w:spacing w:before="0" w:after="0" w:line="312" w:lineRule="auto"/>
        <w:rPr>
          <w:rFonts w:hint="eastAsia" w:ascii="宋体" w:hAnsi="宋体" w:cs="宋体"/>
          <w:color w:val="auto"/>
          <w:sz w:val="24"/>
          <w:szCs w:val="24"/>
          <w:highlight w:val="none"/>
        </w:rPr>
      </w:pPr>
    </w:p>
    <w:p>
      <w:pPr>
        <w:pStyle w:val="4"/>
        <w:spacing w:before="0" w:after="0" w:line="312" w:lineRule="auto"/>
        <w:rPr>
          <w:rFonts w:hint="eastAsia" w:ascii="宋体" w:hAnsi="宋体" w:cs="宋体"/>
          <w:color w:val="auto"/>
          <w:sz w:val="24"/>
          <w:szCs w:val="24"/>
          <w:highlight w:val="none"/>
        </w:rPr>
      </w:pPr>
    </w:p>
    <w:p>
      <w:pPr>
        <w:pStyle w:val="4"/>
        <w:spacing w:before="0" w:after="0" w:line="312" w:lineRule="auto"/>
        <w:rPr>
          <w:rFonts w:hint="eastAsia" w:ascii="宋体" w:hAnsi="宋体" w:cs="宋体"/>
          <w:color w:val="auto"/>
          <w:sz w:val="24"/>
          <w:szCs w:val="24"/>
          <w:highlight w:val="none"/>
        </w:rPr>
      </w:pPr>
    </w:p>
    <w:p>
      <w:pPr>
        <w:pStyle w:val="4"/>
        <w:spacing w:before="0" w:after="0" w:line="312" w:lineRule="auto"/>
        <w:rPr>
          <w:rFonts w:hint="eastAsia" w:ascii="宋体" w:hAnsi="宋体" w:cs="宋体"/>
          <w:color w:val="auto"/>
          <w:sz w:val="24"/>
          <w:szCs w:val="24"/>
          <w:highlight w:val="none"/>
        </w:rPr>
      </w:pPr>
    </w:p>
    <w:p>
      <w:pPr>
        <w:pStyle w:val="4"/>
        <w:spacing w:before="0" w:after="0" w:line="312" w:lineRule="auto"/>
        <w:rPr>
          <w:rFonts w:hint="eastAsia" w:ascii="宋体" w:hAnsi="宋体" w:cs="宋体"/>
          <w:color w:val="auto"/>
          <w:sz w:val="24"/>
          <w:szCs w:val="24"/>
          <w:highlight w:val="none"/>
        </w:rPr>
      </w:pPr>
    </w:p>
    <w:p>
      <w:pPr>
        <w:pStyle w:val="4"/>
        <w:spacing w:before="0" w:after="0" w:line="312" w:lineRule="auto"/>
        <w:rPr>
          <w:rFonts w:hint="eastAsia" w:ascii="宋体" w:hAnsi="宋体" w:cs="宋体"/>
          <w:color w:val="auto"/>
          <w:sz w:val="24"/>
          <w:szCs w:val="24"/>
          <w:highlight w:val="none"/>
        </w:rPr>
      </w:pPr>
    </w:p>
    <w:p>
      <w:pPr>
        <w:pStyle w:val="4"/>
        <w:spacing w:before="0" w:after="0" w:line="312" w:lineRule="auto"/>
        <w:rPr>
          <w:rFonts w:hint="eastAsia" w:ascii="宋体" w:hAnsi="宋体" w:cs="宋体"/>
          <w:color w:val="auto"/>
          <w:sz w:val="24"/>
          <w:szCs w:val="24"/>
          <w:highlight w:val="none"/>
        </w:rPr>
      </w:pPr>
    </w:p>
    <w:p>
      <w:pPr>
        <w:pStyle w:val="4"/>
        <w:spacing w:before="0" w:after="0" w:line="312" w:lineRule="auto"/>
        <w:rPr>
          <w:rFonts w:ascii="宋体" w:hAnsi="宋体" w:cs="宋体"/>
          <w:color w:val="auto"/>
          <w:sz w:val="24"/>
          <w:szCs w:val="24"/>
          <w:highlight w:val="none"/>
        </w:rPr>
      </w:pPr>
      <w:r>
        <w:rPr>
          <w:rFonts w:hint="eastAsia" w:ascii="宋体" w:hAnsi="宋体" w:cs="宋体"/>
          <w:color w:val="auto"/>
          <w:sz w:val="24"/>
          <w:szCs w:val="24"/>
          <w:highlight w:val="none"/>
        </w:rPr>
        <w:t>一、经济部分</w:t>
      </w:r>
      <w:bookmarkEnd w:id="132"/>
      <w:bookmarkEnd w:id="133"/>
      <w:bookmarkEnd w:id="134"/>
      <w:bookmarkEnd w:id="135"/>
      <w:bookmarkEnd w:id="136"/>
      <w:bookmarkEnd w:id="137"/>
    </w:p>
    <w:bookmarkEnd w:id="138"/>
    <w:bookmarkEnd w:id="139"/>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（一）报价函</w:t>
      </w:r>
    </w:p>
    <w:p>
      <w:pPr>
        <w:tabs>
          <w:tab w:val="left" w:pos="6300"/>
        </w:tabs>
        <w:snapToGrid w:val="0"/>
        <w:spacing w:line="360" w:lineRule="auto"/>
        <w:jc w:val="center"/>
        <w:outlineLvl w:val="0"/>
        <w:rPr>
          <w:rFonts w:ascii="宋体" w:hAnsi="宋体" w:cs="宋体"/>
          <w:b/>
          <w:color w:val="auto"/>
          <w:szCs w:val="28"/>
          <w:highlight w:val="none"/>
        </w:rPr>
      </w:pPr>
      <w:r>
        <w:rPr>
          <w:rFonts w:hint="eastAsia" w:ascii="宋体" w:hAnsi="宋体" w:cs="宋体"/>
          <w:b/>
          <w:color w:val="auto"/>
          <w:szCs w:val="28"/>
          <w:highlight w:val="none"/>
        </w:rPr>
        <w:t>报价函</w:t>
      </w:r>
    </w:p>
    <w:p>
      <w:pPr>
        <w:tabs>
          <w:tab w:val="left" w:pos="6300"/>
        </w:tabs>
        <w:snapToGrid w:val="0"/>
        <w:spacing w:line="360" w:lineRule="auto"/>
        <w:rPr>
          <w:rFonts w:ascii="宋体" w:hAnsi="宋体" w:cs="宋体"/>
          <w:color w:val="auto"/>
          <w:sz w:val="24"/>
          <w:szCs w:val="24"/>
          <w:highlight w:val="none"/>
        </w:rPr>
      </w:pPr>
      <w:r>
        <w:rPr>
          <w:rFonts w:hint="eastAsia" w:ascii="宋体" w:hAnsi="宋体" w:cs="宋体"/>
          <w:color w:val="auto"/>
          <w:sz w:val="24"/>
          <w:szCs w:val="24"/>
          <w:highlight w:val="none"/>
          <w:u w:val="single"/>
        </w:rPr>
        <w:t>（采购人名称）</w:t>
      </w:r>
      <w:r>
        <w:rPr>
          <w:rFonts w:hint="eastAsia" w:ascii="宋体" w:hAnsi="宋体" w:cs="宋体"/>
          <w:color w:val="auto"/>
          <w:sz w:val="24"/>
          <w:szCs w:val="24"/>
          <w:highlight w:val="none"/>
        </w:rPr>
        <w:t>：</w:t>
      </w:r>
    </w:p>
    <w:p>
      <w:pPr>
        <w:tabs>
          <w:tab w:val="left" w:pos="6300"/>
        </w:tabs>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我方收到____________________________（项目名称）的</w:t>
      </w:r>
      <w:r>
        <w:rPr>
          <w:rFonts w:hint="eastAsia" w:ascii="宋体" w:hAnsi="宋体" w:cs="宋体"/>
          <w:color w:val="auto"/>
          <w:sz w:val="24"/>
          <w:szCs w:val="24"/>
          <w:highlight w:val="none"/>
          <w:lang w:eastAsia="zh-CN"/>
        </w:rPr>
        <w:t>磋商</w:t>
      </w:r>
      <w:r>
        <w:rPr>
          <w:rFonts w:ascii="宋体" w:hAnsi="宋体" w:cs="宋体"/>
          <w:color w:val="auto"/>
          <w:sz w:val="24"/>
          <w:szCs w:val="24"/>
          <w:highlight w:val="none"/>
        </w:rPr>
        <w:t>采购</w:t>
      </w:r>
      <w:r>
        <w:rPr>
          <w:rFonts w:hint="eastAsia" w:ascii="宋体" w:hAnsi="宋体" w:cs="宋体"/>
          <w:color w:val="auto"/>
          <w:sz w:val="24"/>
          <w:szCs w:val="24"/>
          <w:highlight w:val="none"/>
        </w:rPr>
        <w:t>文件，经详细研究，决定参加该项目的</w:t>
      </w:r>
      <w:r>
        <w:rPr>
          <w:rFonts w:hint="eastAsia" w:ascii="宋体" w:hAnsi="宋体" w:cs="宋体"/>
          <w:color w:val="auto"/>
          <w:sz w:val="24"/>
          <w:szCs w:val="24"/>
          <w:highlight w:val="none"/>
          <w:lang w:eastAsia="zh-CN"/>
        </w:rPr>
        <w:t>磋商</w:t>
      </w:r>
      <w:r>
        <w:rPr>
          <w:rFonts w:hint="eastAsia" w:ascii="宋体" w:hAnsi="宋体" w:cs="宋体"/>
          <w:color w:val="auto"/>
          <w:sz w:val="24"/>
          <w:szCs w:val="24"/>
          <w:highlight w:val="none"/>
        </w:rPr>
        <w:t>。</w:t>
      </w:r>
    </w:p>
    <w:p>
      <w:pPr>
        <w:tabs>
          <w:tab w:val="left" w:pos="6300"/>
        </w:tabs>
        <w:snapToGrid w:val="0"/>
        <w:spacing w:line="480" w:lineRule="exact"/>
        <w:ind w:firstLine="480" w:firstLineChars="20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愿意按照竞争性磋商文件中的一切要求，提供本项目的技术服务，初始报价为折扣率大写：</w:t>
      </w:r>
      <w:r>
        <w:rPr>
          <w:rFonts w:hint="eastAsia" w:ascii="方正仿宋_GBK" w:hAnsi="宋体" w:eastAsia="方正仿宋_GBK"/>
          <w:color w:val="auto"/>
          <w:sz w:val="24"/>
          <w:szCs w:val="24"/>
          <w:highlight w:val="none"/>
          <w:u w:val="single"/>
        </w:rPr>
        <w:t xml:space="preserve">      </w:t>
      </w:r>
      <w:r>
        <w:rPr>
          <w:rFonts w:hint="eastAsia" w:ascii="宋体" w:hAnsi="宋体" w:cs="宋体"/>
          <w:color w:val="auto"/>
          <w:sz w:val="24"/>
          <w:szCs w:val="24"/>
          <w:highlight w:val="none"/>
          <w:lang w:val="en-US" w:eastAsia="zh-CN"/>
        </w:rPr>
        <w:t>；折扣率小写：</w:t>
      </w:r>
      <w:r>
        <w:rPr>
          <w:rFonts w:hint="eastAsia" w:ascii="方正仿宋_GBK" w:hAnsi="宋体" w:eastAsia="方正仿宋_GBK"/>
          <w:color w:val="auto"/>
          <w:sz w:val="24"/>
          <w:szCs w:val="24"/>
          <w:highlight w:val="none"/>
          <w:u w:val="single"/>
        </w:rPr>
        <w:t xml:space="preserve">    </w:t>
      </w:r>
      <w:r>
        <w:rPr>
          <w:rFonts w:hint="eastAsia" w:ascii="宋体" w:hAnsi="宋体" w:cs="宋体"/>
          <w:color w:val="auto"/>
          <w:sz w:val="24"/>
          <w:szCs w:val="24"/>
          <w:highlight w:val="none"/>
          <w:lang w:val="en-US" w:eastAsia="zh-CN"/>
        </w:rPr>
        <w:t>%。以我公司最后报价为准。</w:t>
      </w:r>
    </w:p>
    <w:p>
      <w:pPr>
        <w:tabs>
          <w:tab w:val="left" w:pos="6300"/>
        </w:tabs>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2、我方现提交的响应文件为：响应文件正本份，副本份。</w:t>
      </w:r>
    </w:p>
    <w:p>
      <w:pPr>
        <w:tabs>
          <w:tab w:val="left" w:pos="6300"/>
        </w:tabs>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3、我方承诺：本次</w:t>
      </w:r>
      <w:r>
        <w:rPr>
          <w:rFonts w:hint="eastAsia" w:ascii="宋体" w:hAnsi="宋体" w:cs="宋体"/>
          <w:color w:val="auto"/>
          <w:sz w:val="24"/>
          <w:szCs w:val="24"/>
          <w:highlight w:val="none"/>
          <w:lang w:eastAsia="zh-CN"/>
        </w:rPr>
        <w:t>磋商</w:t>
      </w:r>
      <w:r>
        <w:rPr>
          <w:rFonts w:hint="eastAsia" w:ascii="宋体" w:hAnsi="宋体" w:cs="宋体"/>
          <w:color w:val="auto"/>
          <w:sz w:val="24"/>
          <w:szCs w:val="24"/>
          <w:highlight w:val="none"/>
        </w:rPr>
        <w:t>的有效期为90天。</w:t>
      </w:r>
    </w:p>
    <w:p>
      <w:pPr>
        <w:tabs>
          <w:tab w:val="left" w:pos="6300"/>
        </w:tabs>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4、我方完全理解和接受贵方</w:t>
      </w:r>
      <w:r>
        <w:rPr>
          <w:rFonts w:hint="eastAsia" w:ascii="宋体" w:hAnsi="宋体" w:cs="宋体"/>
          <w:color w:val="auto"/>
          <w:sz w:val="24"/>
          <w:szCs w:val="24"/>
          <w:highlight w:val="none"/>
          <w:lang w:eastAsia="zh-CN"/>
        </w:rPr>
        <w:t>磋商</w:t>
      </w:r>
      <w:r>
        <w:rPr>
          <w:rFonts w:ascii="宋体" w:hAnsi="宋体" w:cs="宋体"/>
          <w:color w:val="auto"/>
          <w:sz w:val="24"/>
          <w:szCs w:val="24"/>
          <w:highlight w:val="none"/>
        </w:rPr>
        <w:t>采购</w:t>
      </w:r>
      <w:r>
        <w:rPr>
          <w:rFonts w:hint="eastAsia" w:ascii="宋体" w:hAnsi="宋体" w:cs="宋体"/>
          <w:color w:val="auto"/>
          <w:sz w:val="24"/>
          <w:szCs w:val="24"/>
          <w:highlight w:val="none"/>
        </w:rPr>
        <w:t>文件的一切规定和要求及评审办法。</w:t>
      </w:r>
    </w:p>
    <w:p>
      <w:pPr>
        <w:tabs>
          <w:tab w:val="left" w:pos="6300"/>
        </w:tabs>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5、在整个</w:t>
      </w:r>
      <w:r>
        <w:rPr>
          <w:rFonts w:hint="eastAsia" w:ascii="宋体" w:hAnsi="宋体" w:cs="宋体"/>
          <w:color w:val="auto"/>
          <w:sz w:val="24"/>
          <w:szCs w:val="24"/>
          <w:highlight w:val="none"/>
          <w:lang w:eastAsia="zh-CN"/>
        </w:rPr>
        <w:t>磋商</w:t>
      </w:r>
      <w:r>
        <w:rPr>
          <w:rFonts w:ascii="宋体" w:hAnsi="宋体" w:cs="宋体"/>
          <w:color w:val="auto"/>
          <w:sz w:val="24"/>
          <w:szCs w:val="24"/>
          <w:highlight w:val="none"/>
        </w:rPr>
        <w:t>采购</w:t>
      </w:r>
      <w:r>
        <w:rPr>
          <w:rFonts w:hint="eastAsia" w:ascii="宋体" w:hAnsi="宋体" w:cs="宋体"/>
          <w:color w:val="auto"/>
          <w:sz w:val="24"/>
          <w:szCs w:val="24"/>
          <w:highlight w:val="none"/>
        </w:rPr>
        <w:t>过程中，我方若有违规行为，接受按照《中华人民共和国政府采购法》及其实施条例等规定给予惩罚。</w:t>
      </w:r>
    </w:p>
    <w:p>
      <w:pPr>
        <w:tabs>
          <w:tab w:val="left" w:pos="6300"/>
        </w:tabs>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6、我方若成为成交供应商，将按照最终</w:t>
      </w:r>
      <w:r>
        <w:rPr>
          <w:rFonts w:hint="eastAsia" w:ascii="宋体" w:hAnsi="宋体" w:cs="宋体"/>
          <w:color w:val="auto"/>
          <w:sz w:val="24"/>
          <w:szCs w:val="24"/>
          <w:highlight w:val="none"/>
          <w:lang w:eastAsia="zh-CN"/>
        </w:rPr>
        <w:t>磋商</w:t>
      </w:r>
      <w:r>
        <w:rPr>
          <w:rFonts w:hint="eastAsia" w:ascii="宋体" w:hAnsi="宋体" w:cs="宋体"/>
          <w:color w:val="auto"/>
          <w:sz w:val="24"/>
          <w:szCs w:val="24"/>
          <w:highlight w:val="none"/>
        </w:rPr>
        <w:t>结果签订合同，并且严格履行合同义务。本承诺函将成为合同不可分割的一部分，与合同具有同等的法律效力。</w:t>
      </w:r>
    </w:p>
    <w:p>
      <w:pPr>
        <w:tabs>
          <w:tab w:val="left" w:pos="6300"/>
        </w:tabs>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w:t>
      </w:r>
      <w:r>
        <w:rPr>
          <w:rFonts w:hint="eastAsia" w:ascii="宋体" w:hAnsi="宋体" w:cs="宋体"/>
          <w:color w:val="auto"/>
          <w:sz w:val="24"/>
          <w:szCs w:val="28"/>
          <w:highlight w:val="none"/>
        </w:rPr>
        <w:t>我方理解，最低报价不是成交的唯一条件。</w:t>
      </w:r>
    </w:p>
    <w:p>
      <w:pPr>
        <w:tabs>
          <w:tab w:val="left" w:pos="6300"/>
        </w:tabs>
        <w:snapToGrid w:val="0"/>
        <w:spacing w:line="360" w:lineRule="auto"/>
        <w:ind w:firstLine="570"/>
        <w:rPr>
          <w:rFonts w:ascii="宋体" w:hAnsi="宋体" w:cs="宋体"/>
          <w:color w:val="auto"/>
          <w:sz w:val="24"/>
          <w:szCs w:val="24"/>
          <w:highlight w:val="none"/>
        </w:rPr>
      </w:pPr>
    </w:p>
    <w:p>
      <w:pPr>
        <w:tabs>
          <w:tab w:val="left" w:pos="6300"/>
        </w:tabs>
        <w:snapToGrid w:val="0"/>
        <w:spacing w:line="360" w:lineRule="auto"/>
        <w:ind w:firstLine="570"/>
        <w:rPr>
          <w:rFonts w:ascii="宋体" w:hAnsi="宋体" w:cs="宋体"/>
          <w:color w:val="auto"/>
          <w:sz w:val="24"/>
          <w:szCs w:val="24"/>
          <w:highlight w:val="none"/>
        </w:rPr>
      </w:pPr>
    </w:p>
    <w:p>
      <w:pPr>
        <w:tabs>
          <w:tab w:val="left" w:pos="6300"/>
        </w:tabs>
        <w:snapToGrid w:val="0"/>
        <w:spacing w:line="360" w:lineRule="auto"/>
        <w:ind w:firstLine="570"/>
        <w:rPr>
          <w:rFonts w:ascii="宋体" w:hAnsi="宋体" w:cs="宋体"/>
          <w:color w:val="auto"/>
          <w:sz w:val="24"/>
          <w:szCs w:val="24"/>
          <w:highlight w:val="none"/>
        </w:rPr>
      </w:pPr>
    </w:p>
    <w:p>
      <w:pPr>
        <w:tabs>
          <w:tab w:val="left" w:pos="6300"/>
        </w:tabs>
        <w:snapToGrid w:val="0"/>
        <w:spacing w:line="360" w:lineRule="auto"/>
        <w:ind w:firstLine="570"/>
        <w:rPr>
          <w:rFonts w:ascii="宋体" w:hAnsi="宋体" w:cs="宋体"/>
          <w:color w:val="auto"/>
          <w:sz w:val="24"/>
          <w:szCs w:val="24"/>
          <w:highlight w:val="none"/>
        </w:rPr>
      </w:pPr>
    </w:p>
    <w:p>
      <w:pPr>
        <w:tabs>
          <w:tab w:val="left" w:pos="6300"/>
        </w:tabs>
        <w:snapToGrid w:val="0"/>
        <w:spacing w:line="360"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供应商（公章）：</w:t>
      </w:r>
    </w:p>
    <w:p>
      <w:pPr>
        <w:snapToGrid w:val="0"/>
        <w:spacing w:line="360" w:lineRule="auto"/>
        <w:ind w:firstLine="480" w:firstLineChars="200"/>
        <w:rPr>
          <w:rFonts w:ascii="宋体" w:hAnsi="宋体" w:cs="宋体"/>
          <w:color w:val="auto"/>
          <w:sz w:val="24"/>
          <w:szCs w:val="24"/>
          <w:highlight w:val="none"/>
        </w:rPr>
        <w:sectPr>
          <w:footerReference r:id="rId13" w:type="default"/>
          <w:pgSz w:w="11907" w:h="16840"/>
          <w:pgMar w:top="1134" w:right="1191" w:bottom="1134" w:left="1304" w:header="851" w:footer="992" w:gutter="0"/>
          <w:pgNumType w:fmt="numberInDash"/>
          <w:cols w:space="720" w:num="1"/>
          <w:docGrid w:linePitch="380" w:charSpace="-5735"/>
        </w:sectPr>
      </w:pPr>
      <w:r>
        <w:rPr>
          <w:rFonts w:hint="eastAsia" w:ascii="宋体" w:hAnsi="宋体" w:cs="宋体"/>
          <w:color w:val="auto"/>
          <w:sz w:val="24"/>
          <w:szCs w:val="24"/>
          <w:highlight w:val="none"/>
        </w:rPr>
        <w:t xml:space="preserve">                                                  年   月   日</w:t>
      </w:r>
    </w:p>
    <w:p>
      <w:pPr>
        <w:pStyle w:val="4"/>
        <w:spacing w:before="0" w:after="0" w:line="312" w:lineRule="auto"/>
        <w:rPr>
          <w:rFonts w:ascii="宋体" w:hAnsi="宋体" w:cs="宋体"/>
          <w:color w:val="auto"/>
          <w:sz w:val="24"/>
          <w:szCs w:val="24"/>
          <w:highlight w:val="none"/>
        </w:rPr>
      </w:pPr>
      <w:bookmarkStart w:id="140" w:name="_Toc9573"/>
      <w:bookmarkStart w:id="141" w:name="_Toc24044"/>
      <w:bookmarkStart w:id="142" w:name="_Toc5448"/>
      <w:bookmarkStart w:id="143" w:name="_Toc313888361"/>
      <w:bookmarkStart w:id="144" w:name="_Toc313008357"/>
      <w:bookmarkStart w:id="145" w:name="_Toc342913420"/>
      <w:r>
        <w:rPr>
          <w:rFonts w:hint="eastAsia" w:ascii="宋体" w:hAnsi="宋体" w:cs="宋体"/>
          <w:color w:val="auto"/>
          <w:sz w:val="24"/>
          <w:szCs w:val="24"/>
          <w:highlight w:val="none"/>
        </w:rPr>
        <w:t>二、服务部分</w:t>
      </w:r>
      <w:bookmarkEnd w:id="140"/>
      <w:bookmarkEnd w:id="141"/>
      <w:bookmarkEnd w:id="142"/>
      <w:bookmarkEnd w:id="143"/>
      <w:bookmarkEnd w:id="144"/>
      <w:bookmarkEnd w:id="145"/>
    </w:p>
    <w:p>
      <w:pPr>
        <w:tabs>
          <w:tab w:val="left" w:pos="6300"/>
        </w:tabs>
        <w:snapToGrid w:val="0"/>
        <w:spacing w:line="312" w:lineRule="auto"/>
        <w:ind w:firstLine="570"/>
        <w:rPr>
          <w:rFonts w:ascii="宋体" w:hAnsi="宋体" w:cs="宋体"/>
          <w:color w:val="auto"/>
          <w:szCs w:val="24"/>
          <w:highlight w:val="none"/>
        </w:rPr>
      </w:pPr>
      <w:r>
        <w:rPr>
          <w:rFonts w:hint="eastAsia" w:ascii="宋体" w:hAnsi="宋体" w:cs="宋体"/>
          <w:color w:val="auto"/>
          <w:sz w:val="24"/>
          <w:szCs w:val="24"/>
          <w:highlight w:val="none"/>
        </w:rPr>
        <w:t>（一）服务响应偏离表</w:t>
      </w:r>
    </w:p>
    <w:p>
      <w:pPr>
        <w:pStyle w:val="7"/>
        <w:tabs>
          <w:tab w:val="left" w:pos="6300"/>
        </w:tabs>
        <w:snapToGrid w:val="0"/>
        <w:spacing w:line="312" w:lineRule="auto"/>
        <w:ind w:firstLine="480" w:firstLineChars="200"/>
        <w:outlineLvl w:val="0"/>
        <w:rPr>
          <w:rFonts w:ascii="宋体" w:hAnsi="宋体" w:cs="宋体"/>
          <w:color w:val="auto"/>
          <w:sz w:val="24"/>
          <w:highlight w:val="none"/>
        </w:rPr>
      </w:pPr>
    </w:p>
    <w:p>
      <w:pPr>
        <w:pStyle w:val="7"/>
        <w:tabs>
          <w:tab w:val="left" w:pos="6300"/>
        </w:tabs>
        <w:snapToGrid w:val="0"/>
        <w:spacing w:line="312" w:lineRule="auto"/>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项目名称：</w:t>
      </w:r>
    </w:p>
    <w:tbl>
      <w:tblPr>
        <w:tblStyle w:val="12"/>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967"/>
        <w:gridCol w:w="3081"/>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271"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2967"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采购需求</w:t>
            </w:r>
          </w:p>
        </w:tc>
        <w:tc>
          <w:tcPr>
            <w:tcW w:w="3081"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响应情况</w:t>
            </w:r>
          </w:p>
        </w:tc>
        <w:tc>
          <w:tcPr>
            <w:tcW w:w="2309"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p>
        </w:tc>
        <w:tc>
          <w:tcPr>
            <w:tcW w:w="2967"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p>
        </w:tc>
        <w:tc>
          <w:tcPr>
            <w:tcW w:w="3081" w:type="dxa"/>
            <w:noWrap w:val="0"/>
            <w:vAlign w:val="center"/>
          </w:tcPr>
          <w:p>
            <w:pPr>
              <w:tabs>
                <w:tab w:val="left" w:pos="6300"/>
              </w:tabs>
              <w:snapToGrid w:val="0"/>
              <w:spacing w:line="500" w:lineRule="exact"/>
              <w:outlineLvl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提醒：请注明技术参数或具体内容以及响应文件中技术参数或具体内容的位置（页码）</w:t>
            </w:r>
          </w:p>
        </w:tc>
        <w:tc>
          <w:tcPr>
            <w:tcW w:w="2309"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noWrap w:val="0"/>
            <w:vAlign w:val="center"/>
          </w:tcPr>
          <w:p>
            <w:pPr>
              <w:tabs>
                <w:tab w:val="left" w:pos="6300"/>
              </w:tabs>
              <w:snapToGrid w:val="0"/>
              <w:spacing w:line="500" w:lineRule="exact"/>
              <w:jc w:val="center"/>
              <w:outlineLvl w:val="0"/>
              <w:rPr>
                <w:rFonts w:hint="eastAsia" w:ascii="方正仿宋_GBK" w:hAnsi="宋体" w:eastAsia="方正仿宋_GBK"/>
                <w:color w:val="auto"/>
                <w:sz w:val="21"/>
                <w:szCs w:val="21"/>
                <w:highlight w:val="none"/>
              </w:rPr>
            </w:pPr>
          </w:p>
        </w:tc>
        <w:tc>
          <w:tcPr>
            <w:tcW w:w="2967" w:type="dxa"/>
            <w:noWrap w:val="0"/>
            <w:vAlign w:val="center"/>
          </w:tcPr>
          <w:p>
            <w:pPr>
              <w:tabs>
                <w:tab w:val="left" w:pos="6300"/>
              </w:tabs>
              <w:snapToGrid w:val="0"/>
              <w:spacing w:line="500" w:lineRule="exact"/>
              <w:jc w:val="center"/>
              <w:outlineLvl w:val="0"/>
              <w:rPr>
                <w:rFonts w:hint="eastAsia" w:ascii="方正仿宋_GBK" w:hAnsi="宋体" w:eastAsia="方正仿宋_GBK"/>
                <w:color w:val="auto"/>
                <w:sz w:val="21"/>
                <w:szCs w:val="21"/>
                <w:highlight w:val="none"/>
              </w:rPr>
            </w:pPr>
          </w:p>
        </w:tc>
        <w:tc>
          <w:tcPr>
            <w:tcW w:w="3081" w:type="dxa"/>
            <w:noWrap w:val="0"/>
            <w:vAlign w:val="center"/>
          </w:tcPr>
          <w:p>
            <w:pPr>
              <w:tabs>
                <w:tab w:val="left" w:pos="6300"/>
              </w:tabs>
              <w:snapToGrid w:val="0"/>
              <w:spacing w:line="500" w:lineRule="exact"/>
              <w:jc w:val="center"/>
              <w:outlineLvl w:val="0"/>
              <w:rPr>
                <w:rFonts w:hint="eastAsia" w:ascii="方正仿宋_GBK" w:hAnsi="宋体" w:eastAsia="方正仿宋_GBK"/>
                <w:color w:val="auto"/>
                <w:sz w:val="21"/>
                <w:szCs w:val="21"/>
                <w:highlight w:val="none"/>
              </w:rPr>
            </w:pPr>
          </w:p>
        </w:tc>
        <w:tc>
          <w:tcPr>
            <w:tcW w:w="2309" w:type="dxa"/>
            <w:noWrap w:val="0"/>
            <w:vAlign w:val="center"/>
          </w:tcPr>
          <w:p>
            <w:pPr>
              <w:tabs>
                <w:tab w:val="left" w:pos="6300"/>
              </w:tabs>
              <w:snapToGrid w:val="0"/>
              <w:spacing w:line="500" w:lineRule="exact"/>
              <w:jc w:val="center"/>
              <w:outlineLvl w:val="0"/>
              <w:rPr>
                <w:rFonts w:hint="eastAsia"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noWrap w:val="0"/>
            <w:vAlign w:val="center"/>
          </w:tcPr>
          <w:p>
            <w:pPr>
              <w:tabs>
                <w:tab w:val="left" w:pos="6300"/>
              </w:tabs>
              <w:snapToGrid w:val="0"/>
              <w:spacing w:line="500" w:lineRule="exact"/>
              <w:jc w:val="center"/>
              <w:outlineLvl w:val="0"/>
              <w:rPr>
                <w:rFonts w:hint="eastAsia" w:ascii="方正仿宋_GBK" w:hAnsi="宋体" w:eastAsia="方正仿宋_GBK"/>
                <w:color w:val="auto"/>
                <w:sz w:val="21"/>
                <w:szCs w:val="21"/>
                <w:highlight w:val="none"/>
              </w:rPr>
            </w:pPr>
          </w:p>
        </w:tc>
        <w:tc>
          <w:tcPr>
            <w:tcW w:w="2967" w:type="dxa"/>
            <w:noWrap w:val="0"/>
            <w:vAlign w:val="center"/>
          </w:tcPr>
          <w:p>
            <w:pPr>
              <w:tabs>
                <w:tab w:val="left" w:pos="6300"/>
              </w:tabs>
              <w:snapToGrid w:val="0"/>
              <w:spacing w:line="500" w:lineRule="exact"/>
              <w:jc w:val="center"/>
              <w:outlineLvl w:val="0"/>
              <w:rPr>
                <w:rFonts w:hint="eastAsia" w:ascii="方正仿宋_GBK" w:hAnsi="宋体" w:eastAsia="方正仿宋_GBK"/>
                <w:color w:val="auto"/>
                <w:sz w:val="21"/>
                <w:szCs w:val="21"/>
                <w:highlight w:val="none"/>
              </w:rPr>
            </w:pPr>
          </w:p>
        </w:tc>
        <w:tc>
          <w:tcPr>
            <w:tcW w:w="3081" w:type="dxa"/>
            <w:noWrap w:val="0"/>
            <w:vAlign w:val="center"/>
          </w:tcPr>
          <w:p>
            <w:pPr>
              <w:tabs>
                <w:tab w:val="left" w:pos="6300"/>
              </w:tabs>
              <w:snapToGrid w:val="0"/>
              <w:spacing w:line="500" w:lineRule="exact"/>
              <w:jc w:val="center"/>
              <w:outlineLvl w:val="0"/>
              <w:rPr>
                <w:rFonts w:hint="eastAsia" w:ascii="方正仿宋_GBK" w:hAnsi="宋体" w:eastAsia="方正仿宋_GBK"/>
                <w:color w:val="auto"/>
                <w:sz w:val="21"/>
                <w:szCs w:val="21"/>
                <w:highlight w:val="none"/>
              </w:rPr>
            </w:pPr>
          </w:p>
        </w:tc>
        <w:tc>
          <w:tcPr>
            <w:tcW w:w="2309" w:type="dxa"/>
            <w:noWrap w:val="0"/>
            <w:vAlign w:val="center"/>
          </w:tcPr>
          <w:p>
            <w:pPr>
              <w:tabs>
                <w:tab w:val="left" w:pos="6300"/>
              </w:tabs>
              <w:snapToGrid w:val="0"/>
              <w:spacing w:line="500" w:lineRule="exact"/>
              <w:jc w:val="center"/>
              <w:outlineLvl w:val="0"/>
              <w:rPr>
                <w:rFonts w:hint="eastAsia"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noWrap w:val="0"/>
            <w:vAlign w:val="center"/>
          </w:tcPr>
          <w:p>
            <w:pPr>
              <w:tabs>
                <w:tab w:val="left" w:pos="6300"/>
              </w:tabs>
              <w:snapToGrid w:val="0"/>
              <w:spacing w:line="500" w:lineRule="exact"/>
              <w:jc w:val="center"/>
              <w:outlineLvl w:val="0"/>
              <w:rPr>
                <w:rFonts w:hint="eastAsia" w:ascii="方正仿宋_GBK" w:hAnsi="宋体" w:eastAsia="方正仿宋_GBK"/>
                <w:color w:val="auto"/>
                <w:sz w:val="21"/>
                <w:szCs w:val="21"/>
                <w:highlight w:val="none"/>
              </w:rPr>
            </w:pPr>
          </w:p>
        </w:tc>
        <w:tc>
          <w:tcPr>
            <w:tcW w:w="2967" w:type="dxa"/>
            <w:noWrap w:val="0"/>
            <w:vAlign w:val="center"/>
          </w:tcPr>
          <w:p>
            <w:pPr>
              <w:tabs>
                <w:tab w:val="left" w:pos="6300"/>
              </w:tabs>
              <w:snapToGrid w:val="0"/>
              <w:spacing w:line="500" w:lineRule="exact"/>
              <w:jc w:val="center"/>
              <w:outlineLvl w:val="0"/>
              <w:rPr>
                <w:rFonts w:hint="eastAsia" w:ascii="方正仿宋_GBK" w:hAnsi="宋体" w:eastAsia="方正仿宋_GBK"/>
                <w:color w:val="auto"/>
                <w:sz w:val="21"/>
                <w:szCs w:val="21"/>
                <w:highlight w:val="none"/>
              </w:rPr>
            </w:pPr>
          </w:p>
        </w:tc>
        <w:tc>
          <w:tcPr>
            <w:tcW w:w="3081" w:type="dxa"/>
            <w:noWrap w:val="0"/>
            <w:vAlign w:val="center"/>
          </w:tcPr>
          <w:p>
            <w:pPr>
              <w:tabs>
                <w:tab w:val="left" w:pos="6300"/>
              </w:tabs>
              <w:snapToGrid w:val="0"/>
              <w:spacing w:line="500" w:lineRule="exact"/>
              <w:jc w:val="center"/>
              <w:outlineLvl w:val="0"/>
              <w:rPr>
                <w:rFonts w:hint="eastAsia" w:ascii="方正仿宋_GBK" w:hAnsi="宋体" w:eastAsia="方正仿宋_GBK"/>
                <w:color w:val="auto"/>
                <w:sz w:val="21"/>
                <w:szCs w:val="21"/>
                <w:highlight w:val="none"/>
              </w:rPr>
            </w:pPr>
          </w:p>
        </w:tc>
        <w:tc>
          <w:tcPr>
            <w:tcW w:w="2309" w:type="dxa"/>
            <w:noWrap w:val="0"/>
            <w:vAlign w:val="center"/>
          </w:tcPr>
          <w:p>
            <w:pPr>
              <w:tabs>
                <w:tab w:val="left" w:pos="6300"/>
              </w:tabs>
              <w:snapToGrid w:val="0"/>
              <w:spacing w:line="500" w:lineRule="exact"/>
              <w:jc w:val="center"/>
              <w:outlineLvl w:val="0"/>
              <w:rPr>
                <w:rFonts w:hint="eastAsia"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noWrap w:val="0"/>
            <w:vAlign w:val="center"/>
          </w:tcPr>
          <w:p>
            <w:pPr>
              <w:tabs>
                <w:tab w:val="left" w:pos="6300"/>
              </w:tabs>
              <w:snapToGrid w:val="0"/>
              <w:spacing w:line="500" w:lineRule="exact"/>
              <w:jc w:val="center"/>
              <w:outlineLvl w:val="0"/>
              <w:rPr>
                <w:rFonts w:hint="eastAsia" w:ascii="方正仿宋_GBK" w:hAnsi="宋体" w:eastAsia="方正仿宋_GBK"/>
                <w:color w:val="auto"/>
                <w:sz w:val="21"/>
                <w:szCs w:val="21"/>
                <w:highlight w:val="none"/>
              </w:rPr>
            </w:pPr>
          </w:p>
        </w:tc>
        <w:tc>
          <w:tcPr>
            <w:tcW w:w="2967" w:type="dxa"/>
            <w:noWrap w:val="0"/>
            <w:vAlign w:val="center"/>
          </w:tcPr>
          <w:p>
            <w:pPr>
              <w:tabs>
                <w:tab w:val="left" w:pos="6300"/>
              </w:tabs>
              <w:snapToGrid w:val="0"/>
              <w:spacing w:line="500" w:lineRule="exact"/>
              <w:jc w:val="center"/>
              <w:outlineLvl w:val="0"/>
              <w:rPr>
                <w:rFonts w:hint="eastAsia" w:ascii="方正仿宋_GBK" w:hAnsi="宋体" w:eastAsia="方正仿宋_GBK"/>
                <w:color w:val="auto"/>
                <w:sz w:val="21"/>
                <w:szCs w:val="21"/>
                <w:highlight w:val="none"/>
              </w:rPr>
            </w:pPr>
          </w:p>
        </w:tc>
        <w:tc>
          <w:tcPr>
            <w:tcW w:w="3081" w:type="dxa"/>
            <w:noWrap w:val="0"/>
            <w:vAlign w:val="center"/>
          </w:tcPr>
          <w:p>
            <w:pPr>
              <w:tabs>
                <w:tab w:val="left" w:pos="6300"/>
              </w:tabs>
              <w:snapToGrid w:val="0"/>
              <w:spacing w:line="500" w:lineRule="exact"/>
              <w:jc w:val="center"/>
              <w:outlineLvl w:val="0"/>
              <w:rPr>
                <w:rFonts w:hint="eastAsia" w:ascii="方正仿宋_GBK" w:hAnsi="宋体" w:eastAsia="方正仿宋_GBK"/>
                <w:color w:val="auto"/>
                <w:sz w:val="21"/>
                <w:szCs w:val="21"/>
                <w:highlight w:val="none"/>
              </w:rPr>
            </w:pPr>
          </w:p>
        </w:tc>
        <w:tc>
          <w:tcPr>
            <w:tcW w:w="2309" w:type="dxa"/>
            <w:noWrap w:val="0"/>
            <w:vAlign w:val="center"/>
          </w:tcPr>
          <w:p>
            <w:pPr>
              <w:tabs>
                <w:tab w:val="left" w:pos="6300"/>
              </w:tabs>
              <w:snapToGrid w:val="0"/>
              <w:spacing w:line="500" w:lineRule="exact"/>
              <w:jc w:val="center"/>
              <w:outlineLvl w:val="0"/>
              <w:rPr>
                <w:rFonts w:hint="eastAsia"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noWrap w:val="0"/>
            <w:vAlign w:val="center"/>
          </w:tcPr>
          <w:p>
            <w:pPr>
              <w:tabs>
                <w:tab w:val="left" w:pos="6300"/>
              </w:tabs>
              <w:snapToGrid w:val="0"/>
              <w:spacing w:line="500" w:lineRule="exact"/>
              <w:jc w:val="center"/>
              <w:outlineLvl w:val="0"/>
              <w:rPr>
                <w:rFonts w:hint="eastAsia" w:ascii="方正仿宋_GBK" w:hAnsi="宋体" w:eastAsia="方正仿宋_GBK"/>
                <w:color w:val="auto"/>
                <w:sz w:val="21"/>
                <w:szCs w:val="21"/>
                <w:highlight w:val="none"/>
              </w:rPr>
            </w:pPr>
          </w:p>
        </w:tc>
        <w:tc>
          <w:tcPr>
            <w:tcW w:w="2967" w:type="dxa"/>
            <w:noWrap w:val="0"/>
            <w:vAlign w:val="center"/>
          </w:tcPr>
          <w:p>
            <w:pPr>
              <w:tabs>
                <w:tab w:val="left" w:pos="6300"/>
              </w:tabs>
              <w:snapToGrid w:val="0"/>
              <w:spacing w:line="500" w:lineRule="exact"/>
              <w:jc w:val="center"/>
              <w:outlineLvl w:val="0"/>
              <w:rPr>
                <w:rFonts w:hint="eastAsia" w:ascii="方正仿宋_GBK" w:hAnsi="宋体" w:eastAsia="方正仿宋_GBK"/>
                <w:color w:val="auto"/>
                <w:sz w:val="21"/>
                <w:szCs w:val="21"/>
                <w:highlight w:val="none"/>
              </w:rPr>
            </w:pPr>
          </w:p>
        </w:tc>
        <w:tc>
          <w:tcPr>
            <w:tcW w:w="3081" w:type="dxa"/>
            <w:noWrap w:val="0"/>
            <w:vAlign w:val="center"/>
          </w:tcPr>
          <w:p>
            <w:pPr>
              <w:tabs>
                <w:tab w:val="left" w:pos="6300"/>
              </w:tabs>
              <w:snapToGrid w:val="0"/>
              <w:spacing w:line="500" w:lineRule="exact"/>
              <w:jc w:val="center"/>
              <w:outlineLvl w:val="0"/>
              <w:rPr>
                <w:rFonts w:hint="eastAsia" w:ascii="方正仿宋_GBK" w:hAnsi="宋体" w:eastAsia="方正仿宋_GBK"/>
                <w:color w:val="auto"/>
                <w:sz w:val="21"/>
                <w:szCs w:val="21"/>
                <w:highlight w:val="none"/>
              </w:rPr>
            </w:pPr>
          </w:p>
        </w:tc>
        <w:tc>
          <w:tcPr>
            <w:tcW w:w="2309" w:type="dxa"/>
            <w:noWrap w:val="0"/>
            <w:vAlign w:val="center"/>
          </w:tcPr>
          <w:p>
            <w:pPr>
              <w:tabs>
                <w:tab w:val="left" w:pos="6300"/>
              </w:tabs>
              <w:snapToGrid w:val="0"/>
              <w:spacing w:line="500" w:lineRule="exact"/>
              <w:jc w:val="center"/>
              <w:outlineLvl w:val="0"/>
              <w:rPr>
                <w:rFonts w:hint="eastAsia"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noWrap w:val="0"/>
            <w:vAlign w:val="center"/>
          </w:tcPr>
          <w:p>
            <w:pPr>
              <w:tabs>
                <w:tab w:val="left" w:pos="6300"/>
              </w:tabs>
              <w:snapToGrid w:val="0"/>
              <w:spacing w:line="500" w:lineRule="exact"/>
              <w:jc w:val="center"/>
              <w:outlineLvl w:val="0"/>
              <w:rPr>
                <w:rFonts w:hint="eastAsia" w:ascii="方正仿宋_GBK" w:hAnsi="宋体" w:eastAsia="方正仿宋_GBK"/>
                <w:color w:val="auto"/>
                <w:sz w:val="21"/>
                <w:szCs w:val="21"/>
                <w:highlight w:val="none"/>
              </w:rPr>
            </w:pPr>
          </w:p>
        </w:tc>
        <w:tc>
          <w:tcPr>
            <w:tcW w:w="2967" w:type="dxa"/>
            <w:noWrap w:val="0"/>
            <w:vAlign w:val="center"/>
          </w:tcPr>
          <w:p>
            <w:pPr>
              <w:tabs>
                <w:tab w:val="left" w:pos="6300"/>
              </w:tabs>
              <w:snapToGrid w:val="0"/>
              <w:spacing w:line="500" w:lineRule="exact"/>
              <w:jc w:val="center"/>
              <w:outlineLvl w:val="0"/>
              <w:rPr>
                <w:rFonts w:hint="eastAsia" w:ascii="方正仿宋_GBK" w:hAnsi="宋体" w:eastAsia="方正仿宋_GBK"/>
                <w:color w:val="auto"/>
                <w:sz w:val="21"/>
                <w:szCs w:val="21"/>
                <w:highlight w:val="none"/>
              </w:rPr>
            </w:pPr>
          </w:p>
        </w:tc>
        <w:tc>
          <w:tcPr>
            <w:tcW w:w="3081" w:type="dxa"/>
            <w:noWrap w:val="0"/>
            <w:vAlign w:val="center"/>
          </w:tcPr>
          <w:p>
            <w:pPr>
              <w:tabs>
                <w:tab w:val="left" w:pos="6300"/>
              </w:tabs>
              <w:snapToGrid w:val="0"/>
              <w:spacing w:line="500" w:lineRule="exact"/>
              <w:jc w:val="center"/>
              <w:outlineLvl w:val="0"/>
              <w:rPr>
                <w:rFonts w:hint="eastAsia" w:ascii="方正仿宋_GBK" w:hAnsi="宋体" w:eastAsia="方正仿宋_GBK"/>
                <w:color w:val="auto"/>
                <w:sz w:val="21"/>
                <w:szCs w:val="21"/>
                <w:highlight w:val="none"/>
              </w:rPr>
            </w:pPr>
          </w:p>
        </w:tc>
        <w:tc>
          <w:tcPr>
            <w:tcW w:w="2309" w:type="dxa"/>
            <w:noWrap w:val="0"/>
            <w:vAlign w:val="center"/>
          </w:tcPr>
          <w:p>
            <w:pPr>
              <w:tabs>
                <w:tab w:val="left" w:pos="6300"/>
              </w:tabs>
              <w:snapToGrid w:val="0"/>
              <w:spacing w:line="500" w:lineRule="exact"/>
              <w:jc w:val="center"/>
              <w:outlineLvl w:val="0"/>
              <w:rPr>
                <w:rFonts w:hint="eastAsia"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noWrap w:val="0"/>
            <w:vAlign w:val="center"/>
          </w:tcPr>
          <w:p>
            <w:pPr>
              <w:tabs>
                <w:tab w:val="left" w:pos="6300"/>
              </w:tabs>
              <w:snapToGrid w:val="0"/>
              <w:spacing w:line="500" w:lineRule="exact"/>
              <w:jc w:val="center"/>
              <w:outlineLvl w:val="0"/>
              <w:rPr>
                <w:rFonts w:hint="eastAsia" w:ascii="方正仿宋_GBK" w:hAnsi="宋体" w:eastAsia="方正仿宋_GBK"/>
                <w:color w:val="auto"/>
                <w:sz w:val="21"/>
                <w:szCs w:val="21"/>
                <w:highlight w:val="none"/>
              </w:rPr>
            </w:pPr>
          </w:p>
        </w:tc>
        <w:tc>
          <w:tcPr>
            <w:tcW w:w="2967" w:type="dxa"/>
            <w:noWrap w:val="0"/>
            <w:vAlign w:val="center"/>
          </w:tcPr>
          <w:p>
            <w:pPr>
              <w:tabs>
                <w:tab w:val="left" w:pos="6300"/>
              </w:tabs>
              <w:snapToGrid w:val="0"/>
              <w:spacing w:line="500" w:lineRule="exact"/>
              <w:jc w:val="center"/>
              <w:outlineLvl w:val="0"/>
              <w:rPr>
                <w:rFonts w:hint="eastAsia" w:ascii="方正仿宋_GBK" w:hAnsi="宋体" w:eastAsia="方正仿宋_GBK"/>
                <w:color w:val="auto"/>
                <w:sz w:val="21"/>
                <w:szCs w:val="21"/>
                <w:highlight w:val="none"/>
              </w:rPr>
            </w:pPr>
          </w:p>
        </w:tc>
        <w:tc>
          <w:tcPr>
            <w:tcW w:w="3081" w:type="dxa"/>
            <w:noWrap w:val="0"/>
            <w:vAlign w:val="center"/>
          </w:tcPr>
          <w:p>
            <w:pPr>
              <w:tabs>
                <w:tab w:val="left" w:pos="6300"/>
              </w:tabs>
              <w:snapToGrid w:val="0"/>
              <w:spacing w:line="500" w:lineRule="exact"/>
              <w:jc w:val="center"/>
              <w:outlineLvl w:val="0"/>
              <w:rPr>
                <w:rFonts w:hint="eastAsia" w:ascii="方正仿宋_GBK" w:hAnsi="宋体" w:eastAsia="方正仿宋_GBK"/>
                <w:color w:val="auto"/>
                <w:sz w:val="21"/>
                <w:szCs w:val="21"/>
                <w:highlight w:val="none"/>
              </w:rPr>
            </w:pPr>
          </w:p>
        </w:tc>
        <w:tc>
          <w:tcPr>
            <w:tcW w:w="2309" w:type="dxa"/>
            <w:noWrap w:val="0"/>
            <w:vAlign w:val="center"/>
          </w:tcPr>
          <w:p>
            <w:pPr>
              <w:tabs>
                <w:tab w:val="left" w:pos="6300"/>
              </w:tabs>
              <w:snapToGrid w:val="0"/>
              <w:spacing w:line="500" w:lineRule="exact"/>
              <w:jc w:val="center"/>
              <w:outlineLvl w:val="0"/>
              <w:rPr>
                <w:rFonts w:hint="eastAsia"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noWrap w:val="0"/>
            <w:vAlign w:val="center"/>
          </w:tcPr>
          <w:p>
            <w:pPr>
              <w:tabs>
                <w:tab w:val="left" w:pos="6300"/>
              </w:tabs>
              <w:snapToGrid w:val="0"/>
              <w:spacing w:line="500" w:lineRule="exact"/>
              <w:jc w:val="center"/>
              <w:outlineLvl w:val="0"/>
              <w:rPr>
                <w:rFonts w:hint="eastAsia" w:ascii="方正仿宋_GBK" w:hAnsi="宋体" w:eastAsia="方正仿宋_GBK"/>
                <w:color w:val="auto"/>
                <w:sz w:val="21"/>
                <w:szCs w:val="21"/>
                <w:highlight w:val="none"/>
              </w:rPr>
            </w:pPr>
          </w:p>
        </w:tc>
        <w:tc>
          <w:tcPr>
            <w:tcW w:w="2967" w:type="dxa"/>
            <w:noWrap w:val="0"/>
            <w:vAlign w:val="center"/>
          </w:tcPr>
          <w:p>
            <w:pPr>
              <w:tabs>
                <w:tab w:val="left" w:pos="6300"/>
              </w:tabs>
              <w:snapToGrid w:val="0"/>
              <w:spacing w:line="500" w:lineRule="exact"/>
              <w:jc w:val="center"/>
              <w:outlineLvl w:val="0"/>
              <w:rPr>
                <w:rFonts w:hint="eastAsia" w:ascii="方正仿宋_GBK" w:hAnsi="宋体" w:eastAsia="方正仿宋_GBK"/>
                <w:color w:val="auto"/>
                <w:sz w:val="21"/>
                <w:szCs w:val="21"/>
                <w:highlight w:val="none"/>
              </w:rPr>
            </w:pPr>
          </w:p>
        </w:tc>
        <w:tc>
          <w:tcPr>
            <w:tcW w:w="3081" w:type="dxa"/>
            <w:noWrap w:val="0"/>
            <w:vAlign w:val="center"/>
          </w:tcPr>
          <w:p>
            <w:pPr>
              <w:tabs>
                <w:tab w:val="left" w:pos="6300"/>
              </w:tabs>
              <w:snapToGrid w:val="0"/>
              <w:spacing w:line="500" w:lineRule="exact"/>
              <w:jc w:val="center"/>
              <w:outlineLvl w:val="0"/>
              <w:rPr>
                <w:rFonts w:hint="eastAsia" w:ascii="方正仿宋_GBK" w:hAnsi="宋体" w:eastAsia="方正仿宋_GBK"/>
                <w:color w:val="auto"/>
                <w:sz w:val="21"/>
                <w:szCs w:val="21"/>
                <w:highlight w:val="none"/>
              </w:rPr>
            </w:pPr>
          </w:p>
        </w:tc>
        <w:tc>
          <w:tcPr>
            <w:tcW w:w="2309" w:type="dxa"/>
            <w:noWrap w:val="0"/>
            <w:vAlign w:val="center"/>
          </w:tcPr>
          <w:p>
            <w:pPr>
              <w:tabs>
                <w:tab w:val="left" w:pos="6300"/>
              </w:tabs>
              <w:snapToGrid w:val="0"/>
              <w:spacing w:line="500" w:lineRule="exact"/>
              <w:jc w:val="center"/>
              <w:outlineLvl w:val="0"/>
              <w:rPr>
                <w:rFonts w:hint="eastAsia"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noWrap w:val="0"/>
            <w:vAlign w:val="center"/>
          </w:tcPr>
          <w:p>
            <w:pPr>
              <w:tabs>
                <w:tab w:val="left" w:pos="6300"/>
              </w:tabs>
              <w:snapToGrid w:val="0"/>
              <w:spacing w:line="500" w:lineRule="exact"/>
              <w:jc w:val="center"/>
              <w:outlineLvl w:val="0"/>
              <w:rPr>
                <w:rFonts w:hint="eastAsia" w:ascii="方正仿宋_GBK" w:hAnsi="宋体" w:eastAsia="方正仿宋_GBK"/>
                <w:color w:val="auto"/>
                <w:sz w:val="21"/>
                <w:szCs w:val="21"/>
                <w:highlight w:val="none"/>
              </w:rPr>
            </w:pPr>
          </w:p>
        </w:tc>
        <w:tc>
          <w:tcPr>
            <w:tcW w:w="2967" w:type="dxa"/>
            <w:noWrap w:val="0"/>
            <w:vAlign w:val="center"/>
          </w:tcPr>
          <w:p>
            <w:pPr>
              <w:tabs>
                <w:tab w:val="left" w:pos="6300"/>
              </w:tabs>
              <w:snapToGrid w:val="0"/>
              <w:spacing w:line="500" w:lineRule="exact"/>
              <w:jc w:val="center"/>
              <w:outlineLvl w:val="0"/>
              <w:rPr>
                <w:rFonts w:hint="eastAsia" w:ascii="方正仿宋_GBK" w:hAnsi="宋体" w:eastAsia="方正仿宋_GBK"/>
                <w:color w:val="auto"/>
                <w:sz w:val="21"/>
                <w:szCs w:val="21"/>
                <w:highlight w:val="none"/>
              </w:rPr>
            </w:pPr>
          </w:p>
        </w:tc>
        <w:tc>
          <w:tcPr>
            <w:tcW w:w="3081" w:type="dxa"/>
            <w:noWrap w:val="0"/>
            <w:vAlign w:val="center"/>
          </w:tcPr>
          <w:p>
            <w:pPr>
              <w:tabs>
                <w:tab w:val="left" w:pos="6300"/>
              </w:tabs>
              <w:snapToGrid w:val="0"/>
              <w:spacing w:line="500" w:lineRule="exact"/>
              <w:jc w:val="center"/>
              <w:outlineLvl w:val="0"/>
              <w:rPr>
                <w:rFonts w:hint="eastAsia" w:ascii="方正仿宋_GBK" w:hAnsi="宋体" w:eastAsia="方正仿宋_GBK"/>
                <w:color w:val="auto"/>
                <w:sz w:val="21"/>
                <w:szCs w:val="21"/>
                <w:highlight w:val="none"/>
              </w:rPr>
            </w:pPr>
          </w:p>
        </w:tc>
        <w:tc>
          <w:tcPr>
            <w:tcW w:w="2309" w:type="dxa"/>
            <w:noWrap w:val="0"/>
            <w:vAlign w:val="center"/>
          </w:tcPr>
          <w:p>
            <w:pPr>
              <w:tabs>
                <w:tab w:val="left" w:pos="6300"/>
              </w:tabs>
              <w:snapToGrid w:val="0"/>
              <w:spacing w:line="500" w:lineRule="exact"/>
              <w:jc w:val="center"/>
              <w:outlineLvl w:val="0"/>
              <w:rPr>
                <w:rFonts w:hint="eastAsia" w:ascii="方正仿宋_GBK" w:hAnsi="宋体" w:eastAsia="方正仿宋_GBK"/>
                <w:color w:val="auto"/>
                <w:sz w:val="21"/>
                <w:szCs w:val="21"/>
                <w:highlight w:val="none"/>
              </w:rPr>
            </w:pPr>
          </w:p>
        </w:tc>
      </w:tr>
    </w:tbl>
    <w:p>
      <w:pPr>
        <w:spacing w:line="312" w:lineRule="auto"/>
        <w:ind w:firstLine="600" w:firstLineChars="250"/>
        <w:rPr>
          <w:rFonts w:ascii="宋体" w:hAnsi="宋体" w:cs="宋体"/>
          <w:color w:val="auto"/>
          <w:sz w:val="24"/>
          <w:szCs w:val="28"/>
          <w:highlight w:val="none"/>
        </w:rPr>
      </w:pPr>
      <w:r>
        <w:rPr>
          <w:rFonts w:hint="eastAsia" w:ascii="宋体" w:hAnsi="宋体" w:cs="宋体"/>
          <w:color w:val="auto"/>
          <w:sz w:val="24"/>
          <w:szCs w:val="28"/>
          <w:highlight w:val="none"/>
        </w:rPr>
        <w:t>供应商：                             法定代表人（或其授权代表）：</w:t>
      </w:r>
    </w:p>
    <w:p>
      <w:pPr>
        <w:spacing w:line="312" w:lineRule="auto"/>
        <w:rPr>
          <w:rFonts w:ascii="宋体" w:hAnsi="宋体" w:cs="宋体"/>
          <w:color w:val="auto"/>
          <w:sz w:val="24"/>
          <w:szCs w:val="28"/>
          <w:highlight w:val="none"/>
        </w:rPr>
      </w:pPr>
    </w:p>
    <w:p>
      <w:pPr>
        <w:spacing w:line="312" w:lineRule="auto"/>
        <w:ind w:firstLine="720" w:firstLineChars="300"/>
        <w:rPr>
          <w:rFonts w:ascii="宋体" w:hAnsi="宋体" w:cs="宋体"/>
          <w:color w:val="auto"/>
          <w:sz w:val="24"/>
          <w:szCs w:val="28"/>
          <w:highlight w:val="none"/>
        </w:rPr>
      </w:pPr>
      <w:r>
        <w:rPr>
          <w:rFonts w:hint="eastAsia" w:ascii="宋体" w:hAnsi="宋体" w:cs="宋体"/>
          <w:color w:val="auto"/>
          <w:sz w:val="24"/>
          <w:szCs w:val="28"/>
          <w:highlight w:val="none"/>
        </w:rPr>
        <w:t>（供应商公章）                               （签字或盖章）</w:t>
      </w:r>
    </w:p>
    <w:p>
      <w:pPr>
        <w:tabs>
          <w:tab w:val="left" w:pos="6300"/>
        </w:tabs>
        <w:snapToGrid w:val="0"/>
        <w:spacing w:line="312" w:lineRule="auto"/>
        <w:ind w:firstLine="570"/>
        <w:rPr>
          <w:rFonts w:ascii="宋体" w:hAnsi="宋体" w:cs="宋体"/>
          <w:color w:val="auto"/>
          <w:sz w:val="24"/>
          <w:highlight w:val="none"/>
        </w:rPr>
      </w:pPr>
      <w:r>
        <w:rPr>
          <w:rFonts w:hint="eastAsia" w:ascii="宋体" w:hAnsi="宋体" w:cs="宋体"/>
          <w:color w:val="auto"/>
          <w:sz w:val="24"/>
          <w:szCs w:val="28"/>
          <w:highlight w:val="none"/>
        </w:rPr>
        <w:t xml:space="preserve">                                              年     月     日</w:t>
      </w:r>
    </w:p>
    <w:p>
      <w:pPr>
        <w:tabs>
          <w:tab w:val="left" w:pos="6300"/>
        </w:tabs>
        <w:snapToGrid w:val="0"/>
        <w:spacing w:line="312"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注：</w:t>
      </w:r>
    </w:p>
    <w:p>
      <w:pPr>
        <w:tabs>
          <w:tab w:val="left" w:pos="6300"/>
        </w:tabs>
        <w:snapToGrid w:val="0"/>
        <w:spacing w:line="312"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1.本表即为对本项目“第二篇  项目服务需求”中所列条款进行比较和响应；</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highlight w:val="none"/>
        </w:rPr>
        <w:t>2.本表可扩展。</w:t>
      </w:r>
    </w:p>
    <w:p>
      <w:pPr>
        <w:pStyle w:val="4"/>
        <w:spacing w:before="0" w:after="0" w:line="312" w:lineRule="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（二）其他资料（格式自定）</w:t>
      </w:r>
    </w:p>
    <w:p>
      <w:pPr>
        <w:pStyle w:val="4"/>
        <w:spacing w:before="0" w:after="0" w:line="312" w:lineRule="auto"/>
        <w:rPr>
          <w:rFonts w:hint="eastAsia" w:ascii="宋体" w:hAnsi="宋体" w:cs="宋体"/>
          <w:b w:val="0"/>
          <w:color w:val="auto"/>
          <w:highlight w:val="none"/>
        </w:rPr>
      </w:pPr>
    </w:p>
    <w:p>
      <w:pPr>
        <w:pStyle w:val="4"/>
        <w:spacing w:before="0" w:after="0" w:line="312" w:lineRule="auto"/>
        <w:rPr>
          <w:rFonts w:hint="eastAsia" w:ascii="宋体" w:hAnsi="宋体" w:cs="宋体"/>
          <w:b w:val="0"/>
          <w:color w:val="auto"/>
          <w:highlight w:val="none"/>
        </w:rPr>
      </w:pPr>
    </w:p>
    <w:p>
      <w:pPr>
        <w:pStyle w:val="4"/>
        <w:spacing w:before="0" w:after="0" w:line="312" w:lineRule="auto"/>
        <w:rPr>
          <w:rFonts w:hint="eastAsia" w:ascii="宋体" w:hAnsi="宋体" w:cs="宋体"/>
          <w:b w:val="0"/>
          <w:color w:val="auto"/>
          <w:highlight w:val="none"/>
        </w:rPr>
      </w:pPr>
    </w:p>
    <w:p>
      <w:pPr>
        <w:pStyle w:val="4"/>
        <w:spacing w:before="0" w:after="0" w:line="312" w:lineRule="auto"/>
        <w:rPr>
          <w:rFonts w:hint="eastAsia" w:ascii="宋体" w:hAnsi="宋体" w:cs="宋体"/>
          <w:b w:val="0"/>
          <w:color w:val="auto"/>
          <w:highlight w:val="none"/>
        </w:rPr>
      </w:pPr>
    </w:p>
    <w:p>
      <w:pPr>
        <w:pStyle w:val="4"/>
        <w:spacing w:before="0" w:after="0" w:line="312" w:lineRule="auto"/>
        <w:rPr>
          <w:rFonts w:ascii="宋体" w:hAnsi="宋体" w:cs="宋体"/>
          <w:color w:val="auto"/>
          <w:sz w:val="24"/>
          <w:szCs w:val="24"/>
          <w:highlight w:val="none"/>
        </w:rPr>
      </w:pPr>
      <w:r>
        <w:rPr>
          <w:rFonts w:hint="eastAsia" w:ascii="宋体" w:hAnsi="宋体" w:cs="宋体"/>
          <w:b w:val="0"/>
          <w:color w:val="auto"/>
          <w:highlight w:val="none"/>
        </w:rPr>
        <w:br w:type="page"/>
      </w:r>
      <w:bookmarkStart w:id="146" w:name="_Toc9361"/>
      <w:bookmarkStart w:id="147" w:name="_Toc30652"/>
      <w:bookmarkStart w:id="148" w:name="_Toc5445"/>
      <w:bookmarkStart w:id="149" w:name="_Toc313008358"/>
      <w:bookmarkStart w:id="150" w:name="_Toc342913421"/>
      <w:bookmarkStart w:id="151" w:name="_Toc313888362"/>
      <w:r>
        <w:rPr>
          <w:rFonts w:hint="eastAsia" w:ascii="宋体" w:hAnsi="宋体" w:cs="宋体"/>
          <w:color w:val="auto"/>
          <w:sz w:val="24"/>
          <w:szCs w:val="24"/>
          <w:highlight w:val="none"/>
        </w:rPr>
        <w:t>三、商务部分</w:t>
      </w:r>
      <w:bookmarkEnd w:id="146"/>
      <w:bookmarkEnd w:id="147"/>
      <w:bookmarkEnd w:id="148"/>
      <w:bookmarkEnd w:id="149"/>
      <w:bookmarkEnd w:id="150"/>
      <w:bookmarkEnd w:id="151"/>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w:t>
      </w:r>
      <w:bookmarkStart w:id="152" w:name="_Toc283382459"/>
      <w:r>
        <w:rPr>
          <w:rFonts w:hint="eastAsia" w:ascii="宋体" w:hAnsi="宋体" w:cs="宋体"/>
          <w:color w:val="auto"/>
          <w:sz w:val="24"/>
          <w:szCs w:val="24"/>
          <w:highlight w:val="none"/>
        </w:rPr>
        <w:t>商务响应偏离表</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磋商项目名称：</w:t>
      </w:r>
    </w:p>
    <w:tbl>
      <w:tblPr>
        <w:tblStyle w:val="12"/>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10" w:type="dxa"/>
            <w:noWrap w:val="0"/>
            <w:vAlign w:val="center"/>
          </w:tcPr>
          <w:p>
            <w:pPr>
              <w:snapToGrid w:val="0"/>
              <w:spacing w:line="360" w:lineRule="auto"/>
              <w:ind w:firstLine="465"/>
              <w:rPr>
                <w:rFonts w:hint="eastAsia"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序号</w:t>
            </w:r>
          </w:p>
        </w:tc>
        <w:tc>
          <w:tcPr>
            <w:tcW w:w="3179" w:type="dxa"/>
            <w:noWrap w:val="0"/>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磋商项目商务需求</w:t>
            </w:r>
          </w:p>
        </w:tc>
        <w:tc>
          <w:tcPr>
            <w:tcW w:w="2434" w:type="dxa"/>
            <w:noWrap w:val="0"/>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响应情况</w:t>
            </w:r>
          </w:p>
        </w:tc>
        <w:tc>
          <w:tcPr>
            <w:tcW w:w="2355" w:type="dxa"/>
            <w:noWrap w:val="0"/>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color w:val="auto"/>
                <w:sz w:val="21"/>
                <w:szCs w:val="24"/>
                <w:highlight w:val="none"/>
              </w:rPr>
            </w:pPr>
          </w:p>
        </w:tc>
        <w:tc>
          <w:tcPr>
            <w:tcW w:w="3179" w:type="dxa"/>
            <w:noWrap w:val="0"/>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color w:val="auto"/>
                <w:sz w:val="21"/>
                <w:szCs w:val="24"/>
                <w:highlight w:val="none"/>
              </w:rPr>
            </w:pPr>
          </w:p>
        </w:tc>
        <w:tc>
          <w:tcPr>
            <w:tcW w:w="2434" w:type="dxa"/>
            <w:noWrap w:val="0"/>
            <w:vAlign w:val="center"/>
          </w:tcPr>
          <w:p>
            <w:pPr>
              <w:tabs>
                <w:tab w:val="left" w:pos="6300"/>
              </w:tabs>
              <w:snapToGrid w:val="0"/>
              <w:spacing w:line="360" w:lineRule="auto"/>
              <w:outlineLvl w:val="0"/>
              <w:rPr>
                <w:rFonts w:hint="eastAsia"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1"/>
                <w:highlight w:val="none"/>
              </w:rPr>
              <w:t>提醒：请注明具体内容以及响应文件中具体内容的位置（页码）</w:t>
            </w:r>
          </w:p>
        </w:tc>
        <w:tc>
          <w:tcPr>
            <w:tcW w:w="2355" w:type="dxa"/>
            <w:noWrap w:val="0"/>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360" w:lineRule="auto"/>
              <w:jc w:val="center"/>
              <w:outlineLvl w:val="0"/>
              <w:rPr>
                <w:rFonts w:hint="eastAsia" w:ascii="方正仿宋_GBK" w:hAnsi="宋体" w:eastAsia="方正仿宋_GBK"/>
                <w:color w:val="auto"/>
                <w:sz w:val="21"/>
                <w:szCs w:val="24"/>
                <w:highlight w:val="none"/>
              </w:rPr>
            </w:pPr>
          </w:p>
        </w:tc>
        <w:tc>
          <w:tcPr>
            <w:tcW w:w="3179" w:type="dxa"/>
            <w:noWrap w:val="0"/>
            <w:vAlign w:val="center"/>
          </w:tcPr>
          <w:p>
            <w:pPr>
              <w:tabs>
                <w:tab w:val="left" w:pos="6300"/>
              </w:tabs>
              <w:snapToGrid w:val="0"/>
              <w:spacing w:line="360" w:lineRule="auto"/>
              <w:jc w:val="center"/>
              <w:outlineLvl w:val="0"/>
              <w:rPr>
                <w:rFonts w:hint="eastAsia" w:ascii="方正仿宋_GBK" w:hAnsi="宋体" w:eastAsia="方正仿宋_GBK"/>
                <w:color w:val="auto"/>
                <w:sz w:val="21"/>
                <w:szCs w:val="24"/>
                <w:highlight w:val="none"/>
              </w:rPr>
            </w:pPr>
          </w:p>
        </w:tc>
        <w:tc>
          <w:tcPr>
            <w:tcW w:w="2434" w:type="dxa"/>
            <w:noWrap w:val="0"/>
            <w:vAlign w:val="center"/>
          </w:tcPr>
          <w:p>
            <w:pPr>
              <w:tabs>
                <w:tab w:val="left" w:pos="6300"/>
              </w:tabs>
              <w:snapToGrid w:val="0"/>
              <w:spacing w:line="360" w:lineRule="auto"/>
              <w:jc w:val="center"/>
              <w:outlineLvl w:val="0"/>
              <w:rPr>
                <w:rFonts w:hint="eastAsia" w:ascii="方正仿宋_GBK" w:hAnsi="宋体" w:eastAsia="方正仿宋_GBK"/>
                <w:color w:val="auto"/>
                <w:sz w:val="21"/>
                <w:szCs w:val="24"/>
                <w:highlight w:val="none"/>
              </w:rPr>
            </w:pPr>
          </w:p>
        </w:tc>
        <w:tc>
          <w:tcPr>
            <w:tcW w:w="2355" w:type="dxa"/>
            <w:noWrap w:val="0"/>
            <w:vAlign w:val="center"/>
          </w:tcPr>
          <w:p>
            <w:pPr>
              <w:tabs>
                <w:tab w:val="left" w:pos="6300"/>
              </w:tabs>
              <w:snapToGrid w:val="0"/>
              <w:spacing w:line="360" w:lineRule="auto"/>
              <w:jc w:val="center"/>
              <w:outlineLvl w:val="0"/>
              <w:rPr>
                <w:rFonts w:hint="eastAsia"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360" w:lineRule="auto"/>
              <w:jc w:val="center"/>
              <w:outlineLvl w:val="0"/>
              <w:rPr>
                <w:rFonts w:hint="eastAsia" w:ascii="方正仿宋_GBK" w:hAnsi="宋体" w:eastAsia="方正仿宋_GBK"/>
                <w:color w:val="auto"/>
                <w:sz w:val="21"/>
                <w:szCs w:val="24"/>
                <w:highlight w:val="none"/>
              </w:rPr>
            </w:pPr>
          </w:p>
        </w:tc>
        <w:tc>
          <w:tcPr>
            <w:tcW w:w="3179" w:type="dxa"/>
            <w:noWrap w:val="0"/>
            <w:vAlign w:val="center"/>
          </w:tcPr>
          <w:p>
            <w:pPr>
              <w:tabs>
                <w:tab w:val="left" w:pos="6300"/>
              </w:tabs>
              <w:snapToGrid w:val="0"/>
              <w:spacing w:line="360" w:lineRule="auto"/>
              <w:jc w:val="center"/>
              <w:outlineLvl w:val="0"/>
              <w:rPr>
                <w:rFonts w:hint="eastAsia" w:ascii="方正仿宋_GBK" w:hAnsi="宋体" w:eastAsia="方正仿宋_GBK"/>
                <w:color w:val="auto"/>
                <w:sz w:val="21"/>
                <w:szCs w:val="24"/>
                <w:highlight w:val="none"/>
              </w:rPr>
            </w:pPr>
          </w:p>
        </w:tc>
        <w:tc>
          <w:tcPr>
            <w:tcW w:w="2434" w:type="dxa"/>
            <w:noWrap w:val="0"/>
            <w:vAlign w:val="center"/>
          </w:tcPr>
          <w:p>
            <w:pPr>
              <w:tabs>
                <w:tab w:val="left" w:pos="6300"/>
              </w:tabs>
              <w:snapToGrid w:val="0"/>
              <w:spacing w:line="360" w:lineRule="auto"/>
              <w:jc w:val="center"/>
              <w:outlineLvl w:val="0"/>
              <w:rPr>
                <w:rFonts w:hint="eastAsia" w:ascii="方正仿宋_GBK" w:hAnsi="宋体" w:eastAsia="方正仿宋_GBK"/>
                <w:color w:val="auto"/>
                <w:sz w:val="21"/>
                <w:szCs w:val="24"/>
                <w:highlight w:val="none"/>
              </w:rPr>
            </w:pPr>
          </w:p>
        </w:tc>
        <w:tc>
          <w:tcPr>
            <w:tcW w:w="2355" w:type="dxa"/>
            <w:noWrap w:val="0"/>
            <w:vAlign w:val="center"/>
          </w:tcPr>
          <w:p>
            <w:pPr>
              <w:tabs>
                <w:tab w:val="left" w:pos="6300"/>
              </w:tabs>
              <w:snapToGrid w:val="0"/>
              <w:spacing w:line="360" w:lineRule="auto"/>
              <w:jc w:val="center"/>
              <w:outlineLvl w:val="0"/>
              <w:rPr>
                <w:rFonts w:hint="eastAsia"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360" w:lineRule="auto"/>
              <w:jc w:val="center"/>
              <w:outlineLvl w:val="0"/>
              <w:rPr>
                <w:rFonts w:hint="eastAsia" w:ascii="方正仿宋_GBK" w:hAnsi="宋体" w:eastAsia="方正仿宋_GBK"/>
                <w:color w:val="auto"/>
                <w:sz w:val="21"/>
                <w:szCs w:val="24"/>
                <w:highlight w:val="none"/>
              </w:rPr>
            </w:pPr>
          </w:p>
        </w:tc>
        <w:tc>
          <w:tcPr>
            <w:tcW w:w="3179" w:type="dxa"/>
            <w:noWrap w:val="0"/>
            <w:vAlign w:val="center"/>
          </w:tcPr>
          <w:p>
            <w:pPr>
              <w:tabs>
                <w:tab w:val="left" w:pos="6300"/>
              </w:tabs>
              <w:snapToGrid w:val="0"/>
              <w:spacing w:line="360" w:lineRule="auto"/>
              <w:jc w:val="center"/>
              <w:outlineLvl w:val="0"/>
              <w:rPr>
                <w:rFonts w:hint="eastAsia" w:ascii="方正仿宋_GBK" w:hAnsi="宋体" w:eastAsia="方正仿宋_GBK"/>
                <w:color w:val="auto"/>
                <w:sz w:val="21"/>
                <w:szCs w:val="24"/>
                <w:highlight w:val="none"/>
              </w:rPr>
            </w:pPr>
          </w:p>
        </w:tc>
        <w:tc>
          <w:tcPr>
            <w:tcW w:w="2434" w:type="dxa"/>
            <w:noWrap w:val="0"/>
            <w:vAlign w:val="center"/>
          </w:tcPr>
          <w:p>
            <w:pPr>
              <w:tabs>
                <w:tab w:val="left" w:pos="6300"/>
              </w:tabs>
              <w:snapToGrid w:val="0"/>
              <w:spacing w:line="360" w:lineRule="auto"/>
              <w:jc w:val="center"/>
              <w:outlineLvl w:val="0"/>
              <w:rPr>
                <w:rFonts w:hint="eastAsia" w:ascii="方正仿宋_GBK" w:hAnsi="宋体" w:eastAsia="方正仿宋_GBK"/>
                <w:color w:val="auto"/>
                <w:sz w:val="21"/>
                <w:szCs w:val="24"/>
                <w:highlight w:val="none"/>
              </w:rPr>
            </w:pPr>
          </w:p>
        </w:tc>
        <w:tc>
          <w:tcPr>
            <w:tcW w:w="2355" w:type="dxa"/>
            <w:noWrap w:val="0"/>
            <w:vAlign w:val="center"/>
          </w:tcPr>
          <w:p>
            <w:pPr>
              <w:tabs>
                <w:tab w:val="left" w:pos="6300"/>
              </w:tabs>
              <w:snapToGrid w:val="0"/>
              <w:spacing w:line="360" w:lineRule="auto"/>
              <w:jc w:val="center"/>
              <w:outlineLvl w:val="0"/>
              <w:rPr>
                <w:rFonts w:hint="eastAsia"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360" w:lineRule="auto"/>
              <w:jc w:val="center"/>
              <w:outlineLvl w:val="0"/>
              <w:rPr>
                <w:rFonts w:hint="eastAsia" w:ascii="方正仿宋_GBK" w:hAnsi="宋体" w:eastAsia="方正仿宋_GBK"/>
                <w:color w:val="auto"/>
                <w:sz w:val="21"/>
                <w:szCs w:val="24"/>
                <w:highlight w:val="none"/>
              </w:rPr>
            </w:pPr>
          </w:p>
        </w:tc>
        <w:tc>
          <w:tcPr>
            <w:tcW w:w="3179" w:type="dxa"/>
            <w:noWrap w:val="0"/>
            <w:vAlign w:val="center"/>
          </w:tcPr>
          <w:p>
            <w:pPr>
              <w:tabs>
                <w:tab w:val="left" w:pos="6300"/>
              </w:tabs>
              <w:snapToGrid w:val="0"/>
              <w:spacing w:line="360" w:lineRule="auto"/>
              <w:jc w:val="center"/>
              <w:outlineLvl w:val="0"/>
              <w:rPr>
                <w:rFonts w:hint="eastAsia" w:ascii="方正仿宋_GBK" w:hAnsi="宋体" w:eastAsia="方正仿宋_GBK"/>
                <w:color w:val="auto"/>
                <w:sz w:val="21"/>
                <w:szCs w:val="24"/>
                <w:highlight w:val="none"/>
              </w:rPr>
            </w:pPr>
          </w:p>
        </w:tc>
        <w:tc>
          <w:tcPr>
            <w:tcW w:w="2434" w:type="dxa"/>
            <w:noWrap w:val="0"/>
            <w:vAlign w:val="center"/>
          </w:tcPr>
          <w:p>
            <w:pPr>
              <w:tabs>
                <w:tab w:val="left" w:pos="6300"/>
              </w:tabs>
              <w:snapToGrid w:val="0"/>
              <w:spacing w:line="360" w:lineRule="auto"/>
              <w:jc w:val="center"/>
              <w:outlineLvl w:val="0"/>
              <w:rPr>
                <w:rFonts w:hint="eastAsia" w:ascii="方正仿宋_GBK" w:hAnsi="宋体" w:eastAsia="方正仿宋_GBK"/>
                <w:color w:val="auto"/>
                <w:sz w:val="21"/>
                <w:szCs w:val="24"/>
                <w:highlight w:val="none"/>
              </w:rPr>
            </w:pPr>
          </w:p>
        </w:tc>
        <w:tc>
          <w:tcPr>
            <w:tcW w:w="2355" w:type="dxa"/>
            <w:noWrap w:val="0"/>
            <w:vAlign w:val="center"/>
          </w:tcPr>
          <w:p>
            <w:pPr>
              <w:tabs>
                <w:tab w:val="left" w:pos="6300"/>
              </w:tabs>
              <w:snapToGrid w:val="0"/>
              <w:spacing w:line="360" w:lineRule="auto"/>
              <w:jc w:val="center"/>
              <w:outlineLvl w:val="0"/>
              <w:rPr>
                <w:rFonts w:hint="eastAsia"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360" w:lineRule="auto"/>
              <w:jc w:val="center"/>
              <w:outlineLvl w:val="0"/>
              <w:rPr>
                <w:rFonts w:hint="eastAsia" w:ascii="方正仿宋_GBK" w:hAnsi="宋体" w:eastAsia="方正仿宋_GBK"/>
                <w:color w:val="auto"/>
                <w:sz w:val="21"/>
                <w:szCs w:val="24"/>
                <w:highlight w:val="none"/>
              </w:rPr>
            </w:pPr>
          </w:p>
        </w:tc>
        <w:tc>
          <w:tcPr>
            <w:tcW w:w="3179" w:type="dxa"/>
            <w:noWrap w:val="0"/>
            <w:vAlign w:val="center"/>
          </w:tcPr>
          <w:p>
            <w:pPr>
              <w:tabs>
                <w:tab w:val="left" w:pos="6300"/>
              </w:tabs>
              <w:snapToGrid w:val="0"/>
              <w:spacing w:line="360" w:lineRule="auto"/>
              <w:jc w:val="center"/>
              <w:outlineLvl w:val="0"/>
              <w:rPr>
                <w:rFonts w:hint="eastAsia" w:ascii="方正仿宋_GBK" w:hAnsi="宋体" w:eastAsia="方正仿宋_GBK"/>
                <w:color w:val="auto"/>
                <w:sz w:val="21"/>
                <w:szCs w:val="24"/>
                <w:highlight w:val="none"/>
              </w:rPr>
            </w:pPr>
          </w:p>
        </w:tc>
        <w:tc>
          <w:tcPr>
            <w:tcW w:w="2434" w:type="dxa"/>
            <w:noWrap w:val="0"/>
            <w:vAlign w:val="center"/>
          </w:tcPr>
          <w:p>
            <w:pPr>
              <w:tabs>
                <w:tab w:val="left" w:pos="6300"/>
              </w:tabs>
              <w:snapToGrid w:val="0"/>
              <w:spacing w:line="360" w:lineRule="auto"/>
              <w:jc w:val="center"/>
              <w:outlineLvl w:val="0"/>
              <w:rPr>
                <w:rFonts w:hint="eastAsia" w:ascii="方正仿宋_GBK" w:hAnsi="宋体" w:eastAsia="方正仿宋_GBK"/>
                <w:color w:val="auto"/>
                <w:sz w:val="21"/>
                <w:szCs w:val="24"/>
                <w:highlight w:val="none"/>
              </w:rPr>
            </w:pPr>
          </w:p>
        </w:tc>
        <w:tc>
          <w:tcPr>
            <w:tcW w:w="2355" w:type="dxa"/>
            <w:noWrap w:val="0"/>
            <w:vAlign w:val="center"/>
          </w:tcPr>
          <w:p>
            <w:pPr>
              <w:tabs>
                <w:tab w:val="left" w:pos="6300"/>
              </w:tabs>
              <w:snapToGrid w:val="0"/>
              <w:spacing w:line="360" w:lineRule="auto"/>
              <w:jc w:val="center"/>
              <w:outlineLvl w:val="0"/>
              <w:rPr>
                <w:rFonts w:hint="eastAsia" w:ascii="方正仿宋_GBK" w:hAnsi="宋体" w:eastAsia="方正仿宋_GBK"/>
                <w:color w:val="auto"/>
                <w:sz w:val="21"/>
                <w:szCs w:val="24"/>
                <w:highlight w:val="none"/>
              </w:rPr>
            </w:pPr>
          </w:p>
        </w:tc>
      </w:tr>
    </w:tbl>
    <w:p>
      <w:pPr>
        <w:snapToGrid w:val="0"/>
        <w:spacing w:line="360" w:lineRule="auto"/>
        <w:ind w:firstLine="465"/>
        <w:rPr>
          <w:rFonts w:ascii="宋体" w:hAnsi="宋体" w:cs="宋体"/>
          <w:color w:val="auto"/>
          <w:sz w:val="24"/>
          <w:szCs w:val="24"/>
          <w:highlight w:val="none"/>
        </w:rPr>
      </w:pPr>
    </w:p>
    <w:p>
      <w:pPr>
        <w:spacing w:line="360" w:lineRule="auto"/>
        <w:ind w:firstLine="600" w:firstLineChars="250"/>
        <w:rPr>
          <w:rFonts w:ascii="宋体" w:hAnsi="宋体" w:cs="宋体"/>
          <w:color w:val="auto"/>
          <w:sz w:val="24"/>
          <w:szCs w:val="28"/>
          <w:highlight w:val="none"/>
        </w:rPr>
      </w:pPr>
      <w:r>
        <w:rPr>
          <w:rFonts w:hint="eastAsia" w:ascii="宋体" w:hAnsi="宋体" w:cs="宋体"/>
          <w:color w:val="auto"/>
          <w:sz w:val="24"/>
          <w:szCs w:val="28"/>
          <w:highlight w:val="none"/>
        </w:rPr>
        <w:t>供应商：                               法定代表人（或其授权代表）：</w:t>
      </w:r>
    </w:p>
    <w:p>
      <w:pPr>
        <w:spacing w:line="360" w:lineRule="auto"/>
        <w:rPr>
          <w:rFonts w:ascii="宋体" w:hAnsi="宋体" w:cs="宋体"/>
          <w:color w:val="auto"/>
          <w:sz w:val="24"/>
          <w:szCs w:val="28"/>
          <w:highlight w:val="none"/>
        </w:rPr>
      </w:pPr>
    </w:p>
    <w:p>
      <w:pPr>
        <w:spacing w:line="360" w:lineRule="auto"/>
        <w:ind w:firstLine="360" w:firstLineChars="150"/>
        <w:rPr>
          <w:rFonts w:ascii="宋体" w:hAnsi="宋体" w:cs="宋体"/>
          <w:color w:val="auto"/>
          <w:sz w:val="24"/>
          <w:szCs w:val="28"/>
          <w:highlight w:val="none"/>
        </w:rPr>
      </w:pPr>
      <w:r>
        <w:rPr>
          <w:rFonts w:hint="eastAsia" w:ascii="宋体" w:hAnsi="宋体" w:cs="宋体"/>
          <w:color w:val="auto"/>
          <w:sz w:val="24"/>
          <w:szCs w:val="28"/>
          <w:highlight w:val="none"/>
        </w:rPr>
        <w:t>（供应商公章）                                 （签字或盖章）</w:t>
      </w:r>
    </w:p>
    <w:p>
      <w:pPr>
        <w:tabs>
          <w:tab w:val="left" w:pos="6300"/>
        </w:tabs>
        <w:snapToGrid w:val="0"/>
        <w:spacing w:line="360" w:lineRule="auto"/>
        <w:ind w:firstLine="570"/>
        <w:rPr>
          <w:rFonts w:ascii="宋体" w:hAnsi="宋体" w:cs="宋体"/>
          <w:color w:val="auto"/>
          <w:sz w:val="24"/>
          <w:highlight w:val="none"/>
        </w:rPr>
      </w:pPr>
      <w:r>
        <w:rPr>
          <w:rFonts w:hint="eastAsia" w:ascii="宋体" w:hAnsi="宋体" w:cs="宋体"/>
          <w:color w:val="auto"/>
          <w:sz w:val="24"/>
          <w:szCs w:val="28"/>
          <w:highlight w:val="none"/>
        </w:rPr>
        <w:t xml:space="preserve">                                            年     月     日</w:t>
      </w:r>
    </w:p>
    <w:p>
      <w:pPr>
        <w:spacing w:line="312" w:lineRule="auto"/>
        <w:rPr>
          <w:rFonts w:hint="eastAsia" w:ascii="宋体" w:hAnsi="宋体" w:cs="宋体"/>
          <w:color w:val="auto"/>
          <w:sz w:val="24"/>
          <w:highlight w:val="none"/>
        </w:rPr>
      </w:pPr>
      <w:r>
        <w:rPr>
          <w:rFonts w:hint="eastAsia" w:ascii="宋体" w:hAnsi="宋体" w:cs="宋体"/>
          <w:color w:val="auto"/>
          <w:sz w:val="24"/>
          <w:highlight w:val="none"/>
        </w:rPr>
        <w:t>注：</w:t>
      </w:r>
    </w:p>
    <w:p>
      <w:pPr>
        <w:spacing w:line="312" w:lineRule="auto"/>
        <w:rPr>
          <w:rFonts w:hint="eastAsia" w:ascii="宋体" w:hAnsi="宋体" w:cs="宋体"/>
          <w:color w:val="auto"/>
          <w:sz w:val="24"/>
          <w:highlight w:val="none"/>
        </w:rPr>
      </w:pPr>
      <w:r>
        <w:rPr>
          <w:rFonts w:hint="eastAsia" w:ascii="宋体" w:hAnsi="宋体" w:cs="宋体"/>
          <w:color w:val="auto"/>
          <w:sz w:val="24"/>
          <w:highlight w:val="none"/>
        </w:rPr>
        <w:t>1.本表即为对本项目“第三篇  项目商务需求”中所列条款进行比较和响应；</w:t>
      </w:r>
    </w:p>
    <w:p>
      <w:pPr>
        <w:spacing w:line="312" w:lineRule="auto"/>
        <w:rPr>
          <w:rFonts w:ascii="宋体" w:hAnsi="宋体" w:cs="宋体"/>
          <w:color w:val="auto"/>
          <w:sz w:val="24"/>
          <w:szCs w:val="24"/>
          <w:highlight w:val="none"/>
        </w:rPr>
      </w:pPr>
      <w:r>
        <w:rPr>
          <w:rFonts w:hint="eastAsia" w:ascii="宋体" w:hAnsi="宋体" w:cs="宋体"/>
          <w:color w:val="auto"/>
          <w:sz w:val="24"/>
          <w:highlight w:val="none"/>
        </w:rPr>
        <w:t>2.本表可扩展。</w:t>
      </w:r>
    </w:p>
    <w:p>
      <w:pPr>
        <w:spacing w:line="312" w:lineRule="auto"/>
        <w:ind w:firstLine="600" w:firstLineChars="250"/>
        <w:rPr>
          <w:rFonts w:ascii="宋体" w:hAnsi="宋体" w:cs="宋体"/>
          <w:color w:val="auto"/>
          <w:sz w:val="24"/>
          <w:szCs w:val="24"/>
          <w:highlight w:val="none"/>
        </w:rPr>
      </w:pPr>
    </w:p>
    <w:p>
      <w:pPr>
        <w:spacing w:line="312" w:lineRule="auto"/>
        <w:ind w:firstLine="600" w:firstLineChars="250"/>
        <w:rPr>
          <w:rFonts w:ascii="宋体" w:hAnsi="宋体" w:cs="宋体"/>
          <w:color w:val="auto"/>
          <w:sz w:val="24"/>
          <w:szCs w:val="24"/>
          <w:highlight w:val="none"/>
        </w:rPr>
      </w:pPr>
      <w:r>
        <w:rPr>
          <w:rFonts w:hint="eastAsia" w:ascii="宋体" w:hAnsi="宋体" w:cs="宋体"/>
          <w:color w:val="auto"/>
          <w:sz w:val="24"/>
          <w:szCs w:val="24"/>
          <w:highlight w:val="none"/>
        </w:rPr>
        <w:br w:type="page"/>
      </w:r>
      <w:r>
        <w:rPr>
          <w:rFonts w:hint="eastAsia" w:ascii="宋体" w:hAnsi="宋体" w:cs="宋体"/>
          <w:color w:val="auto"/>
          <w:sz w:val="24"/>
          <w:szCs w:val="24"/>
          <w:highlight w:val="none"/>
        </w:rPr>
        <w:t>（二）其它优惠承诺（格式自定）</w:t>
      </w:r>
    </w:p>
    <w:p>
      <w:pPr>
        <w:pStyle w:val="4"/>
        <w:spacing w:before="0" w:after="0" w:line="312" w:lineRule="auto"/>
        <w:rPr>
          <w:rFonts w:ascii="宋体" w:hAnsi="宋体" w:cs="宋体"/>
          <w:color w:val="auto"/>
          <w:highlight w:val="none"/>
        </w:rPr>
      </w:pPr>
      <w:r>
        <w:rPr>
          <w:rFonts w:hint="eastAsia" w:ascii="宋体" w:hAnsi="宋体" w:cs="宋体"/>
          <w:color w:val="auto"/>
          <w:sz w:val="24"/>
          <w:szCs w:val="24"/>
          <w:highlight w:val="none"/>
        </w:rPr>
        <w:br w:type="page"/>
      </w:r>
      <w:bookmarkEnd w:id="152"/>
      <w:bookmarkStart w:id="153" w:name="_Toc10102"/>
      <w:bookmarkStart w:id="154" w:name="_Toc313008359"/>
      <w:bookmarkStart w:id="155" w:name="_Toc13012"/>
      <w:bookmarkStart w:id="156" w:name="_Toc313888363"/>
      <w:bookmarkStart w:id="157" w:name="_Toc5971"/>
      <w:bookmarkStart w:id="158" w:name="_Toc342913422"/>
      <w:r>
        <w:rPr>
          <w:rFonts w:hint="eastAsia" w:ascii="宋体" w:hAnsi="宋体" w:cs="宋体"/>
          <w:color w:val="auto"/>
          <w:sz w:val="24"/>
          <w:szCs w:val="24"/>
          <w:highlight w:val="none"/>
        </w:rPr>
        <w:t>四、资格条件及其他</w:t>
      </w:r>
      <w:bookmarkEnd w:id="153"/>
      <w:bookmarkEnd w:id="154"/>
      <w:bookmarkEnd w:id="155"/>
      <w:bookmarkEnd w:id="156"/>
      <w:bookmarkEnd w:id="157"/>
      <w:bookmarkEnd w:id="158"/>
    </w:p>
    <w:p>
      <w:pPr>
        <w:tabs>
          <w:tab w:val="left" w:pos="6300"/>
        </w:tabs>
        <w:snapToGrid w:val="0"/>
        <w:spacing w:line="312" w:lineRule="auto"/>
        <w:ind w:firstLine="570"/>
        <w:rPr>
          <w:rFonts w:ascii="宋体" w:hAnsi="宋体" w:cs="宋体"/>
          <w:color w:val="auto"/>
          <w:highlight w:val="none"/>
        </w:rPr>
      </w:pPr>
      <w:r>
        <w:rPr>
          <w:rFonts w:hint="eastAsia" w:ascii="宋体" w:hAnsi="宋体" w:cs="宋体"/>
          <w:color w:val="auto"/>
          <w:sz w:val="24"/>
          <w:szCs w:val="24"/>
          <w:highlight w:val="none"/>
        </w:rPr>
        <w:t>（一）法人营业执照（副本）或事业单位法人证书（副本）或个体工商户营业执照或有效的自然人身份证明或社会团体法人登记证书复印件</w:t>
      </w:r>
    </w:p>
    <w:p>
      <w:pPr>
        <w:tabs>
          <w:tab w:val="left" w:pos="6300"/>
        </w:tabs>
        <w:snapToGrid w:val="0"/>
        <w:spacing w:line="312" w:lineRule="auto"/>
        <w:ind w:firstLine="570"/>
        <w:rPr>
          <w:rFonts w:ascii="宋体" w:hAnsi="宋体" w:cs="宋体"/>
          <w:color w:val="auto"/>
          <w:highlight w:val="none"/>
        </w:rPr>
      </w:pPr>
    </w:p>
    <w:p>
      <w:pPr>
        <w:tabs>
          <w:tab w:val="left" w:pos="6300"/>
        </w:tabs>
        <w:snapToGrid w:val="0"/>
        <w:spacing w:line="312" w:lineRule="auto"/>
        <w:ind w:firstLine="570"/>
        <w:rPr>
          <w:rFonts w:ascii="宋体" w:hAnsi="宋体" w:cs="宋体"/>
          <w:color w:val="auto"/>
          <w:highlight w:val="none"/>
        </w:rPr>
      </w:pPr>
    </w:p>
    <w:p>
      <w:pPr>
        <w:widowControl/>
        <w:spacing w:line="312" w:lineRule="auto"/>
        <w:ind w:firstLine="560" w:firstLineChars="200"/>
        <w:jc w:val="left"/>
        <w:rPr>
          <w:rFonts w:ascii="宋体" w:hAnsi="宋体" w:cs="宋体"/>
          <w:color w:val="auto"/>
          <w:sz w:val="24"/>
          <w:szCs w:val="24"/>
          <w:highlight w:val="none"/>
        </w:rPr>
      </w:pPr>
      <w:r>
        <w:rPr>
          <w:rFonts w:hint="eastAsia" w:ascii="宋体" w:hAnsi="宋体" w:cs="宋体"/>
          <w:color w:val="auto"/>
          <w:highlight w:val="none"/>
        </w:rPr>
        <w:br w:type="page"/>
      </w:r>
      <w:r>
        <w:rPr>
          <w:rFonts w:hint="eastAsia" w:ascii="宋体" w:hAnsi="宋体" w:cs="宋体"/>
          <w:color w:val="auto"/>
          <w:sz w:val="24"/>
          <w:szCs w:val="24"/>
          <w:highlight w:val="none"/>
        </w:rPr>
        <w:t>（三）法定代表人身份证明书（格式）</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项目名称：</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致：（采购人名称）：</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（法定代表人姓名）在（供应商名称）任（职务名称）职务，是（供应商名称）的法定代表人。</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特此证明。</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（供应商公章）</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年   月   日</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hint="eastAsia" w:ascii="宋体" w:hAnsi="宋体" w:cs="宋体"/>
          <w:color w:val="auto"/>
          <w:sz w:val="24"/>
          <w:szCs w:val="24"/>
          <w:highlight w:val="none"/>
        </w:rPr>
      </w:pPr>
      <w:r>
        <w:rPr>
          <w:rFonts w:hint="eastAsia" w:ascii="宋体" w:hAnsi="宋体" w:cs="宋体"/>
          <w:color w:val="auto"/>
          <w:sz w:val="24"/>
          <w:szCs w:val="24"/>
          <w:highlight w:val="none"/>
        </w:rPr>
        <w:t>法定代表人电话：XXXXXXX      电子邮箱：XXXXXX@XXXXX（若授权他人办理并签署响应文件的可不填写）</w:t>
      </w:r>
    </w:p>
    <w:p>
      <w:pPr>
        <w:tabs>
          <w:tab w:val="left" w:pos="6300"/>
        </w:tabs>
        <w:snapToGrid w:val="0"/>
        <w:spacing w:line="312" w:lineRule="auto"/>
        <w:ind w:firstLine="570"/>
        <w:rPr>
          <w:rFonts w:ascii="宋体" w:hAnsi="宋体" w:cs="宋体"/>
          <w:color w:val="auto"/>
          <w:sz w:val="24"/>
          <w:highlight w:val="none"/>
        </w:rPr>
      </w:pPr>
      <w:r>
        <w:rPr>
          <w:rFonts w:hint="eastAsia" w:ascii="宋体" w:hAnsi="宋体" w:cs="宋体"/>
          <w:color w:val="auto"/>
          <w:sz w:val="24"/>
          <w:szCs w:val="24"/>
          <w:highlight w:val="none"/>
        </w:rPr>
        <w:t>（附：法定代表人身份证正反面复印件）</w:t>
      </w: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highlight w:val="none"/>
        </w:rPr>
        <w:br w:type="column"/>
      </w:r>
      <w:r>
        <w:rPr>
          <w:rFonts w:hint="eastAsia" w:ascii="宋体" w:hAnsi="宋体" w:cs="宋体"/>
          <w:color w:val="auto"/>
          <w:sz w:val="24"/>
          <w:szCs w:val="24"/>
          <w:highlight w:val="none"/>
        </w:rPr>
        <w:t>（四）法定代表人授权委托书（格式）</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项目名称：</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致：（采购人名称）：</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（供应商法定代表人名称）是（供应商名称）的法定代表人，特授权（被授权人姓名及身份证代码）代表我单位全权办理上述项目的</w:t>
      </w:r>
      <w:r>
        <w:rPr>
          <w:rFonts w:hint="eastAsia" w:ascii="宋体" w:hAnsi="宋体" w:cs="宋体"/>
          <w:color w:val="auto"/>
          <w:sz w:val="24"/>
          <w:szCs w:val="24"/>
          <w:highlight w:val="none"/>
          <w:lang w:eastAsia="zh-CN"/>
        </w:rPr>
        <w:t>磋商</w:t>
      </w:r>
      <w:r>
        <w:rPr>
          <w:rFonts w:hint="eastAsia" w:ascii="宋体" w:hAnsi="宋体" w:cs="宋体"/>
          <w:color w:val="auto"/>
          <w:sz w:val="24"/>
          <w:szCs w:val="24"/>
          <w:highlight w:val="none"/>
        </w:rPr>
        <w:t>、签约等具体工作，并签署全部有关文件、协议及合同。</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我单位对被授权人的签字负全部责任。</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在撤消授权的书面通知以前，本授权书一直有效。被授权人在授权书有效期内签署的所有文件不因授权的撤消而失效。</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被授权人：                                 供应商法定代表人：</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（签字或盖章）                                （签字或盖章）</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hint="eastAsia" w:ascii="宋体" w:hAnsi="宋体" w:cs="宋体"/>
          <w:color w:val="auto"/>
          <w:sz w:val="24"/>
          <w:szCs w:val="24"/>
          <w:highlight w:val="none"/>
        </w:rPr>
      </w:pPr>
      <w:r>
        <w:rPr>
          <w:rFonts w:hint="eastAsia" w:ascii="宋体" w:hAnsi="宋体" w:cs="宋体"/>
          <w:color w:val="auto"/>
          <w:sz w:val="24"/>
          <w:szCs w:val="24"/>
          <w:highlight w:val="none"/>
        </w:rPr>
        <w:t>（附：被授权人身份证正反面复印件）</w:t>
      </w:r>
    </w:p>
    <w:p>
      <w:pPr>
        <w:tabs>
          <w:tab w:val="left" w:pos="6300"/>
        </w:tabs>
        <w:snapToGrid w:val="0"/>
        <w:spacing w:line="312" w:lineRule="auto"/>
        <w:ind w:firstLine="57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p>
    <w:p>
      <w:pPr>
        <w:tabs>
          <w:tab w:val="left" w:pos="6300"/>
        </w:tabs>
        <w:snapToGrid w:val="0"/>
        <w:spacing w:line="312" w:lineRule="auto"/>
        <w:ind w:firstLine="570"/>
        <w:rPr>
          <w:rFonts w:hint="eastAsia" w:ascii="宋体" w:hAnsi="宋体" w:cs="宋体"/>
          <w:color w:val="auto"/>
          <w:sz w:val="24"/>
          <w:szCs w:val="24"/>
          <w:highlight w:val="none"/>
        </w:rPr>
      </w:pPr>
    </w:p>
    <w:p>
      <w:pPr>
        <w:tabs>
          <w:tab w:val="left" w:pos="6300"/>
        </w:tabs>
        <w:snapToGrid w:val="0"/>
        <w:spacing w:line="312" w:lineRule="auto"/>
        <w:ind w:firstLine="570"/>
        <w:rPr>
          <w:rFonts w:hint="eastAsia" w:ascii="宋体" w:hAnsi="宋体" w:cs="宋体"/>
          <w:color w:val="auto"/>
          <w:sz w:val="24"/>
          <w:szCs w:val="24"/>
          <w:highlight w:val="none"/>
        </w:rPr>
      </w:pPr>
    </w:p>
    <w:p>
      <w:pPr>
        <w:tabs>
          <w:tab w:val="left" w:pos="6300"/>
        </w:tabs>
        <w:snapToGrid w:val="0"/>
        <w:spacing w:line="312" w:lineRule="auto"/>
        <w:ind w:firstLine="6002" w:firstLineChars="2501"/>
        <w:rPr>
          <w:rFonts w:hint="eastAsia" w:ascii="宋体" w:hAnsi="宋体" w:cs="宋体"/>
          <w:color w:val="auto"/>
          <w:sz w:val="24"/>
          <w:szCs w:val="24"/>
          <w:highlight w:val="none"/>
        </w:rPr>
      </w:pPr>
      <w:r>
        <w:rPr>
          <w:rFonts w:hint="eastAsia" w:ascii="宋体" w:hAnsi="宋体" w:cs="宋体"/>
          <w:color w:val="auto"/>
          <w:sz w:val="24"/>
          <w:szCs w:val="24"/>
          <w:highlight w:val="none"/>
        </w:rPr>
        <w:t>（供应商公章）</w:t>
      </w:r>
    </w:p>
    <w:p>
      <w:pPr>
        <w:tabs>
          <w:tab w:val="left" w:pos="6300"/>
        </w:tabs>
        <w:snapToGrid w:val="0"/>
        <w:spacing w:line="312" w:lineRule="auto"/>
        <w:ind w:firstLine="6242" w:firstLineChars="2601"/>
        <w:rPr>
          <w:rFonts w:ascii="宋体" w:hAnsi="宋体" w:cs="宋体"/>
          <w:color w:val="auto"/>
          <w:sz w:val="24"/>
          <w:szCs w:val="24"/>
          <w:highlight w:val="none"/>
        </w:rPr>
      </w:pPr>
      <w:r>
        <w:rPr>
          <w:rFonts w:hint="eastAsia" w:ascii="宋体" w:hAnsi="宋体" w:cs="宋体"/>
          <w:color w:val="auto"/>
          <w:sz w:val="24"/>
          <w:szCs w:val="24"/>
          <w:highlight w:val="none"/>
        </w:rPr>
        <w:t>年   月   日</w:t>
      </w:r>
    </w:p>
    <w:p>
      <w:pPr>
        <w:tabs>
          <w:tab w:val="left" w:pos="6300"/>
        </w:tabs>
        <w:snapToGrid w:val="0"/>
        <w:spacing w:line="312" w:lineRule="auto"/>
        <w:ind w:right="480" w:firstLine="570"/>
        <w:jc w:val="right"/>
        <w:rPr>
          <w:rFonts w:hint="eastAsia" w:ascii="宋体" w:hAnsi="宋体" w:cs="宋体"/>
          <w:color w:val="auto"/>
          <w:sz w:val="24"/>
          <w:szCs w:val="24"/>
          <w:highlight w:val="none"/>
        </w:rPr>
      </w:pPr>
      <w:r>
        <w:rPr>
          <w:rFonts w:hint="eastAsia" w:ascii="宋体" w:hAnsi="宋体" w:cs="宋体"/>
          <w:color w:val="auto"/>
          <w:sz w:val="24"/>
          <w:szCs w:val="24"/>
          <w:highlight w:val="none"/>
        </w:rPr>
        <w:t>被授权人电话：XXXXXXX     电子邮箱：XXXXXX@XXXXX（若法定代表</w:t>
      </w:r>
    </w:p>
    <w:p>
      <w:pPr>
        <w:tabs>
          <w:tab w:val="left" w:pos="6300"/>
        </w:tabs>
        <w:snapToGrid w:val="0"/>
        <w:spacing w:line="312" w:lineRule="auto"/>
        <w:ind w:right="480"/>
        <w:jc w:val="both"/>
        <w:rPr>
          <w:rFonts w:hint="eastAsia" w:ascii="宋体" w:hAnsi="宋体" w:cs="宋体"/>
          <w:color w:val="auto"/>
          <w:sz w:val="24"/>
          <w:szCs w:val="24"/>
          <w:highlight w:val="none"/>
        </w:rPr>
      </w:pPr>
      <w:r>
        <w:rPr>
          <w:rFonts w:hint="eastAsia" w:ascii="宋体" w:hAnsi="宋体" w:cs="宋体"/>
          <w:color w:val="auto"/>
          <w:sz w:val="24"/>
          <w:szCs w:val="24"/>
          <w:highlight w:val="none"/>
        </w:rPr>
        <w:t>人办理并签署响应文件的可不填写）</w:t>
      </w:r>
    </w:p>
    <w:p>
      <w:pPr>
        <w:tabs>
          <w:tab w:val="left" w:pos="6300"/>
        </w:tabs>
        <w:snapToGrid w:val="0"/>
        <w:spacing w:line="312" w:lineRule="auto"/>
        <w:ind w:right="480" w:firstLine="720" w:firstLineChars="300"/>
        <w:jc w:val="both"/>
        <w:rPr>
          <w:rFonts w:hint="eastAsia" w:ascii="宋体" w:hAnsi="宋体" w:cs="宋体"/>
          <w:color w:val="auto"/>
          <w:sz w:val="24"/>
          <w:szCs w:val="24"/>
          <w:highlight w:val="none"/>
        </w:rPr>
      </w:pPr>
      <w:r>
        <w:rPr>
          <w:rFonts w:hint="eastAsia" w:ascii="宋体" w:hAnsi="宋体" w:cs="宋体"/>
          <w:color w:val="auto"/>
          <w:sz w:val="24"/>
          <w:szCs w:val="24"/>
          <w:highlight w:val="none"/>
        </w:rPr>
        <w:t>注：</w:t>
      </w:r>
    </w:p>
    <w:p>
      <w:pPr>
        <w:tabs>
          <w:tab w:val="left" w:pos="6300"/>
        </w:tabs>
        <w:snapToGrid w:val="0"/>
        <w:spacing w:line="312" w:lineRule="auto"/>
        <w:ind w:right="480" w:firstLine="720" w:firstLineChars="300"/>
        <w:jc w:val="both"/>
        <w:rPr>
          <w:rFonts w:hint="eastAsia" w:ascii="宋体" w:hAnsi="宋体" w:cs="宋体"/>
          <w:color w:val="auto"/>
          <w:sz w:val="24"/>
          <w:szCs w:val="24"/>
          <w:highlight w:val="none"/>
        </w:rPr>
      </w:pPr>
      <w:r>
        <w:rPr>
          <w:rFonts w:hint="eastAsia" w:ascii="宋体" w:hAnsi="宋体" w:cs="宋体"/>
          <w:color w:val="auto"/>
          <w:sz w:val="24"/>
          <w:szCs w:val="24"/>
          <w:highlight w:val="none"/>
        </w:rPr>
        <w:t>1.若为法定代表人办理并签署响应文件的，不提供此文件。</w:t>
      </w:r>
    </w:p>
    <w:p>
      <w:pPr>
        <w:tabs>
          <w:tab w:val="left" w:pos="6300"/>
        </w:tabs>
        <w:snapToGrid w:val="0"/>
        <w:spacing w:line="312" w:lineRule="auto"/>
        <w:ind w:right="480" w:firstLine="570"/>
        <w:jc w:val="right"/>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2.若为联合体参与的，法定代表人授权委托书由联合体主办方（主体）</w:t>
      </w:r>
    </w:p>
    <w:p>
      <w:pPr>
        <w:tabs>
          <w:tab w:val="left" w:pos="6300"/>
        </w:tabs>
        <w:snapToGrid w:val="0"/>
        <w:spacing w:line="312" w:lineRule="auto"/>
        <w:ind w:right="480"/>
        <w:jc w:val="both"/>
        <w:rPr>
          <w:rFonts w:ascii="宋体" w:hAnsi="宋体" w:cs="宋体"/>
          <w:color w:val="auto"/>
          <w:sz w:val="24"/>
          <w:highlight w:val="none"/>
        </w:rPr>
      </w:pPr>
      <w:r>
        <w:rPr>
          <w:rFonts w:hint="eastAsia" w:ascii="宋体" w:hAnsi="宋体" w:cs="宋体"/>
          <w:color w:val="auto"/>
          <w:sz w:val="24"/>
          <w:szCs w:val="24"/>
          <w:highlight w:val="none"/>
        </w:rPr>
        <w:t>出具。</w:t>
      </w:r>
    </w:p>
    <w:p>
      <w:pPr>
        <w:tabs>
          <w:tab w:val="left" w:pos="6300"/>
        </w:tabs>
        <w:snapToGrid w:val="0"/>
        <w:spacing w:line="312" w:lineRule="auto"/>
        <w:ind w:right="480" w:firstLine="570"/>
        <w:jc w:val="right"/>
        <w:rPr>
          <w:rFonts w:ascii="宋体" w:hAnsi="宋体" w:cs="宋体"/>
          <w:color w:val="auto"/>
          <w:sz w:val="24"/>
          <w:highlight w:val="none"/>
        </w:rPr>
      </w:pPr>
    </w:p>
    <w:p>
      <w:pPr>
        <w:tabs>
          <w:tab w:val="left" w:pos="6300"/>
        </w:tabs>
        <w:snapToGrid w:val="0"/>
        <w:spacing w:line="500" w:lineRule="exact"/>
        <w:ind w:firstLine="570"/>
        <w:rPr>
          <w:rFonts w:hint="eastAsia" w:ascii="宋体" w:hAnsi="宋体" w:eastAsia="宋体" w:cs="宋体"/>
          <w:color w:val="auto"/>
          <w:sz w:val="24"/>
          <w:szCs w:val="24"/>
          <w:highlight w:val="none"/>
        </w:rPr>
      </w:pPr>
      <w:r>
        <w:rPr>
          <w:rFonts w:hint="eastAsia" w:ascii="宋体" w:hAnsi="宋体" w:cs="宋体"/>
          <w:color w:val="auto"/>
          <w:highlight w:val="none"/>
        </w:rPr>
        <w:br w:type="column"/>
      </w:r>
      <w:r>
        <w:rPr>
          <w:rFonts w:hint="eastAsia" w:ascii="宋体" w:hAnsi="宋体" w:eastAsia="宋体" w:cs="宋体"/>
          <w:color w:val="auto"/>
          <w:sz w:val="24"/>
          <w:szCs w:val="24"/>
          <w:highlight w:val="none"/>
        </w:rPr>
        <w:t>（四）基本资格条件承诺函</w:t>
      </w:r>
    </w:p>
    <w:p>
      <w:pPr>
        <w:tabs>
          <w:tab w:val="left" w:pos="6300"/>
        </w:tabs>
        <w:snapToGrid w:val="0"/>
        <w:spacing w:line="500" w:lineRule="exact"/>
        <w:ind w:firstLine="643" w:firstLineChars="200"/>
        <w:jc w:val="center"/>
        <w:rPr>
          <w:rFonts w:hint="eastAsia"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rPr>
        <w:t>基本资格条件承诺函</w:t>
      </w:r>
    </w:p>
    <w:p>
      <w:pPr>
        <w:tabs>
          <w:tab w:val="left" w:pos="6300"/>
        </w:tabs>
        <w:snapToGrid w:val="0"/>
        <w:spacing w:line="530" w:lineRule="exact"/>
        <w:rPr>
          <w:color w:val="auto"/>
          <w:sz w:val="24"/>
          <w:highlight w:val="none"/>
        </w:rPr>
      </w:pPr>
    </w:p>
    <w:p>
      <w:pPr>
        <w:tabs>
          <w:tab w:val="left" w:pos="6300"/>
        </w:tabs>
        <w:snapToGrid w:val="0"/>
        <w:spacing w:line="5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（采购</w:t>
      </w:r>
      <w:r>
        <w:rPr>
          <w:rFonts w:hint="eastAsia" w:asciiTheme="minorEastAsia" w:hAnsiTheme="minorEastAsia" w:eastAsiaTheme="minorEastAsia" w:cstheme="minorEastAsia"/>
          <w:color w:val="auto"/>
          <w:sz w:val="24"/>
          <w:szCs w:val="24"/>
          <w:highlight w:val="none"/>
          <w:lang w:eastAsia="zh-CN"/>
        </w:rPr>
        <w:t>人</w:t>
      </w:r>
      <w:r>
        <w:rPr>
          <w:rFonts w:hint="eastAsia" w:asciiTheme="minorEastAsia" w:hAnsiTheme="minorEastAsia" w:eastAsiaTheme="minorEastAsia" w:cstheme="minorEastAsia"/>
          <w:color w:val="auto"/>
          <w:sz w:val="24"/>
          <w:szCs w:val="24"/>
          <w:highlight w:val="none"/>
        </w:rPr>
        <w:t>名称）：</w:t>
      </w:r>
    </w:p>
    <w:p>
      <w:pPr>
        <w:tabs>
          <w:tab w:val="left" w:pos="6300"/>
        </w:tabs>
        <w:snapToGrid w:val="0"/>
        <w:spacing w:line="5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（供应商名称）郑重承诺：</w:t>
      </w:r>
    </w:p>
    <w:p>
      <w:pPr>
        <w:tabs>
          <w:tab w:val="left" w:pos="6300"/>
        </w:tabs>
        <w:snapToGrid w:val="0"/>
        <w:spacing w:line="5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1.我方具有良好的商业信誉和健全的财务会计制度，具有履行合同所必需的设备和专业技术能力，具</w:t>
      </w:r>
      <w:r>
        <w:rPr>
          <w:rFonts w:hint="eastAsia" w:asciiTheme="minorEastAsia" w:hAnsiTheme="minorEastAsia" w:eastAsiaTheme="minorEastAsia" w:cstheme="minorEastAsia"/>
          <w:color w:val="auto"/>
          <w:sz w:val="24"/>
          <w:szCs w:val="24"/>
          <w:highlight w:val="none"/>
          <w:lang w:val="zh-CN"/>
        </w:rPr>
        <w:t>有依法缴纳税收和社会保障金的良好记录</w:t>
      </w:r>
      <w:r>
        <w:rPr>
          <w:rFonts w:hint="eastAsia" w:asciiTheme="minorEastAsia" w:hAnsiTheme="minorEastAsia" w:eastAsiaTheme="minorEastAsia" w:cstheme="minorEastAsia"/>
          <w:color w:val="auto"/>
          <w:sz w:val="24"/>
          <w:szCs w:val="24"/>
          <w:highlight w:val="none"/>
        </w:rPr>
        <w:t>，参加本项目采购活动前三年内无重大违法活动记录。</w:t>
      </w:r>
    </w:p>
    <w:p>
      <w:pPr>
        <w:tabs>
          <w:tab w:val="left" w:pos="6300"/>
        </w:tabs>
        <w:snapToGrid w:val="0"/>
        <w:spacing w:line="5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3.我方在采购项目评审（评标）环节结束后，随时接受采购人的检查验证，配合提供相关证明材料，证明符合《中华人民共和国政府采购法》规定的供应商基本资格条件。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我方对以上承诺负全部法律责任。</w:t>
      </w:r>
    </w:p>
    <w:p>
      <w:pPr>
        <w:tabs>
          <w:tab w:val="left" w:pos="6300"/>
        </w:tabs>
        <w:snapToGrid w:val="0"/>
        <w:spacing w:line="5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特此承诺。</w:t>
      </w:r>
    </w:p>
    <w:p>
      <w:pPr>
        <w:tabs>
          <w:tab w:val="left" w:pos="6300"/>
        </w:tabs>
        <w:snapToGrid w:val="0"/>
        <w:spacing w:line="500" w:lineRule="exact"/>
        <w:ind w:firstLine="480" w:firstLineChars="200"/>
        <w:rPr>
          <w:rFonts w:hint="eastAsia" w:asciiTheme="minorEastAsia" w:hAnsiTheme="minorEastAsia" w:eastAsiaTheme="minorEastAsia" w:cstheme="minorEastAsia"/>
          <w:color w:val="auto"/>
          <w:sz w:val="24"/>
          <w:szCs w:val="24"/>
          <w:highlight w:val="none"/>
        </w:rPr>
      </w:pPr>
    </w:p>
    <w:p>
      <w:pPr>
        <w:tabs>
          <w:tab w:val="left" w:pos="6300"/>
        </w:tabs>
        <w:snapToGrid w:val="0"/>
        <w:spacing w:line="500" w:lineRule="exact"/>
        <w:ind w:firstLine="480" w:firstLineChars="200"/>
        <w:jc w:val="righ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（供应商公章）</w:t>
      </w:r>
    </w:p>
    <w:p>
      <w:pPr>
        <w:tabs>
          <w:tab w:val="left" w:pos="6300"/>
        </w:tabs>
        <w:snapToGrid w:val="0"/>
        <w:spacing w:line="500" w:lineRule="exact"/>
        <w:ind w:firstLine="6720" w:firstLineChars="28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年   月   日</w:t>
      </w:r>
    </w:p>
    <w:p>
      <w:pPr>
        <w:tabs>
          <w:tab w:val="left" w:pos="6300"/>
        </w:tabs>
        <w:snapToGrid w:val="0"/>
        <w:spacing w:line="312" w:lineRule="auto"/>
        <w:rPr>
          <w:rFonts w:hint="eastAsia" w:ascii="宋体" w:hAnsi="宋体" w:cs="宋体"/>
          <w:color w:val="auto"/>
          <w:sz w:val="24"/>
          <w:szCs w:val="24"/>
          <w:highlight w:val="none"/>
        </w:rPr>
      </w:pPr>
      <w:r>
        <w:rPr>
          <w:rFonts w:hint="eastAsia" w:ascii="宋体" w:hAnsi="宋体" w:cs="宋体"/>
          <w:color w:val="auto"/>
          <w:highlight w:val="none"/>
        </w:rPr>
        <w:br w:type="page"/>
      </w:r>
      <w:r>
        <w:rPr>
          <w:rFonts w:hint="eastAsia" w:ascii="宋体" w:hAnsi="宋体" w:cs="宋体"/>
          <w:color w:val="auto"/>
          <w:sz w:val="24"/>
          <w:szCs w:val="24"/>
          <w:highlight w:val="none"/>
        </w:rPr>
        <w:t>（五）特定资格条件证明文件</w:t>
      </w: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pStyle w:val="3"/>
        <w:adjustRightInd w:val="0"/>
        <w:snapToGrid w:val="0"/>
        <w:spacing w:before="0" w:after="0" w:line="400" w:lineRule="exact"/>
        <w:ind w:firstLine="643" w:firstLineChars="200"/>
        <w:rPr>
          <w:rFonts w:hint="eastAsia" w:ascii="方正仿宋_GBK" w:hAnsi="宋体" w:eastAsia="方正仿宋_GBK"/>
          <w:color w:val="auto"/>
          <w:sz w:val="24"/>
          <w:highlight w:val="none"/>
        </w:rPr>
      </w:pPr>
      <w:r>
        <w:rPr>
          <w:rFonts w:ascii="宋体" w:hAnsi="宋体" w:cs="宋体"/>
          <w:color w:val="auto"/>
          <w:highlight w:val="none"/>
        </w:rPr>
        <w:br w:type="page"/>
      </w:r>
      <w:bookmarkStart w:id="159" w:name="_Toc76462354"/>
      <w:bookmarkStart w:id="160" w:name="_Toc106030910"/>
      <w:bookmarkStart w:id="161" w:name="_Toc14422"/>
      <w:r>
        <w:rPr>
          <w:rFonts w:hint="eastAsia" w:asciiTheme="minorEastAsia" w:hAnsiTheme="minorEastAsia" w:eastAsiaTheme="minorEastAsia" w:cstheme="minorEastAsia"/>
          <w:color w:val="auto"/>
          <w:sz w:val="24"/>
          <w:highlight w:val="none"/>
        </w:rPr>
        <w:t>五、其他资料</w:t>
      </w:r>
      <w:bookmarkEnd w:id="159"/>
      <w:bookmarkEnd w:id="160"/>
    </w:p>
    <w:p>
      <w:pPr>
        <w:tabs>
          <w:tab w:val="left" w:pos="6300"/>
        </w:tabs>
        <w:snapToGrid w:val="0"/>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（一）中小企业声明函、监狱企业证明文件、残疾人福利性单位声明函</w:t>
      </w:r>
    </w:p>
    <w:p>
      <w:pPr>
        <w:tabs>
          <w:tab w:val="left" w:pos="6300"/>
        </w:tabs>
        <w:snapToGrid w:val="0"/>
        <w:spacing w:line="500" w:lineRule="exact"/>
        <w:ind w:firstLine="560" w:firstLineChars="20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中小企业声明函</w:t>
      </w:r>
    </w:p>
    <w:p>
      <w:pPr>
        <w:tabs>
          <w:tab w:val="left" w:pos="6300"/>
        </w:tabs>
        <w:snapToGrid w:val="0"/>
        <w:spacing w:line="500" w:lineRule="exact"/>
        <w:ind w:firstLine="480" w:firstLineChars="200"/>
        <w:rPr>
          <w:rFonts w:hint="eastAsia"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本公司（联合体）郑重声明，根据《政府采购促进中小企业发展管理办法》（</w:t>
      </w:r>
      <w:r>
        <w:rPr>
          <w:rFonts w:hint="eastAsia" w:asciiTheme="minorEastAsia" w:hAnsiTheme="minorEastAsia" w:eastAsiaTheme="minorEastAsia" w:cstheme="minorEastAsia"/>
          <w:color w:val="auto"/>
          <w:sz w:val="24"/>
          <w:szCs w:val="24"/>
          <w:highlight w:val="none"/>
        </w:rPr>
        <w:t>财库〔2020〕46号</w:t>
      </w:r>
      <w:r>
        <w:rPr>
          <w:rFonts w:hint="eastAsia" w:asciiTheme="minorEastAsia" w:hAnsiTheme="minorEastAsia" w:eastAsiaTheme="minorEastAsia" w:cstheme="minorEastAsia"/>
          <w:color w:val="auto"/>
          <w:sz w:val="24"/>
          <w:szCs w:val="28"/>
          <w:highlight w:val="none"/>
        </w:rPr>
        <w:t>）的规定，本公司（联合体）参加</w:t>
      </w:r>
      <w:r>
        <w:rPr>
          <w:rFonts w:hint="eastAsia" w:asciiTheme="minorEastAsia" w:hAnsiTheme="minorEastAsia" w:eastAsiaTheme="minorEastAsia" w:cstheme="minorEastAsia"/>
          <w:i/>
          <w:color w:val="auto"/>
          <w:sz w:val="24"/>
          <w:szCs w:val="28"/>
          <w:highlight w:val="none"/>
          <w:u w:val="single"/>
        </w:rPr>
        <w:t>（单位名称）</w:t>
      </w:r>
      <w:r>
        <w:rPr>
          <w:rFonts w:hint="eastAsia" w:asciiTheme="minorEastAsia" w:hAnsiTheme="minorEastAsia" w:eastAsiaTheme="minorEastAsia" w:cstheme="minorEastAsia"/>
          <w:color w:val="auto"/>
          <w:sz w:val="24"/>
          <w:szCs w:val="28"/>
          <w:highlight w:val="none"/>
        </w:rPr>
        <w:t>的</w:t>
      </w:r>
      <w:r>
        <w:rPr>
          <w:rFonts w:hint="eastAsia" w:asciiTheme="minorEastAsia" w:hAnsiTheme="minorEastAsia" w:eastAsiaTheme="minorEastAsia" w:cstheme="minorEastAsia"/>
          <w:i/>
          <w:color w:val="auto"/>
          <w:sz w:val="24"/>
          <w:szCs w:val="28"/>
          <w:highlight w:val="none"/>
          <w:u w:val="single"/>
        </w:rPr>
        <w:t>（项目名称）</w:t>
      </w:r>
      <w:r>
        <w:rPr>
          <w:rFonts w:hint="eastAsia" w:asciiTheme="minorEastAsia" w:hAnsiTheme="minorEastAsia" w:eastAsiaTheme="minorEastAsia" w:cstheme="minorEastAsia"/>
          <w:color w:val="auto"/>
          <w:sz w:val="24"/>
          <w:szCs w:val="28"/>
          <w:highlight w:val="none"/>
        </w:rPr>
        <w:t>采购活动，服务全部由符合政策要求的中小企业承接。相关企业（含联合体中的中小企业、签订分包意向协议的中小企业）的具体情况如下：</w:t>
      </w:r>
    </w:p>
    <w:p>
      <w:pPr>
        <w:tabs>
          <w:tab w:val="left" w:pos="6300"/>
        </w:tabs>
        <w:snapToGrid w:val="0"/>
        <w:spacing w:line="500" w:lineRule="exact"/>
        <w:ind w:firstLine="480" w:firstLineChars="200"/>
        <w:rPr>
          <w:rFonts w:hint="eastAsia"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1.</w:t>
      </w:r>
      <w:r>
        <w:rPr>
          <w:rFonts w:hint="eastAsia" w:asciiTheme="minorEastAsia" w:hAnsiTheme="minorEastAsia" w:eastAsiaTheme="minorEastAsia" w:cstheme="minorEastAsia"/>
          <w:i/>
          <w:color w:val="auto"/>
          <w:sz w:val="24"/>
          <w:szCs w:val="28"/>
          <w:highlight w:val="none"/>
          <w:u w:val="single"/>
        </w:rPr>
        <w:t>（标的名称）</w:t>
      </w:r>
      <w:r>
        <w:rPr>
          <w:rFonts w:hint="eastAsia" w:asciiTheme="minorEastAsia" w:hAnsiTheme="minorEastAsia" w:eastAsiaTheme="minorEastAsia" w:cstheme="minorEastAsia"/>
          <w:color w:val="auto"/>
          <w:sz w:val="24"/>
          <w:szCs w:val="28"/>
          <w:highlight w:val="none"/>
        </w:rPr>
        <w:t>，属于</w:t>
      </w:r>
      <w:r>
        <w:rPr>
          <w:rFonts w:hint="eastAsia" w:asciiTheme="minorEastAsia" w:hAnsiTheme="minorEastAsia" w:eastAsiaTheme="minorEastAsia" w:cstheme="minorEastAsia"/>
          <w:i/>
          <w:color w:val="auto"/>
          <w:sz w:val="24"/>
          <w:szCs w:val="28"/>
          <w:highlight w:val="none"/>
          <w:u w:val="single"/>
        </w:rPr>
        <w:t>（采购文件中明确的所属行业）</w:t>
      </w:r>
      <w:r>
        <w:rPr>
          <w:rFonts w:hint="eastAsia" w:asciiTheme="minorEastAsia" w:hAnsiTheme="minorEastAsia" w:eastAsiaTheme="minorEastAsia" w:cstheme="minorEastAsia"/>
          <w:color w:val="auto"/>
          <w:sz w:val="24"/>
          <w:szCs w:val="28"/>
          <w:highlight w:val="none"/>
        </w:rPr>
        <w:t>；承接企业为</w:t>
      </w:r>
      <w:r>
        <w:rPr>
          <w:rFonts w:hint="eastAsia" w:asciiTheme="minorEastAsia" w:hAnsiTheme="minorEastAsia" w:eastAsiaTheme="minorEastAsia" w:cstheme="minorEastAsia"/>
          <w:i/>
          <w:color w:val="auto"/>
          <w:sz w:val="24"/>
          <w:szCs w:val="28"/>
          <w:highlight w:val="none"/>
          <w:u w:val="single"/>
        </w:rPr>
        <w:t>（企业名称）</w:t>
      </w:r>
      <w:r>
        <w:rPr>
          <w:rFonts w:hint="eastAsia" w:asciiTheme="minorEastAsia" w:hAnsiTheme="minorEastAsia" w:eastAsiaTheme="minorEastAsia" w:cstheme="minorEastAsia"/>
          <w:color w:val="auto"/>
          <w:sz w:val="24"/>
          <w:szCs w:val="28"/>
          <w:highlight w:val="none"/>
        </w:rPr>
        <w:t>，从业人员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人，营业收入为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万元，资产总额为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万元，属于</w:t>
      </w:r>
      <w:r>
        <w:rPr>
          <w:rFonts w:hint="eastAsia" w:asciiTheme="minorEastAsia" w:hAnsiTheme="minorEastAsia" w:eastAsiaTheme="minorEastAsia" w:cstheme="minorEastAsia"/>
          <w:i/>
          <w:color w:val="auto"/>
          <w:sz w:val="24"/>
          <w:szCs w:val="28"/>
          <w:highlight w:val="none"/>
          <w:u w:val="single"/>
        </w:rPr>
        <w:t>（中型企业、小型企业、微型企业）</w:t>
      </w: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hint="eastAsia"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为本标的提供的服务人员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人，其中与本企业签订劳动合同</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人，其他人员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人。有其他人员的不符合中小企业扶持政策（适用于服务采购项目）;</w:t>
      </w:r>
    </w:p>
    <w:p>
      <w:pPr>
        <w:tabs>
          <w:tab w:val="left" w:pos="6300"/>
        </w:tabs>
        <w:snapToGrid w:val="0"/>
        <w:spacing w:line="500" w:lineRule="exact"/>
        <w:ind w:firstLine="480" w:firstLineChars="200"/>
        <w:rPr>
          <w:rFonts w:hint="eastAsia"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2.</w:t>
      </w:r>
      <w:r>
        <w:rPr>
          <w:rFonts w:hint="eastAsia" w:asciiTheme="minorEastAsia" w:hAnsiTheme="minorEastAsia" w:eastAsiaTheme="minorEastAsia" w:cstheme="minorEastAsia"/>
          <w:i/>
          <w:color w:val="auto"/>
          <w:sz w:val="24"/>
          <w:szCs w:val="28"/>
          <w:highlight w:val="none"/>
          <w:u w:val="single"/>
        </w:rPr>
        <w:t xml:space="preserve"> （标的名称）</w:t>
      </w:r>
      <w:r>
        <w:rPr>
          <w:rFonts w:hint="eastAsia" w:asciiTheme="minorEastAsia" w:hAnsiTheme="minorEastAsia" w:eastAsiaTheme="minorEastAsia" w:cstheme="minorEastAsia"/>
          <w:color w:val="auto"/>
          <w:sz w:val="24"/>
          <w:szCs w:val="28"/>
          <w:highlight w:val="none"/>
        </w:rPr>
        <w:t>，属于</w:t>
      </w:r>
      <w:r>
        <w:rPr>
          <w:rFonts w:hint="eastAsia" w:asciiTheme="minorEastAsia" w:hAnsiTheme="minorEastAsia" w:eastAsiaTheme="minorEastAsia" w:cstheme="minorEastAsia"/>
          <w:i/>
          <w:color w:val="auto"/>
          <w:sz w:val="24"/>
          <w:szCs w:val="28"/>
          <w:highlight w:val="none"/>
          <w:u w:val="single"/>
        </w:rPr>
        <w:t>（采购文件中明确的所属行业）</w:t>
      </w:r>
      <w:r>
        <w:rPr>
          <w:rFonts w:hint="eastAsia" w:asciiTheme="minorEastAsia" w:hAnsiTheme="minorEastAsia" w:eastAsiaTheme="minorEastAsia" w:cstheme="minorEastAsia"/>
          <w:color w:val="auto"/>
          <w:sz w:val="24"/>
          <w:szCs w:val="28"/>
          <w:highlight w:val="none"/>
        </w:rPr>
        <w:t>；承接企业为</w:t>
      </w:r>
      <w:r>
        <w:rPr>
          <w:rFonts w:hint="eastAsia" w:asciiTheme="minorEastAsia" w:hAnsiTheme="minorEastAsia" w:eastAsiaTheme="minorEastAsia" w:cstheme="minorEastAsia"/>
          <w:i/>
          <w:color w:val="auto"/>
          <w:sz w:val="24"/>
          <w:szCs w:val="28"/>
          <w:highlight w:val="none"/>
          <w:u w:val="single"/>
        </w:rPr>
        <w:t>（企业名称）</w:t>
      </w:r>
      <w:r>
        <w:rPr>
          <w:rFonts w:hint="eastAsia" w:asciiTheme="minorEastAsia" w:hAnsiTheme="minorEastAsia" w:eastAsiaTheme="minorEastAsia" w:cstheme="minorEastAsia"/>
          <w:color w:val="auto"/>
          <w:sz w:val="24"/>
          <w:szCs w:val="28"/>
          <w:highlight w:val="none"/>
        </w:rPr>
        <w:t>，从业人员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人，营业收入为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万元，资产总额为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万元，属于</w:t>
      </w:r>
      <w:r>
        <w:rPr>
          <w:rFonts w:hint="eastAsia" w:asciiTheme="minorEastAsia" w:hAnsiTheme="minorEastAsia" w:eastAsiaTheme="minorEastAsia" w:cstheme="minorEastAsia"/>
          <w:i/>
          <w:color w:val="auto"/>
          <w:sz w:val="24"/>
          <w:szCs w:val="28"/>
          <w:highlight w:val="none"/>
          <w:u w:val="single"/>
        </w:rPr>
        <w:t>（中型企业、小型企业、微型企业）</w:t>
      </w: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hint="eastAsia"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为本标的提供的服务人员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人，其中与本企业签订劳动合同</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人，其他人员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人。有其他人员的不符合中小企业扶持政策（适用于服务采购项目）;</w:t>
      </w:r>
    </w:p>
    <w:p>
      <w:pPr>
        <w:tabs>
          <w:tab w:val="left" w:pos="6300"/>
        </w:tabs>
        <w:snapToGrid w:val="0"/>
        <w:spacing w:line="500" w:lineRule="exact"/>
        <w:ind w:firstLine="480" w:firstLineChars="200"/>
        <w:rPr>
          <w:rFonts w:hint="eastAsia"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hint="eastAsia"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hint="eastAsia"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本企业对上述声明内容的真实性负责。如有虚假，将依法承担相应责任。</w:t>
      </w:r>
    </w:p>
    <w:p>
      <w:pPr>
        <w:tabs>
          <w:tab w:val="left" w:pos="6300"/>
        </w:tabs>
        <w:snapToGrid w:val="0"/>
        <w:spacing w:line="500" w:lineRule="exact"/>
        <w:ind w:firstLine="480" w:firstLineChars="200"/>
        <w:rPr>
          <w:rFonts w:hint="eastAsia"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 xml:space="preserve">                                                    </w:t>
      </w:r>
    </w:p>
    <w:p>
      <w:pPr>
        <w:tabs>
          <w:tab w:val="left" w:pos="6300"/>
        </w:tabs>
        <w:snapToGrid w:val="0"/>
        <w:spacing w:line="500" w:lineRule="exact"/>
        <w:ind w:firstLine="6120" w:firstLineChars="2550"/>
        <w:rPr>
          <w:rFonts w:hint="eastAsia"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 xml:space="preserve">企业名称（盖章）： </w:t>
      </w:r>
    </w:p>
    <w:p>
      <w:pPr>
        <w:tabs>
          <w:tab w:val="left" w:pos="6300"/>
        </w:tabs>
        <w:snapToGrid w:val="0"/>
        <w:spacing w:line="500" w:lineRule="exact"/>
        <w:ind w:right="784" w:firstLine="6120" w:firstLineChars="25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szCs w:val="28"/>
          <w:highlight w:val="none"/>
        </w:rPr>
        <w:t>日期：</w:t>
      </w:r>
    </w:p>
    <w:p>
      <w:pPr>
        <w:tabs>
          <w:tab w:val="left" w:pos="6300"/>
        </w:tabs>
        <w:snapToGrid w:val="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填写时应注意以下事项：</w:t>
      </w:r>
    </w:p>
    <w:p>
      <w:pPr>
        <w:tabs>
          <w:tab w:val="left" w:pos="6300"/>
        </w:tabs>
        <w:snapToGrid w:val="0"/>
        <w:ind w:firstLine="420" w:firstLineChars="200"/>
        <w:rPr>
          <w:rFonts w:hint="eastAsia" w:ascii="方正仿宋_GBK" w:hAnsi="宋体" w:eastAsia="方正仿宋_GBK" w:cs="宋体"/>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1.从业人员、营业收入、资产总额填报上一年度数据，无上一年度数据的新成立企业可不填报。</w:t>
      </w:r>
    </w:p>
    <w:p>
      <w:pPr>
        <w:tabs>
          <w:tab w:val="left" w:pos="6300"/>
        </w:tabs>
        <w:snapToGrid w:val="0"/>
        <w:ind w:firstLine="422" w:firstLineChars="200"/>
        <w:rPr>
          <w:rFonts w:hint="eastAsia"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2.中小企业应当按照《中小企业划型标准规定》（工信部联企业〔2011〕300号），如实填写并提交《中小企业声明函》。</w:t>
      </w:r>
    </w:p>
    <w:p>
      <w:pPr>
        <w:tabs>
          <w:tab w:val="left" w:pos="6300"/>
        </w:tabs>
        <w:snapToGrid w:val="0"/>
        <w:ind w:firstLine="422" w:firstLineChars="200"/>
        <w:rPr>
          <w:rFonts w:hint="eastAsia"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3.供应商填写《中小企业声明函》中所属行业时，应与采购文件第一篇“采购标的对应的中小企业划分标准所属行业”中填写的所属行业一致。</w:t>
      </w:r>
    </w:p>
    <w:p>
      <w:pPr>
        <w:tabs>
          <w:tab w:val="left" w:pos="6300"/>
        </w:tabs>
        <w:snapToGrid w:val="0"/>
        <w:ind w:firstLine="422" w:firstLineChars="200"/>
        <w:rPr>
          <w:rFonts w:hint="eastAsia"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4.本声明函“企业名称（盖章）”处为供应商盖章。</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注：各行业划型标准：</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spacing w:line="500" w:lineRule="exact"/>
        <w:ind w:firstLine="480" w:firstLineChars="200"/>
        <w:jc w:val="center"/>
        <w:rPr>
          <w:rFonts w:hint="eastAsia" w:ascii="方正仿宋_GBK" w:hAnsi="宋体" w:eastAsia="方正仿宋_GBK"/>
          <w:color w:val="auto"/>
          <w:highlight w:val="none"/>
        </w:rPr>
      </w:pPr>
      <w:r>
        <w:rPr>
          <w:rFonts w:ascii="方正仿宋_GBK" w:hAnsi="宋体" w:eastAsia="方正仿宋_GBK"/>
          <w:color w:val="auto"/>
          <w:sz w:val="24"/>
          <w:szCs w:val="24"/>
          <w:highlight w:val="none"/>
        </w:rPr>
        <w:br w:type="page"/>
      </w:r>
      <w:r>
        <w:rPr>
          <w:rFonts w:hint="eastAsia" w:ascii="方正仿宋_GBK" w:hAnsi="宋体" w:eastAsia="方正仿宋_GBK"/>
          <w:b/>
          <w:bCs/>
          <w:color w:val="auto"/>
          <w:highlight w:val="none"/>
        </w:rPr>
        <w:t>监狱企业证明文件</w:t>
      </w:r>
    </w:p>
    <w:p>
      <w:pPr>
        <w:tabs>
          <w:tab w:val="left" w:pos="6300"/>
        </w:tabs>
        <w:snapToGrid w:val="0"/>
        <w:spacing w:line="400" w:lineRule="exact"/>
        <w:ind w:firstLine="480" w:firstLineChars="200"/>
        <w:rPr>
          <w:rFonts w:hint="eastAsia" w:asciiTheme="minorEastAsia" w:hAnsiTheme="minorEastAsia" w:eastAsiaTheme="minorEastAsia" w:cstheme="minorEastAsia"/>
          <w:b w:val="0"/>
          <w:bCs w:val="0"/>
          <w:color w:val="auto"/>
          <w:sz w:val="24"/>
          <w:highlight w:val="none"/>
        </w:rPr>
      </w:pPr>
      <w:r>
        <w:rPr>
          <w:rFonts w:hint="eastAsia" w:asciiTheme="minorEastAsia" w:hAnsiTheme="minorEastAsia" w:eastAsiaTheme="minorEastAsia" w:cstheme="minorEastAsia"/>
          <w:b w:val="0"/>
          <w:bCs w:val="0"/>
          <w:color w:val="auto"/>
          <w:sz w:val="24"/>
          <w:highlight w:val="none"/>
        </w:rPr>
        <w:t>以省级以上监狱管理局、戒毒管理局（含新疆生产建设兵团）出具的属于监狱企业的证明文件为准。</w:t>
      </w:r>
    </w:p>
    <w:p>
      <w:pPr>
        <w:tabs>
          <w:tab w:val="left" w:pos="6300"/>
        </w:tabs>
        <w:snapToGrid w:val="0"/>
        <w:spacing w:line="500" w:lineRule="exact"/>
        <w:ind w:firstLine="480" w:firstLineChars="200"/>
        <w:jc w:val="center"/>
        <w:rPr>
          <w:rFonts w:hint="eastAsia" w:ascii="方正仿宋_GBK" w:hAnsi="宋体" w:eastAsia="方正仿宋_GBK"/>
          <w:color w:val="auto"/>
          <w:highlight w:val="none"/>
        </w:rPr>
      </w:pPr>
      <w:r>
        <w:rPr>
          <w:rFonts w:ascii="方正仿宋_GBK" w:hAnsi="仿宋" w:eastAsia="方正仿宋_GBK"/>
          <w:color w:val="auto"/>
          <w:sz w:val="24"/>
          <w:highlight w:val="none"/>
        </w:rPr>
        <w:br w:type="page"/>
      </w:r>
      <w:r>
        <w:rPr>
          <w:rFonts w:hint="eastAsia" w:ascii="方正仿宋_GBK" w:hAnsi="宋体" w:eastAsia="方正仿宋_GBK"/>
          <w:b/>
          <w:bCs/>
          <w:color w:val="auto"/>
          <w:highlight w:val="none"/>
        </w:rPr>
        <w:t>残疾人福利性单位声明函</w:t>
      </w:r>
    </w:p>
    <w:p>
      <w:pPr>
        <w:tabs>
          <w:tab w:val="left" w:pos="6300"/>
        </w:tabs>
        <w:snapToGrid w:val="0"/>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本单位对上述声明的真实性负责。如有虚假，将依法承担相应责任。</w:t>
      </w:r>
    </w:p>
    <w:p>
      <w:pPr>
        <w:tabs>
          <w:tab w:val="left" w:pos="6300"/>
        </w:tabs>
        <w:snapToGrid w:val="0"/>
        <w:spacing w:line="500" w:lineRule="exact"/>
        <w:ind w:firstLine="480" w:firstLineChars="200"/>
        <w:rPr>
          <w:rFonts w:hint="eastAsia" w:asciiTheme="minorEastAsia" w:hAnsiTheme="minorEastAsia" w:eastAsiaTheme="minorEastAsia" w:cstheme="minorEastAsia"/>
          <w:color w:val="auto"/>
          <w:sz w:val="24"/>
          <w:highlight w:val="none"/>
        </w:rPr>
      </w:pPr>
    </w:p>
    <w:p>
      <w:pPr>
        <w:tabs>
          <w:tab w:val="left" w:pos="6300"/>
        </w:tabs>
        <w:snapToGrid w:val="0"/>
        <w:spacing w:line="500" w:lineRule="exact"/>
        <w:ind w:firstLine="480" w:firstLineChars="200"/>
        <w:rPr>
          <w:rFonts w:hint="eastAsia" w:asciiTheme="minorEastAsia" w:hAnsiTheme="minorEastAsia" w:eastAsiaTheme="minorEastAsia" w:cstheme="minorEastAsia"/>
          <w:color w:val="auto"/>
          <w:sz w:val="24"/>
          <w:highlight w:val="none"/>
        </w:rPr>
      </w:pPr>
    </w:p>
    <w:p>
      <w:pPr>
        <w:tabs>
          <w:tab w:val="left" w:pos="6300"/>
        </w:tabs>
        <w:snapToGrid w:val="0"/>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供应商名称（盖章）：</w:t>
      </w:r>
    </w:p>
    <w:p>
      <w:pPr>
        <w:snapToGrid w:val="0"/>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日  期：</w:t>
      </w:r>
    </w:p>
    <w:p>
      <w:pPr>
        <w:snapToGrid w:val="0"/>
        <w:spacing w:line="440" w:lineRule="exact"/>
        <w:ind w:firstLine="480" w:firstLineChars="200"/>
        <w:rPr>
          <w:rFonts w:hint="eastAsia" w:ascii="方正仿宋_GBK" w:hAnsi="仿宋" w:eastAsia="方正仿宋_GBK"/>
          <w:color w:val="auto"/>
          <w:sz w:val="24"/>
          <w:highlight w:val="none"/>
        </w:rPr>
      </w:pPr>
    </w:p>
    <w:p>
      <w:pPr>
        <w:snapToGrid w:val="0"/>
        <w:spacing w:line="440" w:lineRule="exact"/>
        <w:ind w:firstLine="480" w:firstLineChars="200"/>
        <w:rPr>
          <w:rFonts w:hint="eastAsia" w:ascii="方正仿宋_GBK" w:hAnsi="仿宋" w:eastAsia="方正仿宋_GBK"/>
          <w:color w:val="auto"/>
          <w:sz w:val="24"/>
          <w:highlight w:val="none"/>
        </w:rPr>
      </w:pPr>
    </w:p>
    <w:p>
      <w:pPr>
        <w:snapToGrid w:val="0"/>
        <w:spacing w:line="440" w:lineRule="exact"/>
        <w:ind w:firstLine="480" w:firstLineChars="200"/>
        <w:rPr>
          <w:rFonts w:hint="eastAsia" w:ascii="方正仿宋_GBK" w:hAnsi="仿宋" w:eastAsia="方正仿宋_GBK"/>
          <w:color w:val="auto"/>
          <w:sz w:val="24"/>
          <w:highlight w:val="none"/>
        </w:rPr>
      </w:pPr>
    </w:p>
    <w:p>
      <w:pPr>
        <w:snapToGrid w:val="0"/>
        <w:spacing w:line="440" w:lineRule="exact"/>
        <w:ind w:firstLine="480" w:firstLineChars="200"/>
        <w:rPr>
          <w:rFonts w:hint="eastAsia" w:ascii="方正仿宋_GBK" w:hAnsi="仿宋" w:eastAsia="方正仿宋_GBK"/>
          <w:color w:val="auto"/>
          <w:sz w:val="24"/>
          <w:highlight w:val="none"/>
        </w:rPr>
      </w:pPr>
    </w:p>
    <w:p>
      <w:pPr>
        <w:snapToGrid w:val="0"/>
        <w:spacing w:line="440" w:lineRule="exact"/>
        <w:ind w:firstLine="480" w:firstLineChars="200"/>
        <w:rPr>
          <w:rFonts w:hint="eastAsia" w:ascii="方正仿宋_GBK" w:hAnsi="仿宋" w:eastAsia="方正仿宋_GBK"/>
          <w:color w:val="auto"/>
          <w:sz w:val="24"/>
          <w:highlight w:val="none"/>
        </w:rPr>
      </w:pPr>
    </w:p>
    <w:p>
      <w:pPr>
        <w:snapToGrid w:val="0"/>
        <w:spacing w:line="440" w:lineRule="exact"/>
        <w:ind w:firstLine="480" w:firstLineChars="200"/>
        <w:rPr>
          <w:rFonts w:hint="eastAsia" w:ascii="方正仿宋_GBK" w:hAnsi="仿宋" w:eastAsia="方正仿宋_GBK"/>
          <w:color w:val="auto"/>
          <w:sz w:val="24"/>
          <w:highlight w:val="none"/>
        </w:rPr>
      </w:pPr>
    </w:p>
    <w:p>
      <w:pPr>
        <w:snapToGrid w:val="0"/>
        <w:spacing w:line="440" w:lineRule="exact"/>
        <w:ind w:firstLine="480" w:firstLineChars="200"/>
        <w:rPr>
          <w:rFonts w:hint="eastAsia" w:ascii="方正仿宋_GBK" w:hAnsi="仿宋" w:eastAsia="方正仿宋_GBK"/>
          <w:color w:val="auto"/>
          <w:sz w:val="24"/>
          <w:highlight w:val="none"/>
        </w:rPr>
      </w:pPr>
    </w:p>
    <w:p>
      <w:pPr>
        <w:snapToGrid w:val="0"/>
        <w:spacing w:line="440" w:lineRule="exact"/>
        <w:ind w:firstLine="480" w:firstLineChars="200"/>
        <w:rPr>
          <w:rFonts w:hint="eastAsia" w:ascii="方正仿宋_GBK" w:hAnsi="仿宋" w:eastAsia="方正仿宋_GBK"/>
          <w:color w:val="auto"/>
          <w:sz w:val="24"/>
          <w:highlight w:val="none"/>
        </w:rPr>
      </w:pPr>
    </w:p>
    <w:p>
      <w:pPr>
        <w:snapToGrid w:val="0"/>
        <w:spacing w:line="440" w:lineRule="exact"/>
        <w:ind w:firstLine="480" w:firstLineChars="200"/>
        <w:rPr>
          <w:rFonts w:hint="eastAsia" w:ascii="方正仿宋_GBK" w:hAnsi="仿宋" w:eastAsia="方正仿宋_GBK"/>
          <w:color w:val="auto"/>
          <w:sz w:val="24"/>
          <w:highlight w:val="none"/>
        </w:rPr>
      </w:pPr>
    </w:p>
    <w:p>
      <w:pPr>
        <w:snapToGrid w:val="0"/>
        <w:spacing w:line="440" w:lineRule="exact"/>
        <w:ind w:firstLine="480" w:firstLineChars="200"/>
        <w:rPr>
          <w:rFonts w:hint="eastAsia" w:ascii="方正仿宋_GBK" w:hAnsi="仿宋" w:eastAsia="方正仿宋_GBK"/>
          <w:color w:val="auto"/>
          <w:sz w:val="24"/>
          <w:highlight w:val="none"/>
        </w:rPr>
      </w:pPr>
    </w:p>
    <w:p>
      <w:pPr>
        <w:snapToGrid w:val="0"/>
        <w:spacing w:line="440" w:lineRule="exact"/>
        <w:ind w:firstLine="480" w:firstLineChars="200"/>
        <w:rPr>
          <w:rFonts w:hint="eastAsia" w:ascii="方正仿宋_GBK" w:hAnsi="仿宋" w:eastAsia="方正仿宋_GBK"/>
          <w:color w:val="auto"/>
          <w:sz w:val="24"/>
          <w:highlight w:val="none"/>
        </w:rPr>
      </w:pPr>
    </w:p>
    <w:p>
      <w:pPr>
        <w:snapToGrid w:val="0"/>
        <w:spacing w:line="440" w:lineRule="exact"/>
        <w:ind w:firstLine="480" w:firstLineChars="200"/>
        <w:rPr>
          <w:rFonts w:hint="eastAsia" w:ascii="方正仿宋_GBK" w:hAnsi="仿宋" w:eastAsia="方正仿宋_GBK"/>
          <w:color w:val="auto"/>
          <w:sz w:val="24"/>
          <w:highlight w:val="none"/>
        </w:rPr>
      </w:pPr>
    </w:p>
    <w:p>
      <w:pPr>
        <w:snapToGrid w:val="0"/>
        <w:spacing w:line="440" w:lineRule="exact"/>
        <w:ind w:firstLine="480" w:firstLineChars="200"/>
        <w:rPr>
          <w:rFonts w:hint="eastAsia" w:ascii="方正仿宋_GBK" w:hAnsi="仿宋" w:eastAsia="方正仿宋_GBK"/>
          <w:color w:val="auto"/>
          <w:sz w:val="24"/>
          <w:highlight w:val="none"/>
        </w:rPr>
      </w:pPr>
      <w:r>
        <w:rPr>
          <w:rFonts w:hint="eastAsia" w:ascii="宋体" w:hAnsi="宋体" w:eastAsia="宋体" w:cs="宋体"/>
          <w:color w:val="auto"/>
          <w:sz w:val="24"/>
          <w:szCs w:val="24"/>
          <w:highlight w:val="none"/>
        </w:rPr>
        <w:t>若成交供应商为残疾人福利性单位的，将在结果公告时公告其《残疾人福利性单位声明函》。</w:t>
      </w:r>
    </w:p>
    <w:p>
      <w:pPr>
        <w:snapToGrid w:val="0"/>
        <w:spacing w:line="440" w:lineRule="exact"/>
        <w:ind w:firstLine="480" w:firstLineChars="200"/>
        <w:rPr>
          <w:rFonts w:hint="eastAsia" w:ascii="方正仿宋_GBK" w:hAnsi="仿宋" w:eastAsia="方正仿宋_GBK"/>
          <w:color w:val="auto"/>
          <w:sz w:val="24"/>
          <w:highlight w:val="none"/>
        </w:rPr>
      </w:pPr>
    </w:p>
    <w:p>
      <w:pPr>
        <w:spacing w:line="312" w:lineRule="auto"/>
        <w:ind w:firstLine="480" w:firstLineChars="200"/>
        <w:jc w:val="left"/>
        <w:rPr>
          <w:rFonts w:hint="eastAsia" w:ascii="宋体" w:hAnsi="宋体" w:eastAsia="宋体" w:cs="宋体"/>
          <w:color w:val="auto"/>
          <w:sz w:val="24"/>
          <w:szCs w:val="24"/>
          <w:highlight w:val="none"/>
        </w:rPr>
      </w:pPr>
      <w:r>
        <w:rPr>
          <w:rFonts w:ascii="方正仿宋_GBK" w:hAnsi="宋体" w:eastAsia="方正仿宋_GBK"/>
          <w:color w:val="auto"/>
          <w:sz w:val="24"/>
          <w:szCs w:val="24"/>
          <w:highlight w:val="none"/>
        </w:rPr>
        <w:br w:type="page"/>
      </w:r>
      <w:r>
        <w:rPr>
          <w:rFonts w:hint="eastAsia" w:ascii="宋体" w:hAnsi="宋体" w:eastAsia="宋体" w:cs="宋体"/>
          <w:color w:val="auto"/>
          <w:sz w:val="24"/>
          <w:szCs w:val="24"/>
          <w:highlight w:val="none"/>
        </w:rPr>
        <w:t>（二）联合体协议或分包意向协议（格式自定）</w:t>
      </w:r>
    </w:p>
    <w:p>
      <w:pPr>
        <w:spacing w:line="312"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（三）其他与项目有关的资料</w:t>
      </w:r>
    </w:p>
    <w:p>
      <w:pPr>
        <w:spacing w:line="312"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其他与项目有关的资料（自附）：供应商总体情况介绍、其他与本项目有关的资料等。</w:t>
      </w:r>
    </w:p>
    <w:p>
      <w:pPr>
        <w:spacing w:line="312" w:lineRule="auto"/>
        <w:jc w:val="both"/>
        <w:rPr>
          <w:rFonts w:ascii="宋体" w:hAnsi="宋体" w:cs="宋体"/>
          <w:color w:val="auto"/>
          <w:sz w:val="24"/>
          <w:szCs w:val="24"/>
          <w:highlight w:val="none"/>
        </w:rPr>
      </w:pPr>
      <w:r>
        <w:rPr>
          <w:rFonts w:hint="eastAsia" w:ascii="宋体" w:hAnsi="宋体" w:cs="宋体"/>
          <w:color w:val="auto"/>
          <w:sz w:val="24"/>
          <w:szCs w:val="24"/>
          <w:highlight w:val="none"/>
        </w:rPr>
        <w:br w:type="page"/>
      </w:r>
      <w:bookmarkEnd w:id="161"/>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60" w:lineRule="auto"/>
        <w:rPr>
          <w:rFonts w:ascii="黑体" w:hAnsi="黑体" w:eastAsia="黑体" w:cs="黑体"/>
          <w:color w:val="auto"/>
          <w:sz w:val="36"/>
          <w:szCs w:val="36"/>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hint="eastAsia" w:eastAsia="宋体"/>
          <w:color w:val="auto"/>
          <w:highlight w:val="none"/>
          <w:lang w:eastAsia="zh-CN"/>
        </w:rPr>
      </w:pPr>
      <w:r>
        <w:rPr>
          <w:rFonts w:hint="eastAsia" w:ascii="宋体" w:hAnsi="宋体" w:cs="宋体"/>
          <w:color w:val="auto"/>
          <w:sz w:val="24"/>
          <w:szCs w:val="24"/>
          <w:highlight w:val="none"/>
        </w:rPr>
        <w:t>（结束</w:t>
      </w:r>
      <w:r>
        <w:rPr>
          <w:rFonts w:hint="eastAsia" w:ascii="宋体" w:hAnsi="宋体" w:cs="宋体"/>
          <w:color w:val="auto"/>
          <w:sz w:val="24"/>
          <w:szCs w:val="24"/>
          <w:highlight w:val="none"/>
          <w:lang w:eastAsia="zh-CN"/>
        </w:rPr>
        <w:t>）</w:t>
      </w:r>
    </w:p>
    <w:p/>
    <w:sectPr>
      <w:headerReference r:id="rId1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p>
  <w:p>
    <w:pPr>
      <w:pStyle w:val="9"/>
      <w:jc w:val="center"/>
      <w:rPr>
        <w:rFonts w:ascii="宋体" w:hAnsi="宋体"/>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90500" cy="131445"/>
              <wp:effectExtent l="0" t="0" r="0" b="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a:effectLst/>
                    </wps:spPr>
                    <wps:txbx>
                      <w:txbxContent>
                        <w:p>
                          <w:pPr>
                            <w:pStyle w:val="9"/>
                          </w:pPr>
                          <w:r>
                            <w:fldChar w:fldCharType="begin"/>
                          </w:r>
                          <w:r>
                            <w:instrText xml:space="preserve"> PAGE  \* MERGEFORMAT </w:instrText>
                          </w:r>
                          <w:r>
                            <w:fldChar w:fldCharType="separate"/>
                          </w:r>
                          <w:r>
                            <w:t>- 3 -</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15pt;mso-position-horizontal:center;mso-position-horizontal-relative:margin;mso-wrap-style:none;z-index:251659264;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Gp6uK3zAQAAwgMAAA4AAABkcnMvZTJvRG9jLnhtbK1TzW7UMBC+I/EO&#10;lu9sktKuINpsVVotQio/UssDOI6zsUg81ti7yfIA8AacuHDnufY5OnaSpcANcbEm9sw3833zZXU5&#10;dC3bK3QaTMGzRcqZMhIqbbYF/3i/efaCM+eFqUQLRhX8oBy/XD99suptrs6ggbZSyAjEuLy3BW+8&#10;t3mSONmoTrgFWGXosQbshKdP3CYVip7QuzY5S9Nl0gNWFkEq5+j2Znzk64hf10r693XtlGdtwWk2&#10;H0+MZxnOZL0S+RaFbbScxhD/MEUntKGmJ6gb4QXbof4LqtMSwUHtFxK6BOpaSxU5EJss/YPNXSOs&#10;ilxIHGdPMrn/Byvf7T8g01XBl5wZ0dGKjt++Hr//PP74wpZBnt66nLLuLOX54RUMtOZI1dlbkJ8c&#10;M3DdCLNVV4jQN0pUNF4WKpNHpSOOCyBl/xYq6iN2HiLQUGMXtCM1GKHTmg6n1ajBMxlavkwvUnqR&#10;9JQ9z87PL2IHkc/FFp1/raBjISg40uYjuNjfOh+GEfmcEnoZ2Oi2jdtvzW8XlDjeqGifqTpQCdOP&#10;PPxQDpM0JVQHIoUwWot+BQoawM+c9WSrghvyPWftG0OyBAfOAc5BOQfCSCosuOdsDK/96NSdRb1t&#10;CHcW/oqk2+hIKww2zjAJTkaJbCdTByc+/o5Zv3699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i&#10;pFLs0AAAAAMBAAAPAAAAAAAAAAEAIAAAACIAAABkcnMvZG93bnJldi54bWxQSwECFAAUAAAACACH&#10;TuJAanq4rfMBAADCAwAADgAAAAAAAAABACAAAAAfAQAAZHJzL2Uyb0RvYy54bWxQSwUGAAAAAAYA&#10;BgBZAQAAhA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sz w:val="21"/>
        <w:szCs w:val="21"/>
      </w:rPr>
    </w:pPr>
    <w:r>
      <w:rPr>
        <w:rFonts w:ascii="宋体" w:hAnsi="宋体"/>
        <w:sz w:val="21"/>
        <w:szCs w:val="21"/>
      </w:rPr>
      <w:fldChar w:fldCharType="begin"/>
    </w:r>
    <w:r>
      <w:rPr>
        <w:rStyle w:val="14"/>
        <w:rFonts w:ascii="宋体" w:hAnsi="宋体"/>
        <w:sz w:val="21"/>
        <w:szCs w:val="21"/>
      </w:rPr>
      <w:instrText xml:space="preserve"> PAGE </w:instrText>
    </w:r>
    <w:r>
      <w:rPr>
        <w:rFonts w:ascii="宋体" w:hAnsi="宋体"/>
        <w:sz w:val="21"/>
        <w:szCs w:val="21"/>
      </w:rPr>
      <w:fldChar w:fldCharType="separate"/>
    </w:r>
    <w:r>
      <w:rPr>
        <w:rStyle w:val="14"/>
        <w:rFonts w:ascii="宋体" w:hAnsi="宋体"/>
        <w:sz w:val="21"/>
        <w:szCs w:val="21"/>
      </w:rPr>
      <w:t>- 5 -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end"/>
    </w:r>
  </w:p>
  <w:p>
    <w:pPr>
      <w:pStyle w:val="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90500" cy="131445"/>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a:effectLst/>
                    </wps:spPr>
                    <wps:txbx>
                      <w:txbxContent>
                        <w:p>
                          <w:pPr>
                            <w:pStyle w:val="9"/>
                          </w:pPr>
                          <w:r>
                            <w:fldChar w:fldCharType="begin"/>
                          </w:r>
                          <w:r>
                            <w:instrText xml:space="preserve"> PAGE  \* MERGEFORMAT </w:instrText>
                          </w:r>
                          <w:r>
                            <w:fldChar w:fldCharType="separate"/>
                          </w:r>
                          <w:r>
                            <w:t>- 34 -</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15pt;mso-position-horizontal:center;mso-position-horizontal-relative:margin;mso-wrap-style:none;z-index:251660288;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I17KkTzAQAAwgMAAA4AAABkcnMvZTJvRG9jLnhtbK1TzW7UMBC+I/EO&#10;lu9sktJFNNpsVVotQio/UuEBvI6TWCQea+zdZHkAeANOvXDnufY5OnaSpcANcbHG9szn+b75vLoc&#10;upbtFToNpuDZIuVMGQmlNnXBP33cPHvJmfPClKIFowp+UI5frp8+WfU2V2fQQFsqZARiXN7bgjfe&#10;2zxJnGxUJ9wCrDJ0WQF2wtMW66RE0RN61yZnafoi6QFLiyCVc3R6M17ydcSvKiX9+6pyyrO24NSb&#10;jyvGdRvWZL0SeY3CNlpObYh/6KIT2tCjJ6gb4QXbof4LqtMSwUHlFxK6BKpKSxU5EJss/YPNXSOs&#10;ilxIHGdPMrn/Byvf7T8g02XBl5wZ0dGIjt+/He9/Hn98ZcsgT29dTll3lvL88AoGGnOk6uwtyM+O&#10;GbhuhKnVFSL0jRIltZeFyuRR6YjjAsi2fwslvSN2HiLQUGEXtCM1GKHTmA6n0ajBMxmevEiXKd1I&#10;usqeZ+fnsbdE5HOxRedfK+hYCAqONPkILva3zodmRD6nhLcMbHTbxum35rcDShxPVLTPVB2ohO5H&#10;Hn7YDpM0WygPRAphtBZ9BQoawC+c9WSrghvyPWftG0OyBAfOAc7Bdg6EkVRYcM/ZGF770ak7i7pu&#10;CHcW/oqk2+hIKzQ29jAJTkaJbCdTByc+3sesX19v/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i&#10;pFLs0AAAAAMBAAAPAAAAAAAAAAEAIAAAACIAAABkcnMvZG93bnJldi54bWxQSwECFAAUAAAACACH&#10;TuJAjXsqRPMBAADCAwAADgAAAAAAAAABACAAAAAfAQAAZHJzL2Uyb0RvYy54bWxQSwUGAAAAAAYA&#10;BgBZAQAAhA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- 34 -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end"/>
    </w:r>
  </w:p>
  <w:p>
    <w:pPr>
      <w:pStyle w:val="9"/>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26" w:hanging="420"/>
      <w:rPr>
        <w:rFonts w:ascii="宋体" w:hAnsi="宋体"/>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90500" cy="131445"/>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a:effectLst/>
                    </wps:spPr>
                    <wps:txbx>
                      <w:txbxContent>
                        <w:p>
                          <w:pPr>
                            <w:pStyle w:val="9"/>
                          </w:pPr>
                          <w:r>
                            <w:fldChar w:fldCharType="begin"/>
                          </w:r>
                          <w:r>
                            <w:instrText xml:space="preserve"> PAGE  \* MERGEFORMAT </w:instrText>
                          </w:r>
                          <w:r>
                            <w:fldChar w:fldCharType="separate"/>
                          </w:r>
                          <w:r>
                            <w:t>- 42 -</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15pt;mso-position-horizontal:center;mso-position-horizontal-relative:margin;mso-wrap-style:none;z-index:251661312;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O+GdKrzAQAAwgMAAA4AAABkcnMvZTJvRG9jLnhtbK1TzW7UMBC+I/EO&#10;lu9skrJFNNpsVVotQio/UuEBvI6TWCQea+zdZHkAeANOvXDnufY5OnaSpcANcbEm9sw3833zZXU5&#10;dC3bK3QaTMGzRcqZMhJKbeqCf/q4efaSM+eFKUULRhX8oBy/XD99suptrs6ggbZUyAjEuLy3BW+8&#10;t3mSONmoTrgFWGXosQLshKdPrJMSRU/oXZucpemLpAcsLYJUztHtzfjI1xG/qpT076vKKc/agtNs&#10;Pp4Yz204k/VK5DUK22g5jSH+YYpOaENNT1A3wgu2Q/0XVKclgoPKLyR0CVSVlipyIDZZ+gebu0ZY&#10;FbmQOM6eZHL/D1a+239ApsuCLzkzoqMVHb9/O97/PP74ypZBnt66nLLuLOX54RUMtOZI1dlbkJ8d&#10;M3DdCFOrK0ToGyVKGi8Llcmj0hHHBZBt/xZK6iN2HiLQUGEXtCM1GKHTmg6n1ajBMxlaXqTnKb1I&#10;esqeZ8vleewg8rnYovOvFXQsBAVH2nwEF/tb58MwIp9TQi8DG922cfut+e2CEscbFe0zVQcqYfqR&#10;hx+2wyTNFsoDkUIYrUW/AgUN4BfOerJVwQ35nrP2jSFZggPnAOdgOwfCSCosuOdsDK/96NSdRV03&#10;hDsLf0XSbXSkFQYbZ5gEJ6NEtpOpgxMff8esX7/e+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i&#10;pFLs0AAAAAMBAAAPAAAAAAAAAAEAIAAAACIAAABkcnMvZG93bnJldi54bWxQSwECFAAUAAAACACH&#10;TuJA74Z0qvMBAADCAwAADgAAAAAAAAABACAAAAAfAQAAZHJzL2Uyb0RvYy54bWxQSwUGAAAAAAYA&#10;BgBZAQAAhA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- 42 -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rPr>
        <w:rFonts w:ascii="方正仿宋_GBK" w:eastAsia="方正仿宋_GBK"/>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rPr>
        <w:rFonts w:ascii="方正仿宋_GBK" w:eastAsia="方正仿宋_GBK"/>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E86861"/>
    <w:multiLevelType w:val="singleLevel"/>
    <w:tmpl w:val="F7E86861"/>
    <w:lvl w:ilvl="0" w:tentative="0">
      <w:start w:val="1"/>
      <w:numFmt w:val="decimal"/>
      <w:suff w:val="nothing"/>
      <w:lvlText w:val="%1、"/>
      <w:lvlJc w:val="left"/>
    </w:lvl>
  </w:abstractNum>
  <w:abstractNum w:abstractNumId="1">
    <w:nsid w:val="FD7AF9CD"/>
    <w:multiLevelType w:val="singleLevel"/>
    <w:tmpl w:val="FD7AF9CD"/>
    <w:lvl w:ilvl="0" w:tentative="0">
      <w:start w:val="1"/>
      <w:numFmt w:val="decimal"/>
      <w:suff w:val="nothing"/>
      <w:lvlText w:val="%1、"/>
      <w:lvlJc w:val="left"/>
    </w:lvl>
  </w:abstractNum>
  <w:abstractNum w:abstractNumId="2">
    <w:nsid w:val="1C80AB42"/>
    <w:multiLevelType w:val="singleLevel"/>
    <w:tmpl w:val="1C80AB42"/>
    <w:lvl w:ilvl="0" w:tentative="0">
      <w:start w:val="5"/>
      <w:numFmt w:val="chineseCounting"/>
      <w:suff w:val="nothing"/>
      <w:lvlText w:val="（%1）"/>
      <w:lvlJc w:val="left"/>
      <w:rPr>
        <w:rFonts w:hint="eastAsia"/>
      </w:rPr>
    </w:lvl>
  </w:abstractNum>
  <w:abstractNum w:abstractNumId="3">
    <w:nsid w:val="34200CAF"/>
    <w:multiLevelType w:val="singleLevel"/>
    <w:tmpl w:val="34200CAF"/>
    <w:lvl w:ilvl="0" w:tentative="0">
      <w:start w:val="1"/>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1154DD"/>
    <w:rsid w:val="31F15A90"/>
    <w:rsid w:val="32DB0561"/>
    <w:rsid w:val="3D6608DB"/>
    <w:rsid w:val="57091F9C"/>
    <w:rsid w:val="5A1154DD"/>
    <w:rsid w:val="64AF7EC7"/>
    <w:rsid w:val="658215D1"/>
    <w:rsid w:val="68733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3" w:lineRule="auto"/>
      <w:outlineLvl w:val="2"/>
    </w:pPr>
    <w:rPr>
      <w:b/>
      <w:sz w:val="32"/>
    </w:rPr>
  </w:style>
  <w:style w:type="character" w:default="1" w:styleId="13">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adjustRightInd w:val="0"/>
      <w:snapToGrid w:val="0"/>
      <w:spacing w:line="360" w:lineRule="auto"/>
      <w:ind w:firstLine="420"/>
    </w:pPr>
    <w:rPr>
      <w:sz w:val="24"/>
    </w:rPr>
  </w:style>
  <w:style w:type="paragraph" w:styleId="5">
    <w:name w:val="Body Text"/>
    <w:basedOn w:val="1"/>
    <w:qFormat/>
    <w:uiPriority w:val="0"/>
    <w:rPr>
      <w:rFonts w:ascii="仿宋_GB2312" w:eastAsia="仿宋_GB2312"/>
      <w:sz w:val="32"/>
    </w:rPr>
  </w:style>
  <w:style w:type="paragraph" w:styleId="6">
    <w:name w:val="Plain Text"/>
    <w:basedOn w:val="1"/>
    <w:qFormat/>
    <w:uiPriority w:val="0"/>
    <w:rPr>
      <w:rFonts w:ascii="宋体" w:hAnsi="Courier New"/>
      <w:sz w:val="21"/>
    </w:rPr>
  </w:style>
  <w:style w:type="paragraph" w:styleId="7">
    <w:name w:val="Date"/>
    <w:basedOn w:val="1"/>
    <w:next w:val="1"/>
    <w:qFormat/>
    <w:uiPriority w:val="0"/>
  </w:style>
  <w:style w:type="paragraph" w:styleId="8">
    <w:name w:val="Body Text Indent 2"/>
    <w:basedOn w:val="1"/>
    <w:qFormat/>
    <w:uiPriority w:val="0"/>
    <w:pPr>
      <w:snapToGrid w:val="0"/>
      <w:spacing w:line="560" w:lineRule="atLeast"/>
      <w:ind w:firstLine="54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rPr>
  </w:style>
  <w:style w:type="paragraph" w:styleId="11">
    <w:name w:val="toc 1"/>
    <w:basedOn w:val="1"/>
    <w:next w:val="1"/>
    <w:qFormat/>
    <w:uiPriority w:val="39"/>
    <w:pPr>
      <w:tabs>
        <w:tab w:val="left" w:pos="1260"/>
        <w:tab w:val="left" w:pos="1685"/>
        <w:tab w:val="right" w:leader="dot" w:pos="8400"/>
      </w:tabs>
      <w:spacing w:line="320" w:lineRule="exact"/>
      <w:ind w:firstLine="280" w:firstLineChars="100"/>
    </w:pPr>
  </w:style>
  <w:style w:type="character" w:styleId="14">
    <w:name w:val="page number"/>
    <w:basedOn w:val="13"/>
    <w:qFormat/>
    <w:uiPriority w:val="0"/>
  </w:style>
  <w:style w:type="paragraph" w:customStyle="1" w:styleId="15">
    <w:name w:val="1"/>
    <w:basedOn w:val="1"/>
    <w:next w:val="6"/>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2022-12-26T02:18:00Z</dcterms:created>
  <dc:creator>admin</dc:creator>
  <cp:lastModifiedBy>admin</cp:lastModifiedBy>
  <dcterms:modified xsi:type="dcterms:W3CDTF">2022-12-26T03:27:06Z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