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rPr>
      </w:pPr>
    </w:p>
    <w:p>
      <w:pPr>
        <w:jc w:val="center"/>
        <w:rPr>
          <w:rFonts w:ascii="宋体" w:hAnsi="宋体" w:cs="宋体"/>
        </w:rPr>
      </w:pPr>
    </w:p>
    <w:p>
      <w:pPr>
        <w:jc w:val="center"/>
        <w:rPr>
          <w:rFonts w:ascii="宋体" w:hAnsi="宋体" w:cs="宋体"/>
        </w:rPr>
      </w:pPr>
    </w:p>
    <w:p>
      <w:pPr>
        <w:jc w:val="center"/>
        <w:rPr>
          <w:rFonts w:ascii="宋体" w:hAnsi="宋体" w:cs="宋体"/>
          <w:sz w:val="84"/>
          <w:szCs w:val="84"/>
        </w:rPr>
      </w:pPr>
    </w:p>
    <w:p>
      <w:pPr>
        <w:jc w:val="center"/>
        <w:rPr>
          <w:rFonts w:ascii="宋体" w:hAnsi="宋体" w:cs="宋体"/>
          <w:sz w:val="84"/>
          <w:szCs w:val="84"/>
        </w:rPr>
      </w:pPr>
      <w:r>
        <w:rPr>
          <w:rFonts w:hint="eastAsia" w:ascii="宋体" w:hAnsi="宋体" w:cs="宋体"/>
          <w:sz w:val="84"/>
          <w:szCs w:val="84"/>
        </w:rPr>
        <w:t>竞争性磋商文件</w:t>
      </w:r>
    </w:p>
    <w:p>
      <w:pPr>
        <w:spacing w:line="700" w:lineRule="exact"/>
        <w:jc w:val="center"/>
        <w:rPr>
          <w:rFonts w:ascii="宋体" w:hAnsi="宋体" w:cs="宋体"/>
          <w:sz w:val="32"/>
        </w:rPr>
      </w:pPr>
    </w:p>
    <w:p>
      <w:pPr>
        <w:spacing w:line="700" w:lineRule="exact"/>
        <w:jc w:val="center"/>
        <w:rPr>
          <w:rFonts w:ascii="宋体" w:hAnsi="宋体" w:cs="宋体"/>
          <w:sz w:val="32"/>
        </w:rPr>
      </w:pPr>
    </w:p>
    <w:p>
      <w:pPr>
        <w:spacing w:line="700" w:lineRule="exact"/>
        <w:jc w:val="center"/>
        <w:rPr>
          <w:rFonts w:ascii="宋体" w:hAnsi="宋体" w:cs="宋体"/>
          <w:sz w:val="32"/>
        </w:rPr>
      </w:pPr>
    </w:p>
    <w:p>
      <w:pPr>
        <w:spacing w:line="700" w:lineRule="exact"/>
        <w:jc w:val="center"/>
        <w:rPr>
          <w:rFonts w:ascii="宋体" w:hAnsi="宋体" w:cs="宋体"/>
          <w:sz w:val="32"/>
        </w:rPr>
      </w:pPr>
    </w:p>
    <w:p>
      <w:pPr>
        <w:spacing w:line="700" w:lineRule="exact"/>
        <w:jc w:val="center"/>
        <w:rPr>
          <w:rFonts w:ascii="宋体" w:hAnsi="宋体" w:cs="宋体"/>
          <w:sz w:val="32"/>
        </w:rPr>
      </w:pPr>
    </w:p>
    <w:p>
      <w:pPr>
        <w:spacing w:line="700" w:lineRule="exact"/>
        <w:ind w:left="2520" w:hanging="2520" w:hangingChars="700"/>
        <w:rPr>
          <w:rFonts w:ascii="宋体" w:hAnsi="宋体" w:cs="宋体"/>
          <w:sz w:val="36"/>
          <w:szCs w:val="30"/>
        </w:rPr>
      </w:pPr>
      <w:r>
        <w:rPr>
          <w:rFonts w:hint="eastAsia" w:ascii="宋体" w:hAnsi="宋体" w:cs="宋体"/>
          <w:sz w:val="36"/>
          <w:szCs w:val="30"/>
        </w:rPr>
        <w:t>磋商项目名称：建桥C区双石河一期绿化景观工程设计</w:t>
      </w:r>
    </w:p>
    <w:p>
      <w:pPr>
        <w:spacing w:line="700" w:lineRule="exact"/>
        <w:ind w:firstLine="1749" w:firstLineChars="486"/>
        <w:rPr>
          <w:rFonts w:ascii="宋体" w:hAnsi="宋体" w:cs="宋体"/>
          <w:sz w:val="36"/>
          <w:szCs w:val="30"/>
        </w:rPr>
      </w:pPr>
    </w:p>
    <w:p>
      <w:pPr>
        <w:spacing w:line="700" w:lineRule="exact"/>
        <w:ind w:firstLine="1749" w:firstLineChars="486"/>
        <w:rPr>
          <w:rFonts w:ascii="宋体" w:hAnsi="宋体" w:cs="宋体"/>
          <w:sz w:val="36"/>
          <w:szCs w:val="30"/>
        </w:rPr>
      </w:pPr>
    </w:p>
    <w:p>
      <w:pPr>
        <w:spacing w:line="700" w:lineRule="exact"/>
        <w:jc w:val="center"/>
        <w:rPr>
          <w:rFonts w:ascii="宋体" w:hAnsi="宋体" w:cs="宋体"/>
          <w:b/>
          <w:sz w:val="30"/>
          <w:szCs w:val="30"/>
        </w:rPr>
      </w:pPr>
    </w:p>
    <w:p>
      <w:pPr>
        <w:spacing w:line="700" w:lineRule="exact"/>
        <w:jc w:val="center"/>
        <w:rPr>
          <w:rFonts w:ascii="宋体" w:hAnsi="宋体" w:cs="宋体"/>
          <w:sz w:val="36"/>
          <w:szCs w:val="30"/>
        </w:rPr>
      </w:pPr>
      <w:r>
        <w:rPr>
          <w:rFonts w:hint="eastAsia" w:ascii="宋体" w:hAnsi="宋体" w:cs="宋体"/>
          <w:sz w:val="36"/>
          <w:szCs w:val="30"/>
        </w:rPr>
        <w:t>采购人：重庆建桥实业发展有限公司</w:t>
      </w:r>
    </w:p>
    <w:p>
      <w:pPr>
        <w:spacing w:line="720" w:lineRule="exact"/>
        <w:jc w:val="center"/>
        <w:outlineLvl w:val="0"/>
        <w:rPr>
          <w:rFonts w:ascii="宋体" w:hAnsi="宋体" w:cs="宋体"/>
          <w:sz w:val="36"/>
          <w:szCs w:val="30"/>
        </w:rPr>
      </w:pPr>
    </w:p>
    <w:p>
      <w:pPr>
        <w:spacing w:line="720" w:lineRule="exact"/>
        <w:jc w:val="center"/>
        <w:outlineLvl w:val="0"/>
        <w:rPr>
          <w:rFonts w:ascii="宋体" w:hAnsi="宋体" w:cs="宋体"/>
          <w:sz w:val="36"/>
          <w:szCs w:val="30"/>
        </w:rPr>
      </w:pPr>
      <w:r>
        <w:rPr>
          <w:rFonts w:hint="eastAsia" w:ascii="宋体" w:hAnsi="宋体" w:cs="宋体"/>
          <w:sz w:val="36"/>
          <w:szCs w:val="30"/>
        </w:rPr>
        <w:t>二〇二二年四月</w:t>
      </w:r>
    </w:p>
    <w:p>
      <w:pPr>
        <w:spacing w:line="480" w:lineRule="exact"/>
        <w:jc w:val="center"/>
        <w:outlineLvl w:val="0"/>
        <w:rPr>
          <w:rFonts w:ascii="宋体" w:hAnsi="宋体" w:cs="宋体"/>
          <w:sz w:val="44"/>
          <w:szCs w:val="28"/>
        </w:rPr>
      </w:pPr>
      <w:r>
        <w:rPr>
          <w:rFonts w:hint="eastAsia" w:ascii="宋体" w:hAnsi="宋体" w:cs="宋体"/>
          <w:sz w:val="44"/>
          <w:szCs w:val="28"/>
        </w:rPr>
        <w:br w:type="page"/>
      </w:r>
      <w:r>
        <w:rPr>
          <w:rFonts w:hint="eastAsia" w:ascii="宋体" w:hAnsi="宋体" w:cs="宋体"/>
          <w:sz w:val="44"/>
          <w:szCs w:val="28"/>
        </w:rPr>
        <w:t>目   录</w:t>
      </w:r>
    </w:p>
    <w:p>
      <w:pPr>
        <w:pStyle w:val="10"/>
        <w:tabs>
          <w:tab w:val="right" w:leader="dot" w:pos="9402"/>
        </w:tabs>
        <w:ind w:left="560"/>
        <w:rPr>
          <w:rFonts w:ascii="宋体" w:hAnsi="宋体" w:cs="宋体"/>
          <w:sz w:val="21"/>
          <w:szCs w:val="22"/>
        </w:rPr>
      </w:pPr>
      <w:r>
        <w:rPr>
          <w:rFonts w:hint="eastAsia" w:ascii="宋体" w:hAnsi="宋体" w:cs="宋体"/>
          <w:sz w:val="21"/>
          <w:szCs w:val="21"/>
        </w:rPr>
        <w:fldChar w:fldCharType="begin"/>
      </w:r>
      <w:r>
        <w:rPr>
          <w:rFonts w:hint="eastAsia" w:ascii="宋体" w:hAnsi="宋体" w:cs="宋体"/>
          <w:sz w:val="21"/>
          <w:szCs w:val="21"/>
        </w:rPr>
        <w:instrText xml:space="preserve"> TOC \o "1-3" \h \z </w:instrText>
      </w:r>
      <w:r>
        <w:rPr>
          <w:rFonts w:hint="eastAsia" w:ascii="宋体" w:hAnsi="宋体" w:cs="宋体"/>
          <w:sz w:val="21"/>
          <w:szCs w:val="21"/>
        </w:rPr>
        <w:fldChar w:fldCharType="separate"/>
      </w:r>
      <w:r>
        <w:fldChar w:fldCharType="begin"/>
      </w:r>
      <w:r>
        <w:instrText xml:space="preserve"> HYPERLINK \l "_Toc54278968" </w:instrText>
      </w:r>
      <w:r>
        <w:fldChar w:fldCharType="separate"/>
      </w:r>
      <w:r>
        <w:rPr>
          <w:rStyle w:val="14"/>
          <w:rFonts w:hint="eastAsia" w:ascii="宋体" w:hAnsi="宋体" w:cs="宋体"/>
          <w:color w:val="auto"/>
        </w:rPr>
        <w:t>第一篇  采购邀请书</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_Toc54278968 \h </w:instrText>
      </w:r>
      <w:r>
        <w:rPr>
          <w:rFonts w:hint="eastAsia" w:ascii="宋体" w:hAnsi="宋体" w:cs="宋体"/>
        </w:rPr>
        <w:fldChar w:fldCharType="separate"/>
      </w:r>
      <w:r>
        <w:rPr>
          <w:rFonts w:hint="eastAsia" w:ascii="宋体" w:hAnsi="宋体" w:cs="宋体"/>
        </w:rPr>
        <w:t>- 4 -</w:t>
      </w:r>
      <w:r>
        <w:rPr>
          <w:rFonts w:hint="eastAsia" w:ascii="宋体" w:hAnsi="宋体" w:cs="宋体"/>
        </w:rPr>
        <w:fldChar w:fldCharType="end"/>
      </w:r>
      <w:r>
        <w:rPr>
          <w:rFonts w:hint="eastAsia" w:ascii="宋体" w:hAnsi="宋体" w:cs="宋体"/>
        </w:rPr>
        <w:fldChar w:fldCharType="end"/>
      </w:r>
    </w:p>
    <w:p>
      <w:pPr>
        <w:pStyle w:val="5"/>
        <w:tabs>
          <w:tab w:val="right" w:leader="dot" w:pos="9402"/>
        </w:tabs>
        <w:ind w:left="1120"/>
        <w:rPr>
          <w:rFonts w:ascii="宋体" w:hAnsi="宋体" w:cs="宋体"/>
          <w:sz w:val="21"/>
          <w:szCs w:val="22"/>
        </w:rPr>
      </w:pPr>
      <w:r>
        <w:fldChar w:fldCharType="begin"/>
      </w:r>
      <w:r>
        <w:instrText xml:space="preserve"> HYPERLINK \l "_Toc54278969" </w:instrText>
      </w:r>
      <w:r>
        <w:fldChar w:fldCharType="separate"/>
      </w:r>
      <w:r>
        <w:rPr>
          <w:rStyle w:val="14"/>
          <w:rFonts w:hint="eastAsia" w:ascii="宋体" w:hAnsi="宋体" w:cs="宋体"/>
          <w:color w:val="auto"/>
        </w:rPr>
        <w:t>一、竞争性磋商内容</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_Toc54278969 \h </w:instrText>
      </w:r>
      <w:r>
        <w:rPr>
          <w:rFonts w:hint="eastAsia" w:ascii="宋体" w:hAnsi="宋体" w:cs="宋体"/>
        </w:rPr>
        <w:fldChar w:fldCharType="separate"/>
      </w:r>
      <w:r>
        <w:rPr>
          <w:rFonts w:hint="eastAsia" w:ascii="宋体" w:hAnsi="宋体" w:cs="宋体"/>
        </w:rPr>
        <w:t>- 4 -</w:t>
      </w:r>
      <w:r>
        <w:rPr>
          <w:rFonts w:hint="eastAsia" w:ascii="宋体" w:hAnsi="宋体" w:cs="宋体"/>
        </w:rPr>
        <w:fldChar w:fldCharType="end"/>
      </w:r>
      <w:r>
        <w:rPr>
          <w:rFonts w:hint="eastAsia" w:ascii="宋体" w:hAnsi="宋体" w:cs="宋体"/>
        </w:rPr>
        <w:fldChar w:fldCharType="end"/>
      </w:r>
    </w:p>
    <w:p>
      <w:pPr>
        <w:pStyle w:val="5"/>
        <w:tabs>
          <w:tab w:val="right" w:leader="dot" w:pos="9402"/>
        </w:tabs>
        <w:ind w:left="1120"/>
        <w:rPr>
          <w:rFonts w:ascii="宋体" w:hAnsi="宋体" w:cs="宋体"/>
          <w:sz w:val="21"/>
          <w:szCs w:val="22"/>
        </w:rPr>
      </w:pPr>
      <w:r>
        <w:fldChar w:fldCharType="begin"/>
      </w:r>
      <w:r>
        <w:instrText xml:space="preserve"> HYPERLINK \l "_Toc54278970" </w:instrText>
      </w:r>
      <w:r>
        <w:fldChar w:fldCharType="separate"/>
      </w:r>
      <w:r>
        <w:rPr>
          <w:rStyle w:val="14"/>
          <w:rFonts w:hint="eastAsia" w:ascii="宋体" w:hAnsi="宋体" w:cs="宋体"/>
          <w:color w:val="auto"/>
        </w:rPr>
        <w:t>二、资金来源</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_Toc54278970 \h </w:instrText>
      </w:r>
      <w:r>
        <w:rPr>
          <w:rFonts w:hint="eastAsia" w:ascii="宋体" w:hAnsi="宋体" w:cs="宋体"/>
        </w:rPr>
        <w:fldChar w:fldCharType="separate"/>
      </w:r>
      <w:r>
        <w:rPr>
          <w:rFonts w:hint="eastAsia" w:ascii="宋体" w:hAnsi="宋体" w:cs="宋体"/>
        </w:rPr>
        <w:t>- 4 -</w:t>
      </w:r>
      <w:r>
        <w:rPr>
          <w:rFonts w:hint="eastAsia" w:ascii="宋体" w:hAnsi="宋体" w:cs="宋体"/>
        </w:rPr>
        <w:fldChar w:fldCharType="end"/>
      </w:r>
      <w:r>
        <w:rPr>
          <w:rFonts w:hint="eastAsia" w:ascii="宋体" w:hAnsi="宋体" w:cs="宋体"/>
        </w:rPr>
        <w:fldChar w:fldCharType="end"/>
      </w:r>
    </w:p>
    <w:p>
      <w:pPr>
        <w:pStyle w:val="5"/>
        <w:tabs>
          <w:tab w:val="right" w:leader="dot" w:pos="9402"/>
        </w:tabs>
        <w:ind w:left="1120"/>
        <w:rPr>
          <w:rFonts w:ascii="宋体" w:hAnsi="宋体" w:cs="宋体"/>
          <w:sz w:val="21"/>
          <w:szCs w:val="22"/>
        </w:rPr>
      </w:pPr>
      <w:r>
        <w:fldChar w:fldCharType="begin"/>
      </w:r>
      <w:r>
        <w:instrText xml:space="preserve"> HYPERLINK \l "_Toc54278971" </w:instrText>
      </w:r>
      <w:r>
        <w:fldChar w:fldCharType="separate"/>
      </w:r>
      <w:r>
        <w:rPr>
          <w:rStyle w:val="14"/>
          <w:rFonts w:hint="eastAsia" w:ascii="宋体" w:hAnsi="宋体" w:cs="宋体"/>
          <w:color w:val="auto"/>
        </w:rPr>
        <w:t>三、供应商资格条件</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_Toc54278971 \h </w:instrText>
      </w:r>
      <w:r>
        <w:rPr>
          <w:rFonts w:hint="eastAsia" w:ascii="宋体" w:hAnsi="宋体" w:cs="宋体"/>
        </w:rPr>
        <w:fldChar w:fldCharType="separate"/>
      </w:r>
      <w:r>
        <w:rPr>
          <w:rFonts w:hint="eastAsia" w:ascii="宋体" w:hAnsi="宋体" w:cs="宋体"/>
        </w:rPr>
        <w:t>- 4 -</w:t>
      </w:r>
      <w:r>
        <w:rPr>
          <w:rFonts w:hint="eastAsia" w:ascii="宋体" w:hAnsi="宋体" w:cs="宋体"/>
        </w:rPr>
        <w:fldChar w:fldCharType="end"/>
      </w:r>
      <w:r>
        <w:rPr>
          <w:rFonts w:hint="eastAsia" w:ascii="宋体" w:hAnsi="宋体" w:cs="宋体"/>
        </w:rPr>
        <w:fldChar w:fldCharType="end"/>
      </w:r>
    </w:p>
    <w:p>
      <w:pPr>
        <w:pStyle w:val="5"/>
        <w:tabs>
          <w:tab w:val="right" w:leader="dot" w:pos="9402"/>
        </w:tabs>
        <w:ind w:left="1120"/>
        <w:rPr>
          <w:rStyle w:val="14"/>
          <w:rFonts w:ascii="宋体" w:hAnsi="宋体" w:cs="宋体"/>
          <w:color w:val="auto"/>
        </w:rPr>
      </w:pPr>
      <w:r>
        <w:fldChar w:fldCharType="begin"/>
      </w:r>
      <w:r>
        <w:instrText xml:space="preserve"> HYPERLINK \l "_Toc54278972" </w:instrText>
      </w:r>
      <w:r>
        <w:fldChar w:fldCharType="separate"/>
      </w:r>
      <w:r>
        <w:rPr>
          <w:rStyle w:val="14"/>
          <w:rFonts w:hint="eastAsia" w:ascii="宋体" w:hAnsi="宋体" w:cs="宋体"/>
          <w:color w:val="auto"/>
        </w:rPr>
        <w:t>四、磋商有关说明</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_Toc54278972 \h </w:instrText>
      </w:r>
      <w:r>
        <w:rPr>
          <w:rFonts w:hint="eastAsia" w:ascii="宋体" w:hAnsi="宋体" w:cs="宋体"/>
        </w:rPr>
        <w:fldChar w:fldCharType="separate"/>
      </w:r>
      <w:r>
        <w:rPr>
          <w:rFonts w:hint="eastAsia" w:ascii="宋体" w:hAnsi="宋体" w:cs="宋体"/>
        </w:rPr>
        <w:t>- 5 -</w:t>
      </w:r>
      <w:r>
        <w:rPr>
          <w:rFonts w:hint="eastAsia" w:ascii="宋体" w:hAnsi="宋体" w:cs="宋体"/>
        </w:rPr>
        <w:fldChar w:fldCharType="end"/>
      </w:r>
      <w:r>
        <w:rPr>
          <w:rFonts w:hint="eastAsia" w:ascii="宋体" w:hAnsi="宋体" w:cs="宋体"/>
        </w:rPr>
        <w:fldChar w:fldCharType="end"/>
      </w:r>
    </w:p>
    <w:p>
      <w:pPr>
        <w:pStyle w:val="5"/>
        <w:tabs>
          <w:tab w:val="right" w:leader="dot" w:pos="9402"/>
        </w:tabs>
        <w:ind w:left="1120"/>
        <w:rPr>
          <w:rStyle w:val="14"/>
          <w:rFonts w:ascii="宋体" w:hAnsi="宋体" w:cs="宋体"/>
          <w:color w:val="auto"/>
        </w:rPr>
      </w:pPr>
      <w:r>
        <w:fldChar w:fldCharType="begin"/>
      </w:r>
      <w:r>
        <w:instrText xml:space="preserve"> HYPERLINK \l "_Toc54278972" </w:instrText>
      </w:r>
      <w:r>
        <w:fldChar w:fldCharType="separate"/>
      </w:r>
      <w:r>
        <w:rPr>
          <w:rStyle w:val="14"/>
          <w:rFonts w:hint="eastAsia" w:ascii="宋体" w:hAnsi="宋体" w:cs="宋体"/>
          <w:color w:val="auto"/>
        </w:rPr>
        <w:t>五、磋商保证金</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_Toc54278972 \h </w:instrText>
      </w:r>
      <w:r>
        <w:rPr>
          <w:rFonts w:hint="eastAsia" w:ascii="宋体" w:hAnsi="宋体" w:cs="宋体"/>
        </w:rPr>
        <w:fldChar w:fldCharType="separate"/>
      </w:r>
      <w:r>
        <w:rPr>
          <w:rFonts w:hint="eastAsia" w:ascii="宋体" w:hAnsi="宋体" w:cs="宋体"/>
        </w:rPr>
        <w:t>- 5 -</w:t>
      </w:r>
      <w:r>
        <w:rPr>
          <w:rFonts w:hint="eastAsia" w:ascii="宋体" w:hAnsi="宋体" w:cs="宋体"/>
        </w:rPr>
        <w:fldChar w:fldCharType="end"/>
      </w:r>
      <w:r>
        <w:rPr>
          <w:rFonts w:hint="eastAsia" w:ascii="宋体" w:hAnsi="宋体" w:cs="宋体"/>
        </w:rPr>
        <w:fldChar w:fldCharType="end"/>
      </w:r>
    </w:p>
    <w:p>
      <w:pPr>
        <w:pStyle w:val="5"/>
        <w:tabs>
          <w:tab w:val="right" w:leader="dot" w:pos="9402"/>
        </w:tabs>
        <w:ind w:left="1120"/>
        <w:rPr>
          <w:rFonts w:ascii="宋体" w:hAnsi="宋体" w:cs="宋体"/>
          <w:u w:val="single"/>
        </w:rPr>
      </w:pPr>
      <w:r>
        <w:fldChar w:fldCharType="begin"/>
      </w:r>
      <w:r>
        <w:instrText xml:space="preserve"> HYPERLINK \l "_Toc54278972" </w:instrText>
      </w:r>
      <w:r>
        <w:fldChar w:fldCharType="separate"/>
      </w:r>
      <w:r>
        <w:rPr>
          <w:rStyle w:val="14"/>
          <w:rFonts w:hint="eastAsia" w:ascii="宋体" w:hAnsi="宋体" w:cs="宋体"/>
          <w:color w:val="auto"/>
        </w:rPr>
        <w:t>六、履约保证金</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_Toc54278972 \h </w:instrText>
      </w:r>
      <w:r>
        <w:rPr>
          <w:rFonts w:hint="eastAsia" w:ascii="宋体" w:hAnsi="宋体" w:cs="宋体"/>
        </w:rPr>
        <w:fldChar w:fldCharType="separate"/>
      </w:r>
      <w:r>
        <w:rPr>
          <w:rFonts w:hint="eastAsia" w:ascii="宋体" w:hAnsi="宋体" w:cs="宋体"/>
        </w:rPr>
        <w:t>- 5 -</w:t>
      </w:r>
      <w:r>
        <w:rPr>
          <w:rFonts w:hint="eastAsia" w:ascii="宋体" w:hAnsi="宋体" w:cs="宋体"/>
        </w:rPr>
        <w:fldChar w:fldCharType="end"/>
      </w:r>
      <w:r>
        <w:rPr>
          <w:rFonts w:hint="eastAsia" w:ascii="宋体" w:hAnsi="宋体" w:cs="宋体"/>
        </w:rPr>
        <w:fldChar w:fldCharType="end"/>
      </w:r>
    </w:p>
    <w:p>
      <w:pPr>
        <w:pStyle w:val="5"/>
        <w:tabs>
          <w:tab w:val="right" w:leader="dot" w:pos="9402"/>
        </w:tabs>
        <w:ind w:left="1120"/>
        <w:rPr>
          <w:rFonts w:ascii="宋体" w:hAnsi="宋体" w:cs="宋体"/>
          <w:sz w:val="21"/>
          <w:szCs w:val="22"/>
        </w:rPr>
      </w:pPr>
      <w:r>
        <w:fldChar w:fldCharType="begin"/>
      </w:r>
      <w:r>
        <w:instrText xml:space="preserve"> HYPERLINK \l "_Toc54278973" </w:instrText>
      </w:r>
      <w:r>
        <w:fldChar w:fldCharType="separate"/>
      </w:r>
      <w:r>
        <w:rPr>
          <w:rStyle w:val="14"/>
          <w:rFonts w:hint="eastAsia" w:ascii="宋体" w:hAnsi="宋体" w:cs="宋体"/>
          <w:color w:val="auto"/>
        </w:rPr>
        <w:t>七、采购项目需落实的政府采购政策</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_Toc54278973 \h </w:instrText>
      </w:r>
      <w:r>
        <w:rPr>
          <w:rFonts w:hint="eastAsia" w:ascii="宋体" w:hAnsi="宋体" w:cs="宋体"/>
        </w:rPr>
        <w:fldChar w:fldCharType="separate"/>
      </w:r>
      <w:r>
        <w:rPr>
          <w:rFonts w:hint="eastAsia" w:ascii="宋体" w:hAnsi="宋体" w:cs="宋体"/>
        </w:rPr>
        <w:t>- 5 -</w:t>
      </w:r>
      <w:r>
        <w:rPr>
          <w:rFonts w:hint="eastAsia" w:ascii="宋体" w:hAnsi="宋体" w:cs="宋体"/>
        </w:rPr>
        <w:fldChar w:fldCharType="end"/>
      </w:r>
      <w:r>
        <w:rPr>
          <w:rFonts w:hint="eastAsia" w:ascii="宋体" w:hAnsi="宋体" w:cs="宋体"/>
        </w:rPr>
        <w:fldChar w:fldCharType="end"/>
      </w:r>
    </w:p>
    <w:p>
      <w:pPr>
        <w:pStyle w:val="5"/>
        <w:tabs>
          <w:tab w:val="right" w:leader="dot" w:pos="9402"/>
        </w:tabs>
        <w:ind w:left="1120"/>
        <w:rPr>
          <w:rFonts w:ascii="宋体" w:hAnsi="宋体" w:cs="宋体"/>
          <w:sz w:val="21"/>
          <w:szCs w:val="22"/>
        </w:rPr>
      </w:pPr>
      <w:r>
        <w:fldChar w:fldCharType="begin"/>
      </w:r>
      <w:r>
        <w:instrText xml:space="preserve"> HYPERLINK \l "_Toc54278974" </w:instrText>
      </w:r>
      <w:r>
        <w:fldChar w:fldCharType="separate"/>
      </w:r>
      <w:r>
        <w:rPr>
          <w:rStyle w:val="14"/>
          <w:rFonts w:hint="eastAsia" w:ascii="宋体" w:hAnsi="宋体" w:cs="宋体"/>
          <w:color w:val="auto"/>
        </w:rPr>
        <w:t>八、其它有关规定</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_Toc54278974 \h </w:instrText>
      </w:r>
      <w:r>
        <w:rPr>
          <w:rFonts w:hint="eastAsia" w:ascii="宋体" w:hAnsi="宋体" w:cs="宋体"/>
        </w:rPr>
        <w:fldChar w:fldCharType="separate"/>
      </w:r>
      <w:r>
        <w:rPr>
          <w:rFonts w:hint="eastAsia" w:ascii="宋体" w:hAnsi="宋体" w:cs="宋体"/>
        </w:rPr>
        <w:t>- 7 -</w:t>
      </w:r>
      <w:r>
        <w:rPr>
          <w:rFonts w:hint="eastAsia" w:ascii="宋体" w:hAnsi="宋体" w:cs="宋体"/>
        </w:rPr>
        <w:fldChar w:fldCharType="end"/>
      </w:r>
      <w:r>
        <w:rPr>
          <w:rFonts w:hint="eastAsia" w:ascii="宋体" w:hAnsi="宋体" w:cs="宋体"/>
        </w:rPr>
        <w:fldChar w:fldCharType="end"/>
      </w:r>
    </w:p>
    <w:p>
      <w:pPr>
        <w:pStyle w:val="5"/>
        <w:tabs>
          <w:tab w:val="right" w:leader="dot" w:pos="9402"/>
        </w:tabs>
        <w:ind w:left="1120"/>
        <w:rPr>
          <w:rFonts w:ascii="宋体" w:hAnsi="宋体" w:cs="宋体"/>
          <w:sz w:val="21"/>
          <w:szCs w:val="22"/>
        </w:rPr>
      </w:pPr>
      <w:r>
        <w:fldChar w:fldCharType="begin"/>
      </w:r>
      <w:r>
        <w:instrText xml:space="preserve"> HYPERLINK \l "_Toc54278975" </w:instrText>
      </w:r>
      <w:r>
        <w:fldChar w:fldCharType="separate"/>
      </w:r>
      <w:r>
        <w:rPr>
          <w:rStyle w:val="14"/>
          <w:rFonts w:hint="eastAsia" w:ascii="宋体" w:hAnsi="宋体" w:cs="宋体"/>
          <w:color w:val="auto"/>
        </w:rPr>
        <w:t>九、联系方式</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_Toc54278975 \h </w:instrText>
      </w:r>
      <w:r>
        <w:rPr>
          <w:rFonts w:hint="eastAsia" w:ascii="宋体" w:hAnsi="宋体" w:cs="宋体"/>
        </w:rPr>
        <w:fldChar w:fldCharType="separate"/>
      </w:r>
      <w:r>
        <w:rPr>
          <w:rFonts w:hint="eastAsia" w:ascii="宋体" w:hAnsi="宋体" w:cs="宋体"/>
        </w:rPr>
        <w:t>- 7 -</w:t>
      </w:r>
      <w:r>
        <w:rPr>
          <w:rFonts w:hint="eastAsia" w:ascii="宋体" w:hAnsi="宋体" w:cs="宋体"/>
        </w:rPr>
        <w:fldChar w:fldCharType="end"/>
      </w:r>
      <w:r>
        <w:rPr>
          <w:rFonts w:hint="eastAsia" w:ascii="宋体" w:hAnsi="宋体" w:cs="宋体"/>
        </w:rPr>
        <w:fldChar w:fldCharType="end"/>
      </w:r>
    </w:p>
    <w:p>
      <w:pPr>
        <w:pStyle w:val="10"/>
        <w:tabs>
          <w:tab w:val="right" w:leader="dot" w:pos="9402"/>
        </w:tabs>
        <w:ind w:left="560"/>
        <w:rPr>
          <w:rFonts w:ascii="宋体" w:hAnsi="宋体" w:cs="宋体"/>
          <w:sz w:val="21"/>
          <w:szCs w:val="22"/>
        </w:rPr>
      </w:pPr>
      <w:r>
        <w:fldChar w:fldCharType="begin"/>
      </w:r>
      <w:r>
        <w:instrText xml:space="preserve"> HYPERLINK \l "_Toc54278977" </w:instrText>
      </w:r>
      <w:r>
        <w:fldChar w:fldCharType="separate"/>
      </w:r>
      <w:r>
        <w:rPr>
          <w:rStyle w:val="14"/>
          <w:rFonts w:hint="eastAsia" w:ascii="宋体" w:hAnsi="宋体" w:cs="宋体"/>
          <w:color w:val="auto"/>
        </w:rPr>
        <w:t>第二篇  项目服务需求</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_Toc54278977 \h </w:instrText>
      </w:r>
      <w:r>
        <w:rPr>
          <w:rFonts w:hint="eastAsia" w:ascii="宋体" w:hAnsi="宋体" w:cs="宋体"/>
        </w:rPr>
        <w:fldChar w:fldCharType="separate"/>
      </w:r>
      <w:r>
        <w:rPr>
          <w:rFonts w:hint="eastAsia" w:ascii="宋体" w:hAnsi="宋体" w:cs="宋体"/>
        </w:rPr>
        <w:t>- 8 -</w:t>
      </w:r>
      <w:r>
        <w:rPr>
          <w:rFonts w:hint="eastAsia" w:ascii="宋体" w:hAnsi="宋体" w:cs="宋体"/>
        </w:rPr>
        <w:fldChar w:fldCharType="end"/>
      </w:r>
      <w:r>
        <w:rPr>
          <w:rFonts w:hint="eastAsia" w:ascii="宋体" w:hAnsi="宋体" w:cs="宋体"/>
        </w:rPr>
        <w:fldChar w:fldCharType="end"/>
      </w:r>
    </w:p>
    <w:p>
      <w:pPr>
        <w:pStyle w:val="5"/>
        <w:tabs>
          <w:tab w:val="right" w:leader="dot" w:pos="9402"/>
        </w:tabs>
        <w:ind w:left="1120"/>
        <w:rPr>
          <w:rFonts w:ascii="宋体" w:hAnsi="宋体" w:cs="宋体"/>
          <w:sz w:val="21"/>
          <w:szCs w:val="22"/>
        </w:rPr>
      </w:pPr>
      <w:r>
        <w:fldChar w:fldCharType="begin"/>
      </w:r>
      <w:r>
        <w:instrText xml:space="preserve"> HYPERLINK \l "_Toc54278978" </w:instrText>
      </w:r>
      <w:r>
        <w:fldChar w:fldCharType="separate"/>
      </w:r>
      <w:r>
        <w:rPr>
          <w:rStyle w:val="14"/>
          <w:rFonts w:hint="eastAsia" w:ascii="宋体" w:hAnsi="宋体" w:cs="宋体"/>
          <w:color w:val="auto"/>
        </w:rPr>
        <w:t>一、建设地点</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_Toc54278978 \h </w:instrText>
      </w:r>
      <w:r>
        <w:rPr>
          <w:rFonts w:hint="eastAsia" w:ascii="宋体" w:hAnsi="宋体" w:cs="宋体"/>
        </w:rPr>
        <w:fldChar w:fldCharType="separate"/>
      </w:r>
      <w:r>
        <w:rPr>
          <w:rFonts w:hint="eastAsia" w:ascii="宋体" w:hAnsi="宋体" w:cs="宋体"/>
        </w:rPr>
        <w:t>- 8 -</w:t>
      </w:r>
      <w:r>
        <w:rPr>
          <w:rFonts w:hint="eastAsia" w:ascii="宋体" w:hAnsi="宋体" w:cs="宋体"/>
        </w:rPr>
        <w:fldChar w:fldCharType="end"/>
      </w:r>
      <w:r>
        <w:rPr>
          <w:rFonts w:hint="eastAsia" w:ascii="宋体" w:hAnsi="宋体" w:cs="宋体"/>
        </w:rPr>
        <w:fldChar w:fldCharType="end"/>
      </w:r>
    </w:p>
    <w:p>
      <w:pPr>
        <w:pStyle w:val="5"/>
        <w:tabs>
          <w:tab w:val="right" w:leader="dot" w:pos="9402"/>
        </w:tabs>
        <w:ind w:left="1120"/>
        <w:rPr>
          <w:rFonts w:ascii="宋体" w:hAnsi="宋体" w:cs="宋体"/>
          <w:sz w:val="21"/>
          <w:szCs w:val="22"/>
        </w:rPr>
      </w:pPr>
      <w:r>
        <w:fldChar w:fldCharType="begin"/>
      </w:r>
      <w:r>
        <w:instrText xml:space="preserve"> HYPERLINK \l "_Toc54278979" </w:instrText>
      </w:r>
      <w:r>
        <w:fldChar w:fldCharType="separate"/>
      </w:r>
      <w:r>
        <w:rPr>
          <w:rStyle w:val="14"/>
          <w:rFonts w:hint="eastAsia" w:ascii="宋体" w:hAnsi="宋体" w:cs="宋体"/>
          <w:color w:val="auto"/>
        </w:rPr>
        <w:t>二、建设规模</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_Toc54278979 \h </w:instrText>
      </w:r>
      <w:r>
        <w:rPr>
          <w:rFonts w:hint="eastAsia" w:ascii="宋体" w:hAnsi="宋体" w:cs="宋体"/>
        </w:rPr>
        <w:fldChar w:fldCharType="separate"/>
      </w:r>
      <w:r>
        <w:rPr>
          <w:rFonts w:hint="eastAsia" w:ascii="宋体" w:hAnsi="宋体" w:cs="宋体"/>
        </w:rPr>
        <w:t>- 8 -</w:t>
      </w:r>
      <w:r>
        <w:rPr>
          <w:rFonts w:hint="eastAsia" w:ascii="宋体" w:hAnsi="宋体" w:cs="宋体"/>
        </w:rPr>
        <w:fldChar w:fldCharType="end"/>
      </w:r>
      <w:r>
        <w:rPr>
          <w:rFonts w:hint="eastAsia" w:ascii="宋体" w:hAnsi="宋体" w:cs="宋体"/>
        </w:rPr>
        <w:fldChar w:fldCharType="end"/>
      </w:r>
    </w:p>
    <w:p>
      <w:pPr>
        <w:pStyle w:val="10"/>
        <w:tabs>
          <w:tab w:val="right" w:leader="dot" w:pos="9402"/>
        </w:tabs>
        <w:ind w:left="560"/>
        <w:rPr>
          <w:rFonts w:ascii="宋体" w:hAnsi="宋体" w:cs="宋体"/>
          <w:sz w:val="21"/>
          <w:szCs w:val="22"/>
        </w:rPr>
      </w:pPr>
      <w:r>
        <w:fldChar w:fldCharType="begin"/>
      </w:r>
      <w:r>
        <w:instrText xml:space="preserve"> HYPERLINK \l "_Toc54278984" </w:instrText>
      </w:r>
      <w:r>
        <w:fldChar w:fldCharType="separate"/>
      </w:r>
      <w:r>
        <w:rPr>
          <w:rStyle w:val="14"/>
          <w:rFonts w:hint="eastAsia" w:ascii="宋体" w:hAnsi="宋体" w:cs="宋体"/>
          <w:color w:val="auto"/>
        </w:rPr>
        <w:t>第三篇  项目商务需求</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_Toc54278984 \h </w:instrText>
      </w:r>
      <w:r>
        <w:rPr>
          <w:rFonts w:hint="eastAsia" w:ascii="宋体" w:hAnsi="宋体" w:cs="宋体"/>
        </w:rPr>
        <w:fldChar w:fldCharType="separate"/>
      </w:r>
      <w:r>
        <w:rPr>
          <w:rFonts w:hint="eastAsia" w:ascii="宋体" w:hAnsi="宋体" w:cs="宋体"/>
        </w:rPr>
        <w:t>- 9 -</w:t>
      </w:r>
      <w:r>
        <w:rPr>
          <w:rFonts w:hint="eastAsia" w:ascii="宋体" w:hAnsi="宋体" w:cs="宋体"/>
        </w:rPr>
        <w:fldChar w:fldCharType="end"/>
      </w:r>
      <w:r>
        <w:rPr>
          <w:rFonts w:hint="eastAsia" w:ascii="宋体" w:hAnsi="宋体" w:cs="宋体"/>
        </w:rPr>
        <w:fldChar w:fldCharType="end"/>
      </w:r>
    </w:p>
    <w:p>
      <w:pPr>
        <w:pStyle w:val="5"/>
        <w:tabs>
          <w:tab w:val="right" w:leader="dot" w:pos="9402"/>
        </w:tabs>
        <w:ind w:left="1120"/>
        <w:rPr>
          <w:rFonts w:ascii="宋体" w:hAnsi="宋体" w:cs="宋体"/>
          <w:sz w:val="21"/>
          <w:szCs w:val="22"/>
        </w:rPr>
      </w:pPr>
      <w:r>
        <w:fldChar w:fldCharType="begin"/>
      </w:r>
      <w:r>
        <w:instrText xml:space="preserve"> HYPERLINK \l "_Toc54278985" </w:instrText>
      </w:r>
      <w:r>
        <w:fldChar w:fldCharType="separate"/>
      </w:r>
      <w:r>
        <w:rPr>
          <w:rStyle w:val="14"/>
          <w:rFonts w:hint="eastAsia" w:ascii="宋体" w:hAnsi="宋体" w:cs="宋体"/>
          <w:color w:val="auto"/>
        </w:rPr>
        <w:t>一、服务期、地点及验收方式</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_Toc54278985 \h </w:instrText>
      </w:r>
      <w:r>
        <w:rPr>
          <w:rFonts w:hint="eastAsia" w:ascii="宋体" w:hAnsi="宋体" w:cs="宋体"/>
        </w:rPr>
        <w:fldChar w:fldCharType="separate"/>
      </w:r>
      <w:r>
        <w:rPr>
          <w:rFonts w:hint="eastAsia" w:ascii="宋体" w:hAnsi="宋体" w:cs="宋体"/>
        </w:rPr>
        <w:t>- 9 -</w:t>
      </w:r>
      <w:r>
        <w:rPr>
          <w:rFonts w:hint="eastAsia" w:ascii="宋体" w:hAnsi="宋体" w:cs="宋体"/>
        </w:rPr>
        <w:fldChar w:fldCharType="end"/>
      </w:r>
      <w:r>
        <w:rPr>
          <w:rFonts w:hint="eastAsia" w:ascii="宋体" w:hAnsi="宋体" w:cs="宋体"/>
        </w:rPr>
        <w:fldChar w:fldCharType="end"/>
      </w:r>
    </w:p>
    <w:p>
      <w:pPr>
        <w:pStyle w:val="5"/>
        <w:tabs>
          <w:tab w:val="right" w:leader="dot" w:pos="9402"/>
        </w:tabs>
        <w:ind w:left="1120"/>
        <w:rPr>
          <w:rFonts w:ascii="宋体" w:hAnsi="宋体" w:cs="宋体"/>
          <w:sz w:val="21"/>
          <w:szCs w:val="22"/>
        </w:rPr>
      </w:pPr>
      <w:r>
        <w:fldChar w:fldCharType="begin"/>
      </w:r>
      <w:r>
        <w:instrText xml:space="preserve"> HYPERLINK \l "_Toc54278986" </w:instrText>
      </w:r>
      <w:r>
        <w:fldChar w:fldCharType="separate"/>
      </w:r>
      <w:r>
        <w:rPr>
          <w:rStyle w:val="14"/>
          <w:rFonts w:hint="eastAsia" w:ascii="宋体" w:hAnsi="宋体" w:cs="宋体"/>
          <w:color w:val="auto"/>
        </w:rPr>
        <w:t>二、报价要求</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_Toc54278986 \h </w:instrText>
      </w:r>
      <w:r>
        <w:rPr>
          <w:rFonts w:hint="eastAsia" w:ascii="宋体" w:hAnsi="宋体" w:cs="宋体"/>
        </w:rPr>
        <w:fldChar w:fldCharType="separate"/>
      </w:r>
      <w:r>
        <w:rPr>
          <w:rFonts w:hint="eastAsia" w:ascii="宋体" w:hAnsi="宋体" w:cs="宋体"/>
        </w:rPr>
        <w:t>- 9 -</w:t>
      </w:r>
      <w:r>
        <w:rPr>
          <w:rFonts w:hint="eastAsia" w:ascii="宋体" w:hAnsi="宋体" w:cs="宋体"/>
        </w:rPr>
        <w:fldChar w:fldCharType="end"/>
      </w:r>
      <w:r>
        <w:rPr>
          <w:rFonts w:hint="eastAsia" w:ascii="宋体" w:hAnsi="宋体" w:cs="宋体"/>
        </w:rPr>
        <w:fldChar w:fldCharType="end"/>
      </w:r>
    </w:p>
    <w:p>
      <w:pPr>
        <w:pStyle w:val="5"/>
        <w:tabs>
          <w:tab w:val="right" w:leader="dot" w:pos="9402"/>
        </w:tabs>
        <w:ind w:left="1120"/>
        <w:rPr>
          <w:rFonts w:ascii="宋体" w:hAnsi="宋体" w:cs="宋体"/>
          <w:sz w:val="21"/>
          <w:szCs w:val="22"/>
        </w:rPr>
      </w:pPr>
      <w:r>
        <w:fldChar w:fldCharType="begin"/>
      </w:r>
      <w:r>
        <w:instrText xml:space="preserve"> HYPERLINK \l "_Toc54278987" </w:instrText>
      </w:r>
      <w:r>
        <w:fldChar w:fldCharType="separate"/>
      </w:r>
      <w:r>
        <w:rPr>
          <w:rStyle w:val="14"/>
          <w:rFonts w:hint="eastAsia" w:ascii="宋体" w:hAnsi="宋体" w:cs="宋体"/>
          <w:color w:val="auto"/>
        </w:rPr>
        <w:t>三、结算原则</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_Toc54278987 \h </w:instrText>
      </w:r>
      <w:r>
        <w:rPr>
          <w:rFonts w:hint="eastAsia" w:ascii="宋体" w:hAnsi="宋体" w:cs="宋体"/>
        </w:rPr>
        <w:fldChar w:fldCharType="separate"/>
      </w:r>
      <w:r>
        <w:rPr>
          <w:b/>
        </w:rPr>
        <w:t>错误！未定义书签。</w:t>
      </w:r>
      <w:r>
        <w:rPr>
          <w:rFonts w:hint="eastAsia" w:ascii="宋体" w:hAnsi="宋体" w:cs="宋体"/>
        </w:rPr>
        <w:fldChar w:fldCharType="end"/>
      </w:r>
      <w:r>
        <w:rPr>
          <w:rFonts w:hint="eastAsia" w:ascii="宋体" w:hAnsi="宋体" w:cs="宋体"/>
        </w:rPr>
        <w:fldChar w:fldCharType="end"/>
      </w:r>
    </w:p>
    <w:p>
      <w:pPr>
        <w:pStyle w:val="5"/>
        <w:tabs>
          <w:tab w:val="right" w:leader="dot" w:pos="9402"/>
        </w:tabs>
        <w:ind w:left="1120"/>
        <w:rPr>
          <w:rFonts w:ascii="宋体" w:hAnsi="宋体" w:cs="宋体"/>
          <w:sz w:val="21"/>
          <w:szCs w:val="22"/>
        </w:rPr>
      </w:pPr>
      <w:r>
        <w:fldChar w:fldCharType="begin"/>
      </w:r>
      <w:r>
        <w:instrText xml:space="preserve"> HYPERLINK \l "_Toc54278988" </w:instrText>
      </w:r>
      <w:r>
        <w:fldChar w:fldCharType="separate"/>
      </w:r>
      <w:r>
        <w:rPr>
          <w:rStyle w:val="14"/>
          <w:rFonts w:hint="eastAsia" w:ascii="宋体" w:hAnsi="宋体" w:cs="宋体"/>
          <w:color w:val="auto"/>
        </w:rPr>
        <w:t>四、付款方式</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_Toc54278988 \h </w:instrText>
      </w:r>
      <w:r>
        <w:rPr>
          <w:rFonts w:hint="eastAsia" w:ascii="宋体" w:hAnsi="宋体" w:cs="宋体"/>
        </w:rPr>
        <w:fldChar w:fldCharType="separate"/>
      </w:r>
      <w:r>
        <w:rPr>
          <w:b/>
        </w:rPr>
        <w:t>错误！未定义书签。</w:t>
      </w:r>
      <w:r>
        <w:rPr>
          <w:rFonts w:hint="eastAsia" w:ascii="宋体" w:hAnsi="宋体" w:cs="宋体"/>
        </w:rPr>
        <w:fldChar w:fldCharType="end"/>
      </w:r>
      <w:r>
        <w:rPr>
          <w:rFonts w:hint="eastAsia" w:ascii="宋体" w:hAnsi="宋体" w:cs="宋体"/>
        </w:rPr>
        <w:fldChar w:fldCharType="end"/>
      </w:r>
    </w:p>
    <w:p>
      <w:pPr>
        <w:pStyle w:val="5"/>
        <w:tabs>
          <w:tab w:val="right" w:leader="dot" w:pos="9402"/>
        </w:tabs>
        <w:ind w:left="1120"/>
        <w:rPr>
          <w:rFonts w:ascii="宋体" w:hAnsi="宋体" w:cs="宋体"/>
          <w:sz w:val="21"/>
          <w:szCs w:val="22"/>
        </w:rPr>
      </w:pPr>
      <w:r>
        <w:fldChar w:fldCharType="begin"/>
      </w:r>
      <w:r>
        <w:instrText xml:space="preserve"> HYPERLINK \l "_Toc54278989" </w:instrText>
      </w:r>
      <w:r>
        <w:fldChar w:fldCharType="separate"/>
      </w:r>
      <w:r>
        <w:rPr>
          <w:rStyle w:val="14"/>
          <w:rFonts w:hint="eastAsia" w:ascii="宋体" w:hAnsi="宋体" w:cs="宋体"/>
          <w:color w:val="auto"/>
        </w:rPr>
        <w:t>五、知识产权</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_Toc54278989 \h </w:instrText>
      </w:r>
      <w:r>
        <w:rPr>
          <w:rFonts w:hint="eastAsia" w:ascii="宋体" w:hAnsi="宋体" w:cs="宋体"/>
        </w:rPr>
        <w:fldChar w:fldCharType="separate"/>
      </w:r>
      <w:r>
        <w:rPr>
          <w:b/>
        </w:rPr>
        <w:t>错误！未定义书签。</w:t>
      </w:r>
      <w:r>
        <w:rPr>
          <w:rFonts w:hint="eastAsia" w:ascii="宋体" w:hAnsi="宋体" w:cs="宋体"/>
        </w:rPr>
        <w:fldChar w:fldCharType="end"/>
      </w:r>
      <w:r>
        <w:rPr>
          <w:rFonts w:hint="eastAsia" w:ascii="宋体" w:hAnsi="宋体" w:cs="宋体"/>
        </w:rPr>
        <w:fldChar w:fldCharType="end"/>
      </w:r>
    </w:p>
    <w:p>
      <w:pPr>
        <w:pStyle w:val="5"/>
        <w:tabs>
          <w:tab w:val="right" w:leader="dot" w:pos="9402"/>
        </w:tabs>
        <w:ind w:left="1120"/>
        <w:rPr>
          <w:rFonts w:ascii="宋体" w:hAnsi="宋体" w:cs="宋体"/>
          <w:sz w:val="21"/>
          <w:szCs w:val="22"/>
        </w:rPr>
      </w:pPr>
      <w:r>
        <w:fldChar w:fldCharType="begin"/>
      </w:r>
      <w:r>
        <w:instrText xml:space="preserve"> HYPERLINK \l "_Toc54278991" </w:instrText>
      </w:r>
      <w:r>
        <w:fldChar w:fldCharType="separate"/>
      </w:r>
      <w:r>
        <w:rPr>
          <w:rStyle w:val="14"/>
          <w:rFonts w:hint="eastAsia" w:ascii="宋体" w:hAnsi="宋体" w:cs="宋体"/>
          <w:color w:val="auto"/>
        </w:rPr>
        <w:t>六、其他</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_Toc54278991 \h </w:instrText>
      </w:r>
      <w:r>
        <w:rPr>
          <w:rFonts w:hint="eastAsia" w:ascii="宋体" w:hAnsi="宋体" w:cs="宋体"/>
        </w:rPr>
        <w:fldChar w:fldCharType="separate"/>
      </w:r>
      <w:r>
        <w:rPr>
          <w:rFonts w:hint="eastAsia" w:ascii="宋体" w:hAnsi="宋体" w:cs="宋体"/>
        </w:rPr>
        <w:t>- 18 -</w:t>
      </w:r>
      <w:r>
        <w:rPr>
          <w:rFonts w:hint="eastAsia" w:ascii="宋体" w:hAnsi="宋体" w:cs="宋体"/>
        </w:rPr>
        <w:fldChar w:fldCharType="end"/>
      </w:r>
      <w:r>
        <w:rPr>
          <w:rFonts w:hint="eastAsia" w:ascii="宋体" w:hAnsi="宋体" w:cs="宋体"/>
        </w:rPr>
        <w:fldChar w:fldCharType="end"/>
      </w:r>
    </w:p>
    <w:p>
      <w:pPr>
        <w:pStyle w:val="10"/>
        <w:tabs>
          <w:tab w:val="right" w:leader="dot" w:pos="9402"/>
        </w:tabs>
        <w:ind w:left="560"/>
        <w:rPr>
          <w:rFonts w:ascii="宋体" w:hAnsi="宋体" w:cs="宋体"/>
          <w:sz w:val="21"/>
          <w:szCs w:val="22"/>
        </w:rPr>
      </w:pPr>
      <w:r>
        <w:fldChar w:fldCharType="begin"/>
      </w:r>
      <w:r>
        <w:instrText xml:space="preserve"> HYPERLINK \l "_Toc54278994" </w:instrText>
      </w:r>
      <w:r>
        <w:fldChar w:fldCharType="separate"/>
      </w:r>
      <w:r>
        <w:rPr>
          <w:rStyle w:val="14"/>
          <w:rFonts w:hint="eastAsia" w:ascii="宋体" w:hAnsi="宋体" w:cs="宋体"/>
          <w:color w:val="auto"/>
        </w:rPr>
        <w:t>第四篇  磋商程序及方法、评审标准、无效响应和采购终止</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_Toc54278994 \h </w:instrText>
      </w:r>
      <w:r>
        <w:rPr>
          <w:rFonts w:hint="eastAsia" w:ascii="宋体" w:hAnsi="宋体" w:cs="宋体"/>
        </w:rPr>
        <w:fldChar w:fldCharType="separate"/>
      </w:r>
      <w:r>
        <w:rPr>
          <w:rFonts w:hint="eastAsia" w:ascii="宋体" w:hAnsi="宋体" w:cs="宋体"/>
        </w:rPr>
        <w:t>- 10 -</w:t>
      </w:r>
      <w:r>
        <w:rPr>
          <w:rFonts w:hint="eastAsia" w:ascii="宋体" w:hAnsi="宋体" w:cs="宋体"/>
        </w:rPr>
        <w:fldChar w:fldCharType="end"/>
      </w:r>
      <w:r>
        <w:rPr>
          <w:rFonts w:hint="eastAsia" w:ascii="宋体" w:hAnsi="宋体" w:cs="宋体"/>
        </w:rPr>
        <w:fldChar w:fldCharType="end"/>
      </w:r>
    </w:p>
    <w:p>
      <w:pPr>
        <w:pStyle w:val="5"/>
        <w:tabs>
          <w:tab w:val="right" w:leader="dot" w:pos="9402"/>
        </w:tabs>
        <w:ind w:left="1120"/>
        <w:rPr>
          <w:rFonts w:ascii="宋体" w:hAnsi="宋体" w:cs="宋体"/>
          <w:sz w:val="21"/>
          <w:szCs w:val="22"/>
        </w:rPr>
      </w:pPr>
      <w:r>
        <w:fldChar w:fldCharType="begin"/>
      </w:r>
      <w:r>
        <w:instrText xml:space="preserve"> HYPERLINK \l "_Toc54278995" </w:instrText>
      </w:r>
      <w:r>
        <w:fldChar w:fldCharType="separate"/>
      </w:r>
      <w:r>
        <w:rPr>
          <w:rStyle w:val="14"/>
          <w:rFonts w:hint="eastAsia" w:ascii="宋体" w:hAnsi="宋体" w:cs="宋体"/>
          <w:color w:val="auto"/>
        </w:rPr>
        <w:t>一、磋商程序及方法</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_Toc54278995 \h </w:instrText>
      </w:r>
      <w:r>
        <w:rPr>
          <w:rFonts w:hint="eastAsia" w:ascii="宋体" w:hAnsi="宋体" w:cs="宋体"/>
        </w:rPr>
        <w:fldChar w:fldCharType="separate"/>
      </w:r>
      <w:r>
        <w:rPr>
          <w:rFonts w:hint="eastAsia" w:ascii="宋体" w:hAnsi="宋体" w:cs="宋体"/>
        </w:rPr>
        <w:t>- 20 -</w:t>
      </w:r>
      <w:r>
        <w:rPr>
          <w:rFonts w:hint="eastAsia" w:ascii="宋体" w:hAnsi="宋体" w:cs="宋体"/>
        </w:rPr>
        <w:fldChar w:fldCharType="end"/>
      </w:r>
      <w:r>
        <w:rPr>
          <w:rFonts w:hint="eastAsia" w:ascii="宋体" w:hAnsi="宋体" w:cs="宋体"/>
        </w:rPr>
        <w:fldChar w:fldCharType="end"/>
      </w:r>
    </w:p>
    <w:p>
      <w:pPr>
        <w:pStyle w:val="5"/>
        <w:tabs>
          <w:tab w:val="right" w:leader="dot" w:pos="9402"/>
        </w:tabs>
        <w:ind w:left="1120"/>
        <w:rPr>
          <w:rFonts w:ascii="宋体" w:hAnsi="宋体" w:cs="宋体"/>
          <w:sz w:val="21"/>
          <w:szCs w:val="22"/>
        </w:rPr>
      </w:pPr>
      <w:r>
        <w:fldChar w:fldCharType="begin"/>
      </w:r>
      <w:r>
        <w:instrText xml:space="preserve"> HYPERLINK \l "_Toc54278996" </w:instrText>
      </w:r>
      <w:r>
        <w:fldChar w:fldCharType="separate"/>
      </w:r>
      <w:r>
        <w:rPr>
          <w:rStyle w:val="14"/>
          <w:rFonts w:hint="eastAsia" w:ascii="宋体" w:hAnsi="宋体" w:cs="宋体"/>
          <w:color w:val="auto"/>
        </w:rPr>
        <w:t>二、评审标准</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_Toc54278996 \h </w:instrText>
      </w:r>
      <w:r>
        <w:rPr>
          <w:rFonts w:hint="eastAsia" w:ascii="宋体" w:hAnsi="宋体" w:cs="宋体"/>
        </w:rPr>
        <w:fldChar w:fldCharType="separate"/>
      </w:r>
      <w:r>
        <w:rPr>
          <w:rFonts w:hint="eastAsia" w:ascii="宋体" w:hAnsi="宋体" w:cs="宋体"/>
        </w:rPr>
        <w:t>- 22 -</w:t>
      </w:r>
      <w:r>
        <w:rPr>
          <w:rFonts w:hint="eastAsia" w:ascii="宋体" w:hAnsi="宋体" w:cs="宋体"/>
        </w:rPr>
        <w:fldChar w:fldCharType="end"/>
      </w:r>
      <w:r>
        <w:rPr>
          <w:rFonts w:hint="eastAsia" w:ascii="宋体" w:hAnsi="宋体" w:cs="宋体"/>
        </w:rPr>
        <w:fldChar w:fldCharType="end"/>
      </w:r>
    </w:p>
    <w:p>
      <w:pPr>
        <w:pStyle w:val="5"/>
        <w:tabs>
          <w:tab w:val="right" w:leader="dot" w:pos="9402"/>
        </w:tabs>
        <w:ind w:left="1120"/>
        <w:rPr>
          <w:rFonts w:ascii="宋体" w:hAnsi="宋体" w:cs="宋体"/>
          <w:sz w:val="21"/>
          <w:szCs w:val="22"/>
        </w:rPr>
      </w:pPr>
      <w:r>
        <w:fldChar w:fldCharType="begin"/>
      </w:r>
      <w:r>
        <w:instrText xml:space="preserve"> HYPERLINK \l "_Toc54278997" </w:instrText>
      </w:r>
      <w:r>
        <w:fldChar w:fldCharType="separate"/>
      </w:r>
      <w:r>
        <w:rPr>
          <w:rStyle w:val="14"/>
          <w:rFonts w:hint="eastAsia" w:ascii="宋体" w:hAnsi="宋体" w:cs="宋体"/>
          <w:color w:val="auto"/>
        </w:rPr>
        <w:t>三、无效响应</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_Toc54278997 \h </w:instrText>
      </w:r>
      <w:r>
        <w:rPr>
          <w:rFonts w:hint="eastAsia" w:ascii="宋体" w:hAnsi="宋体" w:cs="宋体"/>
        </w:rPr>
        <w:fldChar w:fldCharType="separate"/>
      </w:r>
      <w:r>
        <w:rPr>
          <w:rFonts w:hint="eastAsia" w:ascii="宋体" w:hAnsi="宋体" w:cs="宋体"/>
        </w:rPr>
        <w:t>- 24 -</w:t>
      </w:r>
      <w:r>
        <w:rPr>
          <w:rFonts w:hint="eastAsia" w:ascii="宋体" w:hAnsi="宋体" w:cs="宋体"/>
        </w:rPr>
        <w:fldChar w:fldCharType="end"/>
      </w:r>
      <w:r>
        <w:rPr>
          <w:rFonts w:hint="eastAsia" w:ascii="宋体" w:hAnsi="宋体" w:cs="宋体"/>
        </w:rPr>
        <w:fldChar w:fldCharType="end"/>
      </w:r>
    </w:p>
    <w:p>
      <w:pPr>
        <w:pStyle w:val="5"/>
        <w:tabs>
          <w:tab w:val="right" w:leader="dot" w:pos="9402"/>
        </w:tabs>
        <w:ind w:left="1120"/>
        <w:rPr>
          <w:rFonts w:ascii="宋体" w:hAnsi="宋体" w:cs="宋体"/>
          <w:sz w:val="21"/>
          <w:szCs w:val="22"/>
        </w:rPr>
      </w:pPr>
      <w:r>
        <w:fldChar w:fldCharType="begin"/>
      </w:r>
      <w:r>
        <w:instrText xml:space="preserve"> HYPERLINK \l "_Toc54278998" </w:instrText>
      </w:r>
      <w:r>
        <w:fldChar w:fldCharType="separate"/>
      </w:r>
      <w:r>
        <w:rPr>
          <w:rStyle w:val="14"/>
          <w:rFonts w:hint="eastAsia" w:ascii="宋体" w:hAnsi="宋体" w:cs="宋体"/>
          <w:color w:val="auto"/>
        </w:rPr>
        <w:t>四、采购终止</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_Toc54278998 \h </w:instrText>
      </w:r>
      <w:r>
        <w:rPr>
          <w:rFonts w:hint="eastAsia" w:ascii="宋体" w:hAnsi="宋体" w:cs="宋体"/>
        </w:rPr>
        <w:fldChar w:fldCharType="separate"/>
      </w:r>
      <w:r>
        <w:rPr>
          <w:rFonts w:hint="eastAsia" w:ascii="宋体" w:hAnsi="宋体" w:cs="宋体"/>
        </w:rPr>
        <w:t>- 25 -</w:t>
      </w:r>
      <w:r>
        <w:rPr>
          <w:rFonts w:hint="eastAsia" w:ascii="宋体" w:hAnsi="宋体" w:cs="宋体"/>
        </w:rPr>
        <w:fldChar w:fldCharType="end"/>
      </w:r>
      <w:r>
        <w:rPr>
          <w:rFonts w:hint="eastAsia" w:ascii="宋体" w:hAnsi="宋体" w:cs="宋体"/>
        </w:rPr>
        <w:fldChar w:fldCharType="end"/>
      </w:r>
    </w:p>
    <w:p>
      <w:pPr>
        <w:pStyle w:val="10"/>
        <w:tabs>
          <w:tab w:val="right" w:leader="dot" w:pos="9402"/>
        </w:tabs>
        <w:ind w:left="560"/>
        <w:rPr>
          <w:rFonts w:ascii="宋体" w:hAnsi="宋体" w:cs="宋体"/>
          <w:sz w:val="21"/>
          <w:szCs w:val="22"/>
        </w:rPr>
      </w:pPr>
      <w:r>
        <w:fldChar w:fldCharType="begin"/>
      </w:r>
      <w:r>
        <w:instrText xml:space="preserve"> HYPERLINK \l "_Toc54278999" </w:instrText>
      </w:r>
      <w:r>
        <w:fldChar w:fldCharType="separate"/>
      </w:r>
      <w:r>
        <w:rPr>
          <w:rStyle w:val="14"/>
          <w:rFonts w:hint="eastAsia" w:ascii="宋体" w:hAnsi="宋体" w:cs="宋体"/>
          <w:color w:val="auto"/>
        </w:rPr>
        <w:t>第五篇  供应商须知</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_Toc54278999 \h </w:instrText>
      </w:r>
      <w:r>
        <w:rPr>
          <w:rFonts w:hint="eastAsia" w:ascii="宋体" w:hAnsi="宋体" w:cs="宋体"/>
        </w:rPr>
        <w:fldChar w:fldCharType="separate"/>
      </w:r>
      <w:r>
        <w:rPr>
          <w:rFonts w:hint="eastAsia" w:ascii="宋体" w:hAnsi="宋体" w:cs="宋体"/>
        </w:rPr>
        <w:t>- 26 -</w:t>
      </w:r>
      <w:r>
        <w:rPr>
          <w:rFonts w:hint="eastAsia" w:ascii="宋体" w:hAnsi="宋体" w:cs="宋体"/>
        </w:rPr>
        <w:fldChar w:fldCharType="end"/>
      </w:r>
      <w:r>
        <w:rPr>
          <w:rFonts w:hint="eastAsia" w:ascii="宋体" w:hAnsi="宋体" w:cs="宋体"/>
        </w:rPr>
        <w:fldChar w:fldCharType="end"/>
      </w:r>
    </w:p>
    <w:p>
      <w:pPr>
        <w:pStyle w:val="5"/>
        <w:tabs>
          <w:tab w:val="right" w:leader="dot" w:pos="9402"/>
        </w:tabs>
        <w:ind w:left="1120"/>
        <w:rPr>
          <w:rFonts w:ascii="宋体" w:hAnsi="宋体" w:cs="宋体"/>
          <w:sz w:val="21"/>
          <w:szCs w:val="22"/>
        </w:rPr>
      </w:pPr>
      <w:r>
        <w:fldChar w:fldCharType="begin"/>
      </w:r>
      <w:r>
        <w:instrText xml:space="preserve"> HYPERLINK \l "_Toc54279000" </w:instrText>
      </w:r>
      <w:r>
        <w:fldChar w:fldCharType="separate"/>
      </w:r>
      <w:r>
        <w:rPr>
          <w:rStyle w:val="14"/>
          <w:rFonts w:hint="eastAsia" w:ascii="宋体" w:hAnsi="宋体" w:cs="宋体"/>
          <w:color w:val="auto"/>
        </w:rPr>
        <w:t>一、磋商费用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_Toc54279000 \h </w:instrText>
      </w:r>
      <w:r>
        <w:rPr>
          <w:rFonts w:hint="eastAsia" w:ascii="宋体" w:hAnsi="宋体" w:cs="宋体"/>
        </w:rPr>
        <w:fldChar w:fldCharType="separate"/>
      </w:r>
      <w:r>
        <w:rPr>
          <w:rFonts w:hint="eastAsia" w:ascii="宋体" w:hAnsi="宋体" w:cs="宋体"/>
        </w:rPr>
        <w:t>- 26 -</w:t>
      </w:r>
      <w:r>
        <w:rPr>
          <w:rFonts w:hint="eastAsia" w:ascii="宋体" w:hAnsi="宋体" w:cs="宋体"/>
        </w:rPr>
        <w:fldChar w:fldCharType="end"/>
      </w:r>
      <w:r>
        <w:rPr>
          <w:rFonts w:hint="eastAsia" w:ascii="宋体" w:hAnsi="宋体" w:cs="宋体"/>
        </w:rPr>
        <w:fldChar w:fldCharType="end"/>
      </w:r>
    </w:p>
    <w:p>
      <w:pPr>
        <w:pStyle w:val="5"/>
        <w:tabs>
          <w:tab w:val="right" w:leader="dot" w:pos="9402"/>
        </w:tabs>
        <w:ind w:left="1120"/>
        <w:rPr>
          <w:rFonts w:ascii="宋体" w:hAnsi="宋体" w:cs="宋体"/>
          <w:sz w:val="21"/>
          <w:szCs w:val="22"/>
        </w:rPr>
      </w:pPr>
      <w:r>
        <w:fldChar w:fldCharType="begin"/>
      </w:r>
      <w:r>
        <w:instrText xml:space="preserve"> HYPERLINK \l "_Toc54279001" </w:instrText>
      </w:r>
      <w:r>
        <w:fldChar w:fldCharType="separate"/>
      </w:r>
      <w:r>
        <w:rPr>
          <w:rStyle w:val="14"/>
          <w:rFonts w:hint="eastAsia" w:ascii="宋体" w:hAnsi="宋体" w:cs="宋体"/>
          <w:color w:val="auto"/>
        </w:rPr>
        <w:t>二、竞争性磋商文件</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_Toc54279001 \h </w:instrText>
      </w:r>
      <w:r>
        <w:rPr>
          <w:rFonts w:hint="eastAsia" w:ascii="宋体" w:hAnsi="宋体" w:cs="宋体"/>
        </w:rPr>
        <w:fldChar w:fldCharType="separate"/>
      </w:r>
      <w:r>
        <w:rPr>
          <w:rFonts w:hint="eastAsia" w:ascii="宋体" w:hAnsi="宋体" w:cs="宋体"/>
        </w:rPr>
        <w:t>- 26 -</w:t>
      </w:r>
      <w:r>
        <w:rPr>
          <w:rFonts w:hint="eastAsia" w:ascii="宋体" w:hAnsi="宋体" w:cs="宋体"/>
        </w:rPr>
        <w:fldChar w:fldCharType="end"/>
      </w:r>
      <w:r>
        <w:rPr>
          <w:rFonts w:hint="eastAsia" w:ascii="宋体" w:hAnsi="宋体" w:cs="宋体"/>
        </w:rPr>
        <w:fldChar w:fldCharType="end"/>
      </w:r>
    </w:p>
    <w:p>
      <w:pPr>
        <w:pStyle w:val="5"/>
        <w:tabs>
          <w:tab w:val="right" w:leader="dot" w:pos="9402"/>
        </w:tabs>
        <w:ind w:left="1120"/>
        <w:rPr>
          <w:rFonts w:ascii="宋体" w:hAnsi="宋体" w:cs="宋体"/>
          <w:sz w:val="21"/>
          <w:szCs w:val="22"/>
        </w:rPr>
      </w:pPr>
      <w:r>
        <w:fldChar w:fldCharType="begin"/>
      </w:r>
      <w:r>
        <w:instrText xml:space="preserve"> HYPERLINK \l "_Toc54279002" </w:instrText>
      </w:r>
      <w:r>
        <w:fldChar w:fldCharType="separate"/>
      </w:r>
      <w:r>
        <w:rPr>
          <w:rStyle w:val="14"/>
          <w:rFonts w:hint="eastAsia" w:ascii="宋体" w:hAnsi="宋体" w:cs="宋体"/>
          <w:color w:val="auto"/>
        </w:rPr>
        <w:t>三、磋商要求</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_Toc54279002 \h </w:instrText>
      </w:r>
      <w:r>
        <w:rPr>
          <w:rFonts w:hint="eastAsia" w:ascii="宋体" w:hAnsi="宋体" w:cs="宋体"/>
        </w:rPr>
        <w:fldChar w:fldCharType="separate"/>
      </w:r>
      <w:r>
        <w:rPr>
          <w:rFonts w:hint="eastAsia" w:ascii="宋体" w:hAnsi="宋体" w:cs="宋体"/>
        </w:rPr>
        <w:t>- 26 -</w:t>
      </w:r>
      <w:r>
        <w:rPr>
          <w:rFonts w:hint="eastAsia" w:ascii="宋体" w:hAnsi="宋体" w:cs="宋体"/>
        </w:rPr>
        <w:fldChar w:fldCharType="end"/>
      </w:r>
      <w:r>
        <w:rPr>
          <w:rFonts w:hint="eastAsia" w:ascii="宋体" w:hAnsi="宋体" w:cs="宋体"/>
        </w:rPr>
        <w:fldChar w:fldCharType="end"/>
      </w:r>
    </w:p>
    <w:p>
      <w:pPr>
        <w:pStyle w:val="5"/>
        <w:tabs>
          <w:tab w:val="right" w:leader="dot" w:pos="9402"/>
        </w:tabs>
        <w:ind w:left="1120"/>
        <w:rPr>
          <w:rFonts w:ascii="宋体" w:hAnsi="宋体" w:cs="宋体"/>
          <w:sz w:val="21"/>
          <w:szCs w:val="22"/>
        </w:rPr>
      </w:pPr>
      <w:r>
        <w:fldChar w:fldCharType="begin"/>
      </w:r>
      <w:r>
        <w:instrText xml:space="preserve"> HYPERLINK \l "_Toc54279003" </w:instrText>
      </w:r>
      <w:r>
        <w:fldChar w:fldCharType="separate"/>
      </w:r>
      <w:r>
        <w:rPr>
          <w:rStyle w:val="14"/>
          <w:rFonts w:hint="eastAsia" w:ascii="宋体" w:hAnsi="宋体" w:cs="宋体"/>
          <w:color w:val="auto"/>
        </w:rPr>
        <w:t>四、成交供应商的确认和变更</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_Toc54279003 \h </w:instrText>
      </w:r>
      <w:r>
        <w:rPr>
          <w:rFonts w:hint="eastAsia" w:ascii="宋体" w:hAnsi="宋体" w:cs="宋体"/>
        </w:rPr>
        <w:fldChar w:fldCharType="separate"/>
      </w:r>
      <w:r>
        <w:rPr>
          <w:rFonts w:hint="eastAsia" w:ascii="宋体" w:hAnsi="宋体" w:cs="宋体"/>
        </w:rPr>
        <w:t>- 27 -</w:t>
      </w:r>
      <w:r>
        <w:rPr>
          <w:rFonts w:hint="eastAsia" w:ascii="宋体" w:hAnsi="宋体" w:cs="宋体"/>
        </w:rPr>
        <w:fldChar w:fldCharType="end"/>
      </w:r>
      <w:r>
        <w:rPr>
          <w:rFonts w:hint="eastAsia" w:ascii="宋体" w:hAnsi="宋体" w:cs="宋体"/>
        </w:rPr>
        <w:fldChar w:fldCharType="end"/>
      </w:r>
    </w:p>
    <w:p>
      <w:pPr>
        <w:pStyle w:val="5"/>
        <w:tabs>
          <w:tab w:val="right" w:leader="dot" w:pos="9402"/>
        </w:tabs>
        <w:ind w:left="1120"/>
        <w:rPr>
          <w:rFonts w:ascii="宋体" w:hAnsi="宋体" w:cs="宋体"/>
          <w:sz w:val="21"/>
          <w:szCs w:val="22"/>
        </w:rPr>
      </w:pPr>
      <w:r>
        <w:fldChar w:fldCharType="begin"/>
      </w:r>
      <w:r>
        <w:instrText xml:space="preserve"> HYPERLINK \l "_Toc54279004" </w:instrText>
      </w:r>
      <w:r>
        <w:fldChar w:fldCharType="separate"/>
      </w:r>
      <w:r>
        <w:rPr>
          <w:rStyle w:val="14"/>
          <w:rFonts w:hint="eastAsia" w:ascii="宋体" w:hAnsi="宋体" w:cs="宋体"/>
          <w:color w:val="auto"/>
        </w:rPr>
        <w:t>五、成交通知</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_Toc54279004 \h </w:instrText>
      </w:r>
      <w:r>
        <w:rPr>
          <w:rFonts w:hint="eastAsia" w:ascii="宋体" w:hAnsi="宋体" w:cs="宋体"/>
        </w:rPr>
        <w:fldChar w:fldCharType="separate"/>
      </w:r>
      <w:r>
        <w:rPr>
          <w:rFonts w:hint="eastAsia" w:ascii="宋体" w:hAnsi="宋体" w:cs="宋体"/>
        </w:rPr>
        <w:t>- 27 -</w:t>
      </w:r>
      <w:r>
        <w:rPr>
          <w:rFonts w:hint="eastAsia" w:ascii="宋体" w:hAnsi="宋体" w:cs="宋体"/>
        </w:rPr>
        <w:fldChar w:fldCharType="end"/>
      </w:r>
      <w:r>
        <w:rPr>
          <w:rFonts w:hint="eastAsia" w:ascii="宋体" w:hAnsi="宋体" w:cs="宋体"/>
        </w:rPr>
        <w:fldChar w:fldCharType="end"/>
      </w:r>
    </w:p>
    <w:p>
      <w:pPr>
        <w:pStyle w:val="5"/>
        <w:tabs>
          <w:tab w:val="right" w:leader="dot" w:pos="9402"/>
        </w:tabs>
        <w:ind w:left="1120"/>
        <w:rPr>
          <w:rFonts w:ascii="宋体" w:hAnsi="宋体" w:cs="宋体"/>
          <w:sz w:val="21"/>
          <w:szCs w:val="22"/>
        </w:rPr>
      </w:pPr>
      <w:r>
        <w:fldChar w:fldCharType="begin"/>
      </w:r>
      <w:r>
        <w:instrText xml:space="preserve"> HYPERLINK \l "_Toc54279005" </w:instrText>
      </w:r>
      <w:r>
        <w:fldChar w:fldCharType="separate"/>
      </w:r>
      <w:r>
        <w:rPr>
          <w:rStyle w:val="14"/>
          <w:rFonts w:hint="eastAsia" w:ascii="宋体" w:hAnsi="宋体" w:cs="宋体"/>
          <w:color w:val="auto"/>
        </w:rPr>
        <w:t>六、关于质疑和投诉</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_Toc54279005 \h </w:instrText>
      </w:r>
      <w:r>
        <w:rPr>
          <w:rFonts w:hint="eastAsia" w:ascii="宋体" w:hAnsi="宋体" w:cs="宋体"/>
        </w:rPr>
        <w:fldChar w:fldCharType="separate"/>
      </w:r>
      <w:r>
        <w:rPr>
          <w:rFonts w:hint="eastAsia" w:ascii="宋体" w:hAnsi="宋体" w:cs="宋体"/>
        </w:rPr>
        <w:t>- 28 -</w:t>
      </w:r>
      <w:r>
        <w:rPr>
          <w:rFonts w:hint="eastAsia" w:ascii="宋体" w:hAnsi="宋体" w:cs="宋体"/>
        </w:rPr>
        <w:fldChar w:fldCharType="end"/>
      </w:r>
      <w:r>
        <w:rPr>
          <w:rFonts w:hint="eastAsia" w:ascii="宋体" w:hAnsi="宋体" w:cs="宋体"/>
        </w:rPr>
        <w:fldChar w:fldCharType="end"/>
      </w:r>
    </w:p>
    <w:p>
      <w:pPr>
        <w:pStyle w:val="5"/>
        <w:tabs>
          <w:tab w:val="right" w:leader="dot" w:pos="9402"/>
        </w:tabs>
        <w:ind w:left="1120"/>
        <w:rPr>
          <w:rFonts w:ascii="宋体" w:hAnsi="宋体" w:cs="宋体"/>
          <w:sz w:val="21"/>
          <w:szCs w:val="22"/>
        </w:rPr>
      </w:pPr>
      <w:r>
        <w:fldChar w:fldCharType="begin"/>
      </w:r>
      <w:r>
        <w:instrText xml:space="preserve"> HYPERLINK \l "_Toc54279008" </w:instrText>
      </w:r>
      <w:r>
        <w:fldChar w:fldCharType="separate"/>
      </w:r>
      <w:r>
        <w:rPr>
          <w:rStyle w:val="14"/>
          <w:rFonts w:hint="eastAsia" w:ascii="宋体" w:hAnsi="宋体" w:cs="宋体"/>
          <w:color w:val="auto"/>
        </w:rPr>
        <w:t>七、签订合同</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_Toc54279008 \h </w:instrText>
      </w:r>
      <w:r>
        <w:rPr>
          <w:rFonts w:hint="eastAsia" w:ascii="宋体" w:hAnsi="宋体" w:cs="宋体"/>
        </w:rPr>
        <w:fldChar w:fldCharType="separate"/>
      </w:r>
      <w:r>
        <w:rPr>
          <w:rFonts w:hint="eastAsia" w:ascii="宋体" w:hAnsi="宋体" w:cs="宋体"/>
        </w:rPr>
        <w:t>- 29 -</w:t>
      </w:r>
      <w:r>
        <w:rPr>
          <w:rFonts w:hint="eastAsia" w:ascii="宋体" w:hAnsi="宋体" w:cs="宋体"/>
        </w:rPr>
        <w:fldChar w:fldCharType="end"/>
      </w:r>
      <w:r>
        <w:rPr>
          <w:rFonts w:hint="eastAsia" w:ascii="宋体" w:hAnsi="宋体" w:cs="宋体"/>
        </w:rPr>
        <w:fldChar w:fldCharType="end"/>
      </w:r>
    </w:p>
    <w:p>
      <w:pPr>
        <w:pStyle w:val="5"/>
        <w:tabs>
          <w:tab w:val="right" w:leader="dot" w:pos="9402"/>
        </w:tabs>
        <w:ind w:left="1120"/>
        <w:rPr>
          <w:rFonts w:ascii="宋体" w:hAnsi="宋体" w:cs="宋体"/>
          <w:sz w:val="21"/>
          <w:szCs w:val="22"/>
        </w:rPr>
      </w:pPr>
      <w:r>
        <w:fldChar w:fldCharType="begin"/>
      </w:r>
      <w:r>
        <w:instrText xml:space="preserve"> HYPERLINK \l "_Toc54279009" </w:instrText>
      </w:r>
      <w:r>
        <w:fldChar w:fldCharType="separate"/>
      </w:r>
      <w:r>
        <w:rPr>
          <w:rStyle w:val="14"/>
          <w:rFonts w:hint="eastAsia" w:ascii="宋体" w:hAnsi="宋体" w:cs="宋体"/>
          <w:color w:val="auto"/>
        </w:rPr>
        <w:t>八、政府采购信用融资</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_Toc54279009 \h </w:instrText>
      </w:r>
      <w:r>
        <w:rPr>
          <w:rFonts w:hint="eastAsia" w:ascii="宋体" w:hAnsi="宋体" w:cs="宋体"/>
        </w:rPr>
        <w:fldChar w:fldCharType="separate"/>
      </w:r>
      <w:r>
        <w:rPr>
          <w:rFonts w:hint="eastAsia" w:ascii="宋体" w:hAnsi="宋体" w:cs="宋体"/>
        </w:rPr>
        <w:t>- 30 -</w:t>
      </w:r>
      <w:r>
        <w:rPr>
          <w:rFonts w:hint="eastAsia" w:ascii="宋体" w:hAnsi="宋体" w:cs="宋体"/>
        </w:rPr>
        <w:fldChar w:fldCharType="end"/>
      </w:r>
      <w:r>
        <w:rPr>
          <w:rFonts w:hint="eastAsia" w:ascii="宋体" w:hAnsi="宋体" w:cs="宋体"/>
        </w:rPr>
        <w:fldChar w:fldCharType="end"/>
      </w:r>
    </w:p>
    <w:p>
      <w:pPr>
        <w:pStyle w:val="10"/>
        <w:tabs>
          <w:tab w:val="right" w:leader="dot" w:pos="9402"/>
        </w:tabs>
        <w:ind w:left="560"/>
        <w:rPr>
          <w:rFonts w:ascii="宋体" w:hAnsi="宋体" w:cs="宋体"/>
          <w:sz w:val="21"/>
          <w:szCs w:val="22"/>
        </w:rPr>
      </w:pPr>
      <w:r>
        <w:fldChar w:fldCharType="begin"/>
      </w:r>
      <w:r>
        <w:instrText xml:space="preserve"> HYPERLINK \l "_Toc54279010" </w:instrText>
      </w:r>
      <w:r>
        <w:fldChar w:fldCharType="separate"/>
      </w:r>
      <w:r>
        <w:rPr>
          <w:rStyle w:val="14"/>
          <w:rFonts w:hint="eastAsia" w:ascii="宋体" w:hAnsi="宋体" w:cs="宋体"/>
          <w:color w:val="auto"/>
        </w:rPr>
        <w:t>第六篇  政府采购合同</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_Toc54279010 \h </w:instrText>
      </w:r>
      <w:r>
        <w:rPr>
          <w:rFonts w:hint="eastAsia" w:ascii="宋体" w:hAnsi="宋体" w:cs="宋体"/>
        </w:rPr>
        <w:fldChar w:fldCharType="separate"/>
      </w:r>
      <w:r>
        <w:rPr>
          <w:rFonts w:hint="eastAsia" w:ascii="宋体" w:hAnsi="宋体" w:cs="宋体"/>
        </w:rPr>
        <w:t>- 31 -</w:t>
      </w:r>
      <w:r>
        <w:rPr>
          <w:rFonts w:hint="eastAsia" w:ascii="宋体" w:hAnsi="宋体" w:cs="宋体"/>
        </w:rPr>
        <w:fldChar w:fldCharType="end"/>
      </w:r>
      <w:r>
        <w:rPr>
          <w:rFonts w:hint="eastAsia" w:ascii="宋体" w:hAnsi="宋体" w:cs="宋体"/>
        </w:rPr>
        <w:fldChar w:fldCharType="end"/>
      </w:r>
    </w:p>
    <w:p>
      <w:pPr>
        <w:pStyle w:val="10"/>
        <w:tabs>
          <w:tab w:val="right" w:leader="dot" w:pos="9402"/>
        </w:tabs>
        <w:ind w:left="560"/>
        <w:rPr>
          <w:rFonts w:ascii="宋体" w:hAnsi="宋体" w:cs="宋体"/>
          <w:sz w:val="21"/>
          <w:szCs w:val="22"/>
        </w:rPr>
      </w:pPr>
      <w:r>
        <w:fldChar w:fldCharType="begin"/>
      </w:r>
      <w:r>
        <w:instrText xml:space="preserve"> HYPERLINK \l "_Toc54279011" </w:instrText>
      </w:r>
      <w:r>
        <w:fldChar w:fldCharType="separate"/>
      </w:r>
      <w:r>
        <w:rPr>
          <w:rStyle w:val="14"/>
          <w:rFonts w:hint="eastAsia" w:ascii="宋体" w:hAnsi="宋体" w:cs="宋体"/>
          <w:color w:val="auto"/>
        </w:rPr>
        <w:t>第七篇  响应文件编制要求</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_Toc54279011 \h </w:instrText>
      </w:r>
      <w:r>
        <w:rPr>
          <w:rFonts w:hint="eastAsia" w:ascii="宋体" w:hAnsi="宋体" w:cs="宋体"/>
        </w:rPr>
        <w:fldChar w:fldCharType="separate"/>
      </w:r>
      <w:r>
        <w:rPr>
          <w:rFonts w:hint="eastAsia" w:ascii="宋体" w:hAnsi="宋体" w:cs="宋体"/>
        </w:rPr>
        <w:t>- 32 -</w:t>
      </w:r>
      <w:r>
        <w:rPr>
          <w:rFonts w:hint="eastAsia" w:ascii="宋体" w:hAnsi="宋体" w:cs="宋体"/>
        </w:rPr>
        <w:fldChar w:fldCharType="end"/>
      </w:r>
      <w:r>
        <w:rPr>
          <w:rFonts w:hint="eastAsia" w:ascii="宋体" w:hAnsi="宋体" w:cs="宋体"/>
        </w:rPr>
        <w:fldChar w:fldCharType="end"/>
      </w:r>
    </w:p>
    <w:p>
      <w:pPr>
        <w:pStyle w:val="5"/>
        <w:tabs>
          <w:tab w:val="right" w:leader="dot" w:pos="9402"/>
        </w:tabs>
        <w:ind w:left="1120"/>
        <w:rPr>
          <w:rFonts w:ascii="宋体" w:hAnsi="宋体" w:cs="宋体"/>
          <w:sz w:val="21"/>
          <w:szCs w:val="22"/>
        </w:rPr>
      </w:pPr>
      <w:r>
        <w:fldChar w:fldCharType="begin"/>
      </w:r>
      <w:r>
        <w:instrText xml:space="preserve"> HYPERLINK \l "_Toc54279012" </w:instrText>
      </w:r>
      <w:r>
        <w:fldChar w:fldCharType="separate"/>
      </w:r>
      <w:r>
        <w:rPr>
          <w:rStyle w:val="14"/>
          <w:rFonts w:hint="eastAsia" w:ascii="宋体" w:hAnsi="宋体" w:cs="宋体"/>
          <w:color w:val="auto"/>
        </w:rPr>
        <w:t>一、经济部分</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_Toc54279012 \h </w:instrText>
      </w:r>
      <w:r>
        <w:rPr>
          <w:rFonts w:hint="eastAsia" w:ascii="宋体" w:hAnsi="宋体" w:cs="宋体"/>
        </w:rPr>
        <w:fldChar w:fldCharType="separate"/>
      </w:r>
      <w:r>
        <w:rPr>
          <w:rFonts w:hint="eastAsia" w:ascii="宋体" w:hAnsi="宋体" w:cs="宋体"/>
        </w:rPr>
        <w:t>- 33 -</w:t>
      </w:r>
      <w:r>
        <w:rPr>
          <w:rFonts w:hint="eastAsia" w:ascii="宋体" w:hAnsi="宋体" w:cs="宋体"/>
        </w:rPr>
        <w:fldChar w:fldCharType="end"/>
      </w:r>
      <w:r>
        <w:rPr>
          <w:rFonts w:hint="eastAsia" w:ascii="宋体" w:hAnsi="宋体" w:cs="宋体"/>
        </w:rPr>
        <w:fldChar w:fldCharType="end"/>
      </w:r>
    </w:p>
    <w:p>
      <w:pPr>
        <w:pStyle w:val="5"/>
        <w:tabs>
          <w:tab w:val="right" w:leader="dot" w:pos="9402"/>
        </w:tabs>
        <w:ind w:left="1120"/>
        <w:rPr>
          <w:rFonts w:ascii="宋体" w:hAnsi="宋体" w:cs="宋体"/>
          <w:sz w:val="21"/>
          <w:szCs w:val="22"/>
        </w:rPr>
      </w:pPr>
      <w:r>
        <w:fldChar w:fldCharType="begin"/>
      </w:r>
      <w:r>
        <w:instrText xml:space="preserve"> HYPERLINK \l "_Toc54279013" </w:instrText>
      </w:r>
      <w:r>
        <w:fldChar w:fldCharType="separate"/>
      </w:r>
      <w:r>
        <w:rPr>
          <w:rStyle w:val="14"/>
          <w:rFonts w:hint="eastAsia" w:ascii="宋体" w:hAnsi="宋体" w:cs="宋体"/>
          <w:color w:val="auto"/>
        </w:rPr>
        <w:t>二、服务部分</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_Toc54279013 \h </w:instrText>
      </w:r>
      <w:r>
        <w:rPr>
          <w:rFonts w:hint="eastAsia" w:ascii="宋体" w:hAnsi="宋体" w:cs="宋体"/>
        </w:rPr>
        <w:fldChar w:fldCharType="separate"/>
      </w:r>
      <w:r>
        <w:rPr>
          <w:rFonts w:hint="eastAsia" w:ascii="宋体" w:hAnsi="宋体" w:cs="宋体"/>
        </w:rPr>
        <w:t>- 35 -</w:t>
      </w:r>
      <w:r>
        <w:rPr>
          <w:rFonts w:hint="eastAsia" w:ascii="宋体" w:hAnsi="宋体" w:cs="宋体"/>
        </w:rPr>
        <w:fldChar w:fldCharType="end"/>
      </w:r>
      <w:r>
        <w:rPr>
          <w:rFonts w:hint="eastAsia" w:ascii="宋体" w:hAnsi="宋体" w:cs="宋体"/>
        </w:rPr>
        <w:fldChar w:fldCharType="end"/>
      </w:r>
    </w:p>
    <w:p>
      <w:pPr>
        <w:pStyle w:val="5"/>
        <w:tabs>
          <w:tab w:val="right" w:leader="dot" w:pos="9402"/>
        </w:tabs>
        <w:ind w:left="1120"/>
        <w:rPr>
          <w:rFonts w:ascii="宋体" w:hAnsi="宋体" w:cs="宋体"/>
          <w:sz w:val="21"/>
          <w:szCs w:val="22"/>
        </w:rPr>
      </w:pPr>
      <w:r>
        <w:fldChar w:fldCharType="begin"/>
      </w:r>
      <w:r>
        <w:instrText xml:space="preserve"> HYPERLINK \l "_Toc54279014" </w:instrText>
      </w:r>
      <w:r>
        <w:fldChar w:fldCharType="separate"/>
      </w:r>
      <w:r>
        <w:rPr>
          <w:rStyle w:val="14"/>
          <w:rFonts w:hint="eastAsia" w:ascii="宋体" w:hAnsi="宋体" w:cs="宋体"/>
          <w:color w:val="auto"/>
        </w:rPr>
        <w:t>三、商务部分</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_Toc54279014 \h </w:instrText>
      </w:r>
      <w:r>
        <w:rPr>
          <w:rFonts w:hint="eastAsia" w:ascii="宋体" w:hAnsi="宋体" w:cs="宋体"/>
        </w:rPr>
        <w:fldChar w:fldCharType="separate"/>
      </w:r>
      <w:r>
        <w:rPr>
          <w:rFonts w:hint="eastAsia" w:ascii="宋体" w:hAnsi="宋体" w:cs="宋体"/>
        </w:rPr>
        <w:t>- 37 -</w:t>
      </w:r>
      <w:r>
        <w:rPr>
          <w:rFonts w:hint="eastAsia" w:ascii="宋体" w:hAnsi="宋体" w:cs="宋体"/>
        </w:rPr>
        <w:fldChar w:fldCharType="end"/>
      </w:r>
      <w:r>
        <w:rPr>
          <w:rFonts w:hint="eastAsia" w:ascii="宋体" w:hAnsi="宋体" w:cs="宋体"/>
        </w:rPr>
        <w:fldChar w:fldCharType="end"/>
      </w:r>
    </w:p>
    <w:p>
      <w:pPr>
        <w:pStyle w:val="5"/>
        <w:tabs>
          <w:tab w:val="right" w:leader="dot" w:pos="9402"/>
        </w:tabs>
        <w:ind w:left="1120"/>
        <w:rPr>
          <w:rFonts w:ascii="宋体" w:hAnsi="宋体" w:cs="宋体"/>
          <w:sz w:val="21"/>
          <w:szCs w:val="22"/>
        </w:rPr>
      </w:pPr>
      <w:r>
        <w:fldChar w:fldCharType="begin"/>
      </w:r>
      <w:r>
        <w:instrText xml:space="preserve"> HYPERLINK \l "_Toc54279015" </w:instrText>
      </w:r>
      <w:r>
        <w:fldChar w:fldCharType="separate"/>
      </w:r>
      <w:r>
        <w:rPr>
          <w:rStyle w:val="14"/>
          <w:rFonts w:hint="eastAsia" w:ascii="宋体" w:hAnsi="宋体" w:cs="宋体"/>
          <w:color w:val="auto"/>
        </w:rPr>
        <w:t>四、资格条件及其他</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_Toc54279015 \h </w:instrText>
      </w:r>
      <w:r>
        <w:rPr>
          <w:rFonts w:hint="eastAsia" w:ascii="宋体" w:hAnsi="宋体" w:cs="宋体"/>
        </w:rPr>
        <w:fldChar w:fldCharType="separate"/>
      </w:r>
      <w:r>
        <w:rPr>
          <w:rFonts w:hint="eastAsia" w:ascii="宋体" w:hAnsi="宋体" w:cs="宋体"/>
        </w:rPr>
        <w:t>- 40 -</w:t>
      </w:r>
      <w:r>
        <w:rPr>
          <w:rFonts w:hint="eastAsia" w:ascii="宋体" w:hAnsi="宋体" w:cs="宋体"/>
        </w:rPr>
        <w:fldChar w:fldCharType="end"/>
      </w:r>
      <w:r>
        <w:rPr>
          <w:rFonts w:hint="eastAsia" w:ascii="宋体" w:hAnsi="宋体" w:cs="宋体"/>
        </w:rPr>
        <w:fldChar w:fldCharType="end"/>
      </w:r>
    </w:p>
    <w:p>
      <w:pPr>
        <w:pStyle w:val="5"/>
        <w:tabs>
          <w:tab w:val="right" w:leader="dot" w:pos="9402"/>
        </w:tabs>
        <w:ind w:left="1120"/>
        <w:rPr>
          <w:rFonts w:ascii="宋体" w:hAnsi="宋体" w:cs="宋体"/>
          <w:sz w:val="21"/>
          <w:szCs w:val="22"/>
        </w:rPr>
      </w:pPr>
      <w:r>
        <w:fldChar w:fldCharType="begin"/>
      </w:r>
      <w:r>
        <w:instrText xml:space="preserve"> HYPERLINK \l "_Toc54279016" </w:instrText>
      </w:r>
      <w:r>
        <w:fldChar w:fldCharType="separate"/>
      </w:r>
      <w:r>
        <w:rPr>
          <w:rStyle w:val="14"/>
          <w:rFonts w:hint="eastAsia" w:ascii="宋体" w:hAnsi="宋体" w:cs="宋体"/>
          <w:color w:val="auto"/>
        </w:rPr>
        <w:t>五、其他资料</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_Toc54279016 \h </w:instrText>
      </w:r>
      <w:r>
        <w:rPr>
          <w:rFonts w:hint="eastAsia" w:ascii="宋体" w:hAnsi="宋体" w:cs="宋体"/>
        </w:rPr>
        <w:fldChar w:fldCharType="separate"/>
      </w:r>
      <w:r>
        <w:rPr>
          <w:rFonts w:hint="eastAsia" w:ascii="宋体" w:hAnsi="宋体" w:cs="宋体"/>
        </w:rPr>
        <w:t>- 46 -</w:t>
      </w:r>
      <w:r>
        <w:rPr>
          <w:rFonts w:hint="eastAsia" w:ascii="宋体" w:hAnsi="宋体" w:cs="宋体"/>
        </w:rPr>
        <w:fldChar w:fldCharType="end"/>
      </w:r>
      <w:r>
        <w:rPr>
          <w:rFonts w:hint="eastAsia" w:ascii="宋体" w:hAnsi="宋体" w:cs="宋体"/>
        </w:rPr>
        <w:fldChar w:fldCharType="end"/>
      </w:r>
    </w:p>
    <w:p>
      <w:pPr>
        <w:pStyle w:val="10"/>
        <w:tabs>
          <w:tab w:val="right" w:leader="dot" w:pos="9402"/>
        </w:tabs>
        <w:spacing w:line="480" w:lineRule="exact"/>
        <w:ind w:left="560"/>
        <w:jc w:val="center"/>
        <w:rPr>
          <w:rFonts w:ascii="宋体" w:hAnsi="宋体" w:cs="宋体"/>
          <w:sz w:val="18"/>
          <w:szCs w:val="22"/>
        </w:rPr>
        <w:sectPr>
          <w:headerReference r:id="rId3" w:type="first"/>
          <w:footerReference r:id="rId6" w:type="first"/>
          <w:footerReference r:id="rId4" w:type="default"/>
          <w:footerReference r:id="rId5" w:type="even"/>
          <w:pgSz w:w="11907" w:h="16840"/>
          <w:pgMar w:top="1134" w:right="1191" w:bottom="1134" w:left="1304" w:header="851" w:footer="992" w:gutter="0"/>
          <w:pgNumType w:fmt="numberInDash" w:start="1"/>
          <w:cols w:space="720" w:num="1"/>
          <w:docGrid w:linePitch="380" w:charSpace="-5735"/>
        </w:sectPr>
      </w:pPr>
      <w:r>
        <w:rPr>
          <w:rFonts w:hint="eastAsia" w:ascii="宋体" w:hAnsi="宋体" w:cs="宋体"/>
          <w:szCs w:val="21"/>
        </w:rPr>
        <w:fldChar w:fldCharType="end"/>
      </w:r>
    </w:p>
    <w:p>
      <w:pPr>
        <w:pStyle w:val="3"/>
        <w:spacing w:line="360" w:lineRule="auto"/>
        <w:jc w:val="center"/>
        <w:rPr>
          <w:rFonts w:ascii="宋体" w:hAnsi="宋体" w:eastAsia="宋体" w:cs="宋体"/>
          <w:b w:val="0"/>
          <w:szCs w:val="30"/>
        </w:rPr>
      </w:pPr>
      <w:bookmarkStart w:id="0" w:name="_Toc12789052"/>
      <w:bookmarkStart w:id="1" w:name="_Toc11641050"/>
      <w:bookmarkStart w:id="2" w:name="_Toc54278968"/>
      <w:r>
        <w:rPr>
          <w:rFonts w:hint="eastAsia" w:ascii="宋体" w:hAnsi="宋体" w:eastAsia="宋体" w:cs="宋体"/>
          <w:b w:val="0"/>
          <w:sz w:val="36"/>
          <w:szCs w:val="30"/>
        </w:rPr>
        <w:t>第一篇  采购邀请书</w:t>
      </w:r>
      <w:bookmarkEnd w:id="0"/>
      <w:bookmarkEnd w:id="1"/>
      <w:bookmarkEnd w:id="2"/>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我司对建桥C区双石河一期绿化景观工程设计进行竞争性磋商采购。欢迎有资格的供应商前来参与磋商。</w:t>
      </w:r>
    </w:p>
    <w:p>
      <w:pPr>
        <w:pStyle w:val="4"/>
        <w:spacing w:line="360" w:lineRule="auto"/>
        <w:rPr>
          <w:rFonts w:ascii="宋体" w:hAnsi="宋体" w:cs="宋体"/>
          <w:sz w:val="24"/>
          <w:szCs w:val="24"/>
        </w:rPr>
      </w:pPr>
      <w:bookmarkStart w:id="3" w:name="_Toc313893526"/>
      <w:bookmarkStart w:id="4" w:name="_Toc317775175"/>
      <w:bookmarkStart w:id="5" w:name="_Toc54278969"/>
      <w:r>
        <w:rPr>
          <w:rFonts w:hint="eastAsia" w:ascii="宋体" w:hAnsi="宋体" w:cs="宋体"/>
          <w:sz w:val="24"/>
          <w:szCs w:val="24"/>
        </w:rPr>
        <w:t>一、竞争性磋商内容</w:t>
      </w:r>
      <w:bookmarkEnd w:id="3"/>
      <w:bookmarkEnd w:id="4"/>
      <w:bookmarkEnd w:id="5"/>
    </w:p>
    <w:tbl>
      <w:tblPr>
        <w:tblStyle w:val="11"/>
        <w:tblW w:w="92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15"/>
        <w:gridCol w:w="1989"/>
        <w:gridCol w:w="1991"/>
        <w:gridCol w:w="1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3515" w:type="dxa"/>
            <w:tcBorders>
              <w:top w:val="single" w:color="auto" w:sz="4" w:space="0"/>
              <w:left w:val="single" w:color="auto" w:sz="4" w:space="0"/>
              <w:right w:val="single" w:color="auto" w:sz="4" w:space="0"/>
            </w:tcBorders>
            <w:noWrap/>
            <w:vAlign w:val="center"/>
          </w:tcPr>
          <w:p>
            <w:pPr>
              <w:widowControl/>
              <w:spacing w:line="360" w:lineRule="auto"/>
              <w:jc w:val="center"/>
              <w:rPr>
                <w:rFonts w:ascii="宋体" w:hAnsi="宋体" w:cs="宋体"/>
                <w:b/>
                <w:bCs/>
                <w:kern w:val="0"/>
                <w:sz w:val="21"/>
                <w:szCs w:val="24"/>
              </w:rPr>
            </w:pPr>
            <w:r>
              <w:rPr>
                <w:rFonts w:hint="eastAsia" w:ascii="宋体" w:hAnsi="宋体" w:cs="宋体"/>
                <w:b/>
                <w:bCs/>
                <w:kern w:val="0"/>
                <w:sz w:val="21"/>
                <w:szCs w:val="24"/>
              </w:rPr>
              <w:t>项目名称</w:t>
            </w:r>
          </w:p>
        </w:tc>
        <w:tc>
          <w:tcPr>
            <w:tcW w:w="1989" w:type="dxa"/>
            <w:tcBorders>
              <w:top w:val="single" w:color="auto" w:sz="4" w:space="0"/>
              <w:left w:val="single" w:color="auto" w:sz="4" w:space="0"/>
              <w:right w:val="single" w:color="auto" w:sz="4" w:space="0"/>
            </w:tcBorders>
            <w:noWrap/>
            <w:vAlign w:val="center"/>
          </w:tcPr>
          <w:p>
            <w:pPr>
              <w:spacing w:line="360" w:lineRule="auto"/>
              <w:jc w:val="center"/>
              <w:rPr>
                <w:rFonts w:ascii="宋体" w:hAnsi="宋体" w:cs="宋体"/>
                <w:b/>
                <w:bCs/>
                <w:kern w:val="0"/>
                <w:sz w:val="21"/>
                <w:szCs w:val="24"/>
              </w:rPr>
            </w:pPr>
            <w:r>
              <w:rPr>
                <w:rFonts w:hint="eastAsia" w:ascii="宋体" w:hAnsi="宋体" w:cs="宋体"/>
                <w:b/>
                <w:bCs/>
                <w:kern w:val="0"/>
                <w:sz w:val="21"/>
                <w:szCs w:val="24"/>
              </w:rPr>
              <w:t>最高限价（元）</w:t>
            </w:r>
          </w:p>
        </w:tc>
        <w:tc>
          <w:tcPr>
            <w:tcW w:w="1991" w:type="dxa"/>
            <w:tcBorders>
              <w:top w:val="single" w:color="auto" w:sz="4" w:space="0"/>
              <w:left w:val="single" w:color="auto" w:sz="4" w:space="0"/>
              <w:right w:val="single" w:color="auto" w:sz="4" w:space="0"/>
            </w:tcBorders>
            <w:noWrap/>
            <w:vAlign w:val="center"/>
          </w:tcPr>
          <w:p>
            <w:pPr>
              <w:spacing w:line="360" w:lineRule="auto"/>
              <w:jc w:val="center"/>
              <w:rPr>
                <w:rFonts w:ascii="宋体" w:hAnsi="宋体" w:cs="宋体"/>
                <w:b/>
                <w:bCs/>
                <w:kern w:val="0"/>
                <w:sz w:val="21"/>
                <w:szCs w:val="24"/>
              </w:rPr>
            </w:pPr>
            <w:r>
              <w:rPr>
                <w:rFonts w:hint="eastAsia" w:ascii="宋体" w:hAnsi="宋体" w:cs="宋体"/>
                <w:b/>
                <w:bCs/>
                <w:kern w:val="0"/>
                <w:sz w:val="21"/>
                <w:szCs w:val="24"/>
              </w:rPr>
              <w:t>成交供应商数量（名）</w:t>
            </w:r>
          </w:p>
        </w:tc>
        <w:tc>
          <w:tcPr>
            <w:tcW w:w="1792" w:type="dxa"/>
            <w:tcBorders>
              <w:top w:val="single" w:color="auto" w:sz="4" w:space="0"/>
              <w:left w:val="single" w:color="auto" w:sz="4" w:space="0"/>
              <w:right w:val="single" w:color="auto" w:sz="4" w:space="0"/>
            </w:tcBorders>
            <w:noWrap/>
            <w:vAlign w:val="center"/>
          </w:tcPr>
          <w:p>
            <w:pPr>
              <w:spacing w:line="360" w:lineRule="auto"/>
              <w:jc w:val="center"/>
              <w:rPr>
                <w:rFonts w:ascii="宋体" w:hAnsi="宋体" w:cs="宋体"/>
                <w:b/>
                <w:bCs/>
                <w:kern w:val="0"/>
                <w:sz w:val="21"/>
                <w:szCs w:val="24"/>
              </w:rPr>
            </w:pPr>
            <w:r>
              <w:rPr>
                <w:rFonts w:hint="eastAsia" w:ascii="宋体" w:hAnsi="宋体" w:cs="宋体"/>
                <w:b/>
                <w:bCs/>
                <w:kern w:val="0"/>
                <w:sz w:val="21"/>
                <w:szCs w:val="24"/>
              </w:rPr>
              <w:t>采购标的对应的中小企业划分标准所属行业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3515" w:type="dxa"/>
            <w:tcBorders>
              <w:top w:val="single" w:color="auto" w:sz="4" w:space="0"/>
              <w:left w:val="single" w:color="auto" w:sz="4" w:space="0"/>
              <w:right w:val="single" w:color="auto" w:sz="4" w:space="0"/>
            </w:tcBorders>
            <w:noWrap/>
            <w:vAlign w:val="center"/>
          </w:tcPr>
          <w:p>
            <w:pPr>
              <w:widowControl/>
              <w:spacing w:line="360" w:lineRule="auto"/>
              <w:jc w:val="center"/>
              <w:rPr>
                <w:rFonts w:ascii="宋体" w:hAnsi="宋体" w:cs="宋体"/>
                <w:kern w:val="0"/>
                <w:sz w:val="21"/>
                <w:szCs w:val="24"/>
              </w:rPr>
            </w:pPr>
            <w:bookmarkStart w:id="6" w:name="_Hlk344477914"/>
            <w:r>
              <w:rPr>
                <w:rFonts w:hint="eastAsia" w:ascii="宋体" w:hAnsi="宋体" w:cs="宋体"/>
                <w:sz w:val="24"/>
                <w:szCs w:val="24"/>
              </w:rPr>
              <w:t>建桥C区双石河一期绿化景观工程设计</w:t>
            </w:r>
          </w:p>
        </w:tc>
        <w:tc>
          <w:tcPr>
            <w:tcW w:w="1989" w:type="dxa"/>
            <w:tcBorders>
              <w:top w:val="single" w:color="auto" w:sz="4" w:space="0"/>
              <w:left w:val="single" w:color="auto" w:sz="4" w:space="0"/>
              <w:right w:val="single" w:color="auto" w:sz="4" w:space="0"/>
            </w:tcBorders>
            <w:noWrap/>
            <w:vAlign w:val="center"/>
          </w:tcPr>
          <w:p>
            <w:pPr>
              <w:widowControl/>
              <w:spacing w:line="360" w:lineRule="auto"/>
              <w:jc w:val="center"/>
              <w:rPr>
                <w:rFonts w:ascii="宋体" w:hAnsi="宋体" w:cs="宋体"/>
                <w:sz w:val="24"/>
                <w:szCs w:val="24"/>
              </w:rPr>
            </w:pPr>
            <w:r>
              <w:rPr>
                <w:rFonts w:hint="eastAsia" w:ascii="宋体" w:hAnsi="宋体" w:cs="宋体"/>
                <w:sz w:val="24"/>
                <w:szCs w:val="24"/>
              </w:rPr>
              <w:t>363330</w:t>
            </w:r>
          </w:p>
        </w:tc>
        <w:tc>
          <w:tcPr>
            <w:tcW w:w="1991" w:type="dxa"/>
            <w:tcBorders>
              <w:top w:val="single" w:color="auto" w:sz="4" w:space="0"/>
              <w:left w:val="single" w:color="auto" w:sz="4" w:space="0"/>
              <w:right w:val="single" w:color="auto" w:sz="4" w:space="0"/>
            </w:tcBorders>
            <w:noWrap/>
            <w:vAlign w:val="center"/>
          </w:tcPr>
          <w:p>
            <w:pPr>
              <w:widowControl/>
              <w:spacing w:line="360" w:lineRule="auto"/>
              <w:jc w:val="center"/>
              <w:rPr>
                <w:rFonts w:ascii="宋体" w:hAnsi="宋体" w:cs="宋体"/>
                <w:sz w:val="24"/>
                <w:szCs w:val="24"/>
              </w:rPr>
            </w:pPr>
            <w:r>
              <w:rPr>
                <w:rFonts w:hint="eastAsia" w:ascii="宋体" w:hAnsi="宋体" w:cs="宋体"/>
                <w:sz w:val="24"/>
                <w:szCs w:val="24"/>
              </w:rPr>
              <w:t>1</w:t>
            </w:r>
          </w:p>
        </w:tc>
        <w:tc>
          <w:tcPr>
            <w:tcW w:w="1792" w:type="dxa"/>
            <w:tcBorders>
              <w:top w:val="single" w:color="auto" w:sz="4" w:space="0"/>
              <w:left w:val="single" w:color="auto" w:sz="4" w:space="0"/>
              <w:right w:val="single" w:color="auto" w:sz="4" w:space="0"/>
            </w:tcBorders>
            <w:noWrap/>
            <w:vAlign w:val="center"/>
          </w:tcPr>
          <w:p>
            <w:pPr>
              <w:spacing w:line="360" w:lineRule="auto"/>
              <w:jc w:val="center"/>
              <w:rPr>
                <w:rFonts w:ascii="宋体" w:hAnsi="宋体" w:cs="宋体"/>
                <w:b/>
                <w:bCs/>
                <w:kern w:val="0"/>
                <w:sz w:val="21"/>
                <w:szCs w:val="24"/>
              </w:rPr>
            </w:pPr>
            <w:r>
              <w:rPr>
                <w:rFonts w:hint="eastAsia" w:ascii="宋体" w:hAnsi="宋体" w:cs="宋体"/>
                <w:b/>
                <w:bCs/>
                <w:kern w:val="0"/>
                <w:sz w:val="21"/>
                <w:szCs w:val="24"/>
              </w:rPr>
              <w:t>建筑业</w:t>
            </w:r>
          </w:p>
        </w:tc>
      </w:tr>
      <w:bookmarkEnd w:id="6"/>
    </w:tbl>
    <w:p>
      <w:pPr>
        <w:pStyle w:val="4"/>
        <w:spacing w:line="360" w:lineRule="auto"/>
        <w:rPr>
          <w:rFonts w:ascii="宋体" w:hAnsi="宋体" w:cs="宋体"/>
          <w:sz w:val="24"/>
          <w:szCs w:val="24"/>
        </w:rPr>
      </w:pPr>
      <w:bookmarkStart w:id="7" w:name="_Toc54278970"/>
      <w:bookmarkStart w:id="8" w:name="_Toc373860293"/>
      <w:bookmarkStart w:id="9" w:name="_Toc317775178"/>
      <w:r>
        <w:rPr>
          <w:rFonts w:hint="eastAsia" w:ascii="宋体" w:hAnsi="宋体" w:cs="宋体"/>
          <w:sz w:val="24"/>
          <w:szCs w:val="24"/>
        </w:rPr>
        <w:t>二、资金来源</w:t>
      </w:r>
      <w:bookmarkEnd w:id="7"/>
    </w:p>
    <w:p>
      <w:pPr>
        <w:spacing w:line="360" w:lineRule="auto"/>
        <w:ind w:firstLine="480" w:firstLineChars="200"/>
        <w:rPr>
          <w:rFonts w:ascii="宋体" w:hAnsi="宋体" w:cs="宋体"/>
          <w:sz w:val="24"/>
          <w:szCs w:val="24"/>
        </w:rPr>
      </w:pPr>
      <w:r>
        <w:rPr>
          <w:rFonts w:hint="eastAsia" w:ascii="宋体" w:hAnsi="宋体" w:cs="宋体"/>
          <w:sz w:val="24"/>
          <w:szCs w:val="24"/>
        </w:rPr>
        <w:t>自筹资金，采购预算363330元。</w:t>
      </w:r>
    </w:p>
    <w:p>
      <w:pPr>
        <w:pStyle w:val="4"/>
        <w:spacing w:line="360" w:lineRule="auto"/>
        <w:rPr>
          <w:rFonts w:ascii="宋体" w:hAnsi="宋体" w:cs="宋体"/>
          <w:sz w:val="24"/>
          <w:szCs w:val="24"/>
        </w:rPr>
      </w:pPr>
      <w:bookmarkStart w:id="10" w:name="_Toc54278971"/>
      <w:r>
        <w:rPr>
          <w:rFonts w:hint="eastAsia" w:ascii="宋体" w:hAnsi="宋体" w:cs="宋体"/>
          <w:sz w:val="24"/>
          <w:szCs w:val="24"/>
        </w:rPr>
        <w:t>三、供应商资格条件</w:t>
      </w:r>
      <w:bookmarkEnd w:id="10"/>
    </w:p>
    <w:p>
      <w:pPr>
        <w:spacing w:line="360" w:lineRule="auto"/>
        <w:ind w:firstLine="480" w:firstLineChars="200"/>
        <w:rPr>
          <w:rFonts w:ascii="宋体" w:hAnsi="宋体" w:cs="宋体"/>
          <w:sz w:val="24"/>
          <w:szCs w:val="24"/>
        </w:rPr>
      </w:pPr>
      <w:r>
        <w:rPr>
          <w:rFonts w:hint="eastAsia" w:ascii="宋体" w:hAnsi="宋体" w:cs="宋体"/>
          <w:sz w:val="24"/>
          <w:szCs w:val="24"/>
        </w:rPr>
        <w:t>供应商是指向采购人提供服务或者货物的法人、其他组织或者自然人。合格的供应商应首先符合政府采购法第二十二条规定的基本资格条件，同时符合根据该项目特殊要求设置的特定资格条件。</w:t>
      </w:r>
    </w:p>
    <w:p>
      <w:pPr>
        <w:spacing w:line="360" w:lineRule="auto"/>
        <w:ind w:firstLine="480" w:firstLineChars="200"/>
        <w:rPr>
          <w:rFonts w:ascii="宋体" w:hAnsi="宋体" w:cs="宋体"/>
          <w:sz w:val="24"/>
          <w:szCs w:val="24"/>
        </w:rPr>
      </w:pPr>
      <w:r>
        <w:rPr>
          <w:rFonts w:hint="eastAsia" w:ascii="宋体" w:hAnsi="宋体" w:cs="宋体"/>
          <w:sz w:val="24"/>
          <w:szCs w:val="24"/>
        </w:rPr>
        <w:t>（一）基本资格条件</w:t>
      </w:r>
    </w:p>
    <w:p>
      <w:pPr>
        <w:spacing w:line="360" w:lineRule="auto"/>
        <w:ind w:firstLine="480" w:firstLineChars="200"/>
        <w:rPr>
          <w:rFonts w:ascii="宋体" w:hAnsi="宋体" w:cs="宋体"/>
          <w:sz w:val="24"/>
          <w:szCs w:val="24"/>
        </w:rPr>
      </w:pPr>
      <w:r>
        <w:rPr>
          <w:rFonts w:hint="eastAsia" w:ascii="宋体" w:hAnsi="宋体" w:cs="宋体"/>
          <w:sz w:val="24"/>
          <w:szCs w:val="24"/>
        </w:rPr>
        <w:t>1.具有独立承担民事责任的能力；</w:t>
      </w:r>
    </w:p>
    <w:p>
      <w:pPr>
        <w:spacing w:line="360" w:lineRule="auto"/>
        <w:ind w:firstLine="480" w:firstLineChars="200"/>
        <w:rPr>
          <w:rFonts w:ascii="宋体" w:hAnsi="宋体" w:cs="宋体"/>
          <w:sz w:val="24"/>
          <w:szCs w:val="24"/>
        </w:rPr>
      </w:pPr>
      <w:r>
        <w:rPr>
          <w:rFonts w:hint="eastAsia" w:ascii="宋体" w:hAnsi="宋体" w:cs="宋体"/>
          <w:sz w:val="24"/>
          <w:szCs w:val="24"/>
        </w:rPr>
        <w:t>2.具有良好的商业信誉和健全的财务会计制度；</w:t>
      </w:r>
    </w:p>
    <w:p>
      <w:pPr>
        <w:spacing w:line="360" w:lineRule="auto"/>
        <w:ind w:firstLine="480" w:firstLineChars="200"/>
        <w:rPr>
          <w:rFonts w:ascii="宋体" w:hAnsi="宋体" w:cs="宋体"/>
          <w:sz w:val="24"/>
          <w:szCs w:val="24"/>
        </w:rPr>
      </w:pPr>
      <w:r>
        <w:rPr>
          <w:rFonts w:hint="eastAsia" w:ascii="宋体" w:hAnsi="宋体" w:cs="宋体"/>
          <w:sz w:val="24"/>
          <w:szCs w:val="24"/>
        </w:rPr>
        <w:t>3.具有履行合同所必需的设备和专业技术能力；</w:t>
      </w:r>
    </w:p>
    <w:p>
      <w:pPr>
        <w:spacing w:line="360" w:lineRule="auto"/>
        <w:ind w:firstLine="480" w:firstLineChars="200"/>
        <w:rPr>
          <w:rFonts w:ascii="宋体" w:hAnsi="宋体" w:cs="宋体"/>
          <w:sz w:val="24"/>
          <w:szCs w:val="24"/>
        </w:rPr>
      </w:pPr>
      <w:r>
        <w:rPr>
          <w:rFonts w:hint="eastAsia" w:ascii="宋体" w:hAnsi="宋体" w:cs="宋体"/>
          <w:sz w:val="24"/>
          <w:szCs w:val="24"/>
        </w:rPr>
        <w:t>4.有依法缴纳税收和社会保障资金的良好记录；</w:t>
      </w:r>
    </w:p>
    <w:p>
      <w:pPr>
        <w:spacing w:line="360" w:lineRule="auto"/>
        <w:ind w:firstLine="480" w:firstLineChars="200"/>
        <w:rPr>
          <w:rFonts w:ascii="宋体" w:hAnsi="宋体" w:cs="宋体"/>
          <w:sz w:val="24"/>
          <w:szCs w:val="24"/>
        </w:rPr>
      </w:pPr>
      <w:r>
        <w:rPr>
          <w:rFonts w:hint="eastAsia" w:ascii="宋体" w:hAnsi="宋体" w:cs="宋体"/>
          <w:sz w:val="24"/>
          <w:szCs w:val="24"/>
        </w:rPr>
        <w:t>5.参加政府采购活动前三年内，在经营活动中没有重大违法记录；</w:t>
      </w:r>
    </w:p>
    <w:p>
      <w:pPr>
        <w:spacing w:line="360" w:lineRule="auto"/>
        <w:ind w:firstLine="480" w:firstLineChars="200"/>
        <w:rPr>
          <w:rFonts w:ascii="宋体" w:hAnsi="宋体" w:cs="宋体"/>
          <w:sz w:val="24"/>
          <w:szCs w:val="24"/>
        </w:rPr>
      </w:pPr>
      <w:r>
        <w:rPr>
          <w:rFonts w:hint="eastAsia" w:ascii="宋体" w:hAnsi="宋体" w:cs="宋体"/>
          <w:sz w:val="24"/>
          <w:szCs w:val="24"/>
        </w:rPr>
        <w:t>6.法律、行政法规规定的其他条件。</w:t>
      </w:r>
    </w:p>
    <w:p>
      <w:pPr>
        <w:spacing w:line="360" w:lineRule="auto"/>
        <w:ind w:firstLine="480" w:firstLineChars="200"/>
        <w:rPr>
          <w:rFonts w:ascii="宋体" w:hAnsi="宋体" w:cs="宋体"/>
          <w:sz w:val="24"/>
          <w:szCs w:val="24"/>
        </w:rPr>
      </w:pPr>
      <w:r>
        <w:rPr>
          <w:rFonts w:hint="eastAsia" w:ascii="宋体" w:hAnsi="宋体" w:cs="宋体"/>
          <w:sz w:val="24"/>
          <w:szCs w:val="24"/>
        </w:rPr>
        <w:t>（二）特定资格条件</w:t>
      </w:r>
    </w:p>
    <w:p>
      <w:pPr>
        <w:spacing w:line="360" w:lineRule="auto"/>
        <w:ind w:firstLine="480" w:firstLineChars="200"/>
        <w:rPr>
          <w:rFonts w:ascii="宋体" w:hAnsi="宋体" w:cs="宋体"/>
          <w:sz w:val="24"/>
          <w:szCs w:val="24"/>
        </w:rPr>
      </w:pPr>
      <w:r>
        <w:rPr>
          <w:rFonts w:hint="eastAsia" w:ascii="宋体" w:hAnsi="宋体" w:cs="宋体"/>
          <w:sz w:val="24"/>
          <w:szCs w:val="24"/>
        </w:rPr>
        <w:t>1.资质条件、营业执照、组织机构代码证</w:t>
      </w:r>
    </w:p>
    <w:p>
      <w:pPr>
        <w:spacing w:line="360" w:lineRule="auto"/>
        <w:ind w:firstLine="480" w:firstLineChars="200"/>
        <w:rPr>
          <w:rFonts w:ascii="宋体" w:hAnsi="宋体" w:cs="宋体"/>
          <w:sz w:val="24"/>
          <w:szCs w:val="24"/>
        </w:rPr>
      </w:pPr>
      <w:r>
        <w:rPr>
          <w:rFonts w:hint="eastAsia" w:ascii="宋体" w:hAnsi="宋体" w:cs="宋体"/>
          <w:sz w:val="24"/>
          <w:szCs w:val="24"/>
        </w:rPr>
        <w:t>1）具有独立承担民事责任能力、具有独立法人资格。（提供有效的营业执照、组织机构代码证，或三证合一的营业执照，复印件并加盖公章（鲜章））</w:t>
      </w:r>
    </w:p>
    <w:p>
      <w:pPr>
        <w:spacing w:line="360" w:lineRule="auto"/>
        <w:ind w:firstLine="480" w:firstLineChars="200"/>
        <w:rPr>
          <w:rFonts w:ascii="宋体" w:hAnsi="宋体" w:cs="宋体"/>
          <w:sz w:val="24"/>
          <w:szCs w:val="24"/>
        </w:rPr>
      </w:pPr>
      <w:r>
        <w:rPr>
          <w:rFonts w:hint="eastAsia" w:ascii="宋体" w:hAnsi="宋体" w:cs="宋体"/>
          <w:sz w:val="24"/>
          <w:szCs w:val="24"/>
        </w:rPr>
        <w:t>2）供应商须具备以下资质：具有风景园林工程设计专项乙级及以上资质或工程设计综合甲级资质。</w:t>
      </w:r>
    </w:p>
    <w:p>
      <w:pPr>
        <w:pStyle w:val="4"/>
        <w:spacing w:line="360" w:lineRule="auto"/>
        <w:rPr>
          <w:rFonts w:ascii="宋体" w:hAnsi="宋体" w:cs="宋体"/>
          <w:sz w:val="24"/>
          <w:szCs w:val="24"/>
        </w:rPr>
      </w:pPr>
      <w:bookmarkStart w:id="11" w:name="_Toc54278972"/>
      <w:r>
        <w:rPr>
          <w:rFonts w:hint="eastAsia" w:ascii="宋体" w:hAnsi="宋体" w:cs="宋体"/>
          <w:sz w:val="24"/>
          <w:szCs w:val="24"/>
        </w:rPr>
        <w:t>四、磋商有关说明</w:t>
      </w:r>
      <w:bookmarkEnd w:id="8"/>
      <w:bookmarkEnd w:id="11"/>
    </w:p>
    <w:p>
      <w:pPr>
        <w:spacing w:line="360" w:lineRule="auto"/>
        <w:ind w:firstLine="480" w:firstLineChars="200"/>
        <w:rPr>
          <w:rFonts w:ascii="宋体" w:hAnsi="宋体" w:cs="宋体"/>
          <w:sz w:val="24"/>
          <w:szCs w:val="24"/>
        </w:rPr>
      </w:pPr>
      <w:r>
        <w:rPr>
          <w:rFonts w:hint="eastAsia" w:ascii="宋体" w:hAnsi="宋体" w:cs="宋体"/>
          <w:sz w:val="24"/>
          <w:szCs w:val="24"/>
        </w:rPr>
        <w:t>（一）</w:t>
      </w:r>
      <w:r>
        <w:rPr>
          <w:rFonts w:hint="eastAsia" w:ascii="宋体" w:hAnsi="宋体" w:cs="宋体"/>
          <w:b/>
          <w:sz w:val="24"/>
          <w:szCs w:val="24"/>
        </w:rPr>
        <w:t>根据《重庆市财政局关于印发〈重庆市政府采购供应商注册及诚信管理暂行办法〉的通知》（渝财采购〔2015〕45号）规定，应按要求进行注册，通过重庆市政府采购网（www.ccgp-chongqing.gov.cn），登记加入“重庆市政府采购供应商库”。</w:t>
      </w:r>
    </w:p>
    <w:p>
      <w:pPr>
        <w:spacing w:line="360" w:lineRule="auto"/>
        <w:ind w:firstLine="480" w:firstLineChars="200"/>
        <w:rPr>
          <w:rFonts w:ascii="宋体" w:hAnsi="宋体" w:cs="宋体"/>
          <w:sz w:val="24"/>
          <w:szCs w:val="24"/>
        </w:rPr>
      </w:pPr>
      <w:r>
        <w:rPr>
          <w:rFonts w:hint="eastAsia" w:ascii="宋体" w:hAnsi="宋体" w:cs="宋体"/>
          <w:sz w:val="24"/>
          <w:szCs w:val="24"/>
        </w:rPr>
        <w:t>（二）凡有意参加磋商的供应商，请于公告发布之日（2022年4月</w:t>
      </w:r>
      <w:r>
        <w:rPr>
          <w:rFonts w:hint="eastAsia" w:ascii="宋体" w:hAnsi="宋体" w:cs="宋体"/>
          <w:sz w:val="24"/>
          <w:szCs w:val="24"/>
          <w:lang w:val="en-US" w:eastAsia="zh-CN"/>
        </w:rPr>
        <w:t>18</w:t>
      </w:r>
      <w:r>
        <w:rPr>
          <w:rFonts w:hint="eastAsia" w:ascii="宋体" w:hAnsi="宋体" w:cs="宋体"/>
          <w:sz w:val="24"/>
          <w:szCs w:val="24"/>
        </w:rPr>
        <w:t>日）起至提交首次响应文件截止时间之前，在建桥工业园（http://www.jqgyy.com/）上下载本项目竞争性磋商文件以及图纸、澄清等磋商前公布的所有项目资料，无论供应商下载或领取与否，均视为已知晓所有磋商实质性要求内容。</w:t>
      </w:r>
    </w:p>
    <w:p>
      <w:pPr>
        <w:spacing w:line="360" w:lineRule="auto"/>
        <w:ind w:firstLine="480" w:firstLineChars="200"/>
        <w:rPr>
          <w:rFonts w:ascii="宋体" w:hAnsi="宋体" w:cs="宋体"/>
          <w:sz w:val="24"/>
          <w:szCs w:val="24"/>
        </w:rPr>
      </w:pPr>
      <w:r>
        <w:rPr>
          <w:rFonts w:hint="eastAsia" w:ascii="宋体" w:hAnsi="宋体" w:cs="宋体"/>
          <w:sz w:val="24"/>
          <w:szCs w:val="24"/>
        </w:rPr>
        <w:t>（三）竞争性磋商公告期限：自采购公告发布之日（2022年4月</w:t>
      </w:r>
      <w:r>
        <w:rPr>
          <w:rFonts w:hint="eastAsia" w:ascii="宋体" w:hAnsi="宋体" w:cs="宋体"/>
          <w:sz w:val="24"/>
          <w:szCs w:val="24"/>
          <w:lang w:val="en-US" w:eastAsia="zh-CN"/>
        </w:rPr>
        <w:t>18</w:t>
      </w:r>
      <w:r>
        <w:rPr>
          <w:rFonts w:hint="eastAsia" w:ascii="宋体" w:hAnsi="宋体" w:cs="宋体"/>
          <w:sz w:val="24"/>
          <w:szCs w:val="24"/>
        </w:rPr>
        <w:t>日）起三个工作日。</w:t>
      </w:r>
    </w:p>
    <w:p>
      <w:pPr>
        <w:spacing w:line="360" w:lineRule="auto"/>
        <w:ind w:firstLine="480" w:firstLineChars="200"/>
        <w:rPr>
          <w:rFonts w:ascii="宋体" w:hAnsi="宋体" w:cs="宋体"/>
          <w:sz w:val="24"/>
          <w:szCs w:val="24"/>
        </w:rPr>
      </w:pPr>
      <w:r>
        <w:rPr>
          <w:rFonts w:hint="eastAsia" w:ascii="宋体" w:hAnsi="宋体" w:cs="宋体"/>
          <w:sz w:val="24"/>
          <w:szCs w:val="24"/>
        </w:rPr>
        <w:t>（四）竞标人须满足以下三种要件，其响应文件才被接受：</w:t>
      </w:r>
    </w:p>
    <w:p>
      <w:pPr>
        <w:spacing w:line="360" w:lineRule="auto"/>
        <w:ind w:firstLine="480" w:firstLineChars="200"/>
        <w:rPr>
          <w:rFonts w:ascii="宋体" w:hAnsi="宋体" w:cs="宋体"/>
          <w:sz w:val="24"/>
          <w:szCs w:val="24"/>
        </w:rPr>
      </w:pPr>
      <w:r>
        <w:rPr>
          <w:rFonts w:hint="eastAsia" w:ascii="宋体" w:hAnsi="宋体" w:cs="宋体"/>
          <w:sz w:val="24"/>
          <w:szCs w:val="24"/>
        </w:rPr>
        <w:t>1、按磋商文件要求缴纳了竞标保证金；</w:t>
      </w:r>
    </w:p>
    <w:p>
      <w:pPr>
        <w:spacing w:line="360" w:lineRule="auto"/>
        <w:ind w:firstLine="480" w:firstLineChars="200"/>
        <w:rPr>
          <w:rFonts w:ascii="宋体" w:hAnsi="宋体" w:cs="宋体"/>
          <w:sz w:val="24"/>
          <w:szCs w:val="24"/>
        </w:rPr>
      </w:pPr>
      <w:r>
        <w:rPr>
          <w:rFonts w:hint="eastAsia" w:ascii="宋体" w:hAnsi="宋体" w:cs="宋体"/>
          <w:sz w:val="24"/>
          <w:szCs w:val="24"/>
        </w:rPr>
        <w:t>2、按时递交了响应文件；</w:t>
      </w:r>
    </w:p>
    <w:p>
      <w:pPr>
        <w:spacing w:line="360" w:lineRule="auto"/>
        <w:ind w:firstLine="480" w:firstLineChars="200"/>
        <w:rPr>
          <w:rFonts w:ascii="宋体" w:hAnsi="宋体" w:cs="宋体"/>
          <w:sz w:val="24"/>
          <w:szCs w:val="24"/>
        </w:rPr>
      </w:pPr>
      <w:r>
        <w:rPr>
          <w:rFonts w:hint="eastAsia" w:ascii="宋体" w:hAnsi="宋体" w:cs="宋体"/>
          <w:sz w:val="24"/>
          <w:szCs w:val="24"/>
        </w:rPr>
        <w:t>3、按时报名签到。</w:t>
      </w:r>
    </w:p>
    <w:p>
      <w:pPr>
        <w:spacing w:line="360" w:lineRule="auto"/>
        <w:ind w:firstLine="480" w:firstLineChars="200"/>
        <w:rPr>
          <w:rFonts w:ascii="宋体" w:hAnsi="宋体" w:cs="宋体"/>
          <w:sz w:val="24"/>
          <w:szCs w:val="24"/>
        </w:rPr>
      </w:pPr>
      <w:r>
        <w:rPr>
          <w:rFonts w:hint="eastAsia" w:ascii="宋体" w:hAnsi="宋体" w:cs="宋体"/>
          <w:sz w:val="24"/>
          <w:szCs w:val="24"/>
        </w:rPr>
        <w:t>（五）递交响应文件地点：重庆建桥实业发展有限公司接标处（重庆市大渡口区田西路中冶熙城商街1号楼1楼）</w:t>
      </w:r>
    </w:p>
    <w:p>
      <w:pPr>
        <w:spacing w:line="360" w:lineRule="auto"/>
        <w:ind w:firstLine="480" w:firstLineChars="200"/>
        <w:rPr>
          <w:rFonts w:ascii="宋体" w:hAnsi="宋体" w:cs="宋体"/>
          <w:sz w:val="24"/>
          <w:szCs w:val="24"/>
        </w:rPr>
      </w:pPr>
      <w:r>
        <w:rPr>
          <w:rFonts w:hint="eastAsia" w:ascii="宋体" w:hAnsi="宋体" w:cs="宋体"/>
          <w:sz w:val="24"/>
          <w:szCs w:val="24"/>
        </w:rPr>
        <w:t>（六）响应文件递交时间：2022年4月</w:t>
      </w:r>
      <w:r>
        <w:rPr>
          <w:rFonts w:hint="eastAsia" w:ascii="宋体" w:hAnsi="宋体" w:cs="宋体"/>
          <w:sz w:val="24"/>
          <w:szCs w:val="24"/>
          <w:lang w:val="en-US" w:eastAsia="zh-CN"/>
        </w:rPr>
        <w:t>22</w:t>
      </w:r>
      <w:r>
        <w:rPr>
          <w:rFonts w:hint="eastAsia" w:ascii="宋体" w:hAnsi="宋体" w:cs="宋体"/>
          <w:sz w:val="24"/>
          <w:szCs w:val="24"/>
        </w:rPr>
        <w:t>日北京时间14：00-14:30</w:t>
      </w:r>
    </w:p>
    <w:p>
      <w:pPr>
        <w:spacing w:line="360" w:lineRule="auto"/>
        <w:ind w:firstLine="1200" w:firstLineChars="500"/>
        <w:rPr>
          <w:rFonts w:ascii="宋体" w:hAnsi="宋体" w:cs="宋体"/>
          <w:sz w:val="24"/>
          <w:szCs w:val="24"/>
        </w:rPr>
      </w:pPr>
      <w:r>
        <w:rPr>
          <w:rFonts w:hint="eastAsia" w:ascii="宋体" w:hAnsi="宋体" w:cs="宋体"/>
          <w:sz w:val="24"/>
          <w:szCs w:val="24"/>
        </w:rPr>
        <w:t>截止时间：2022年4月</w:t>
      </w:r>
      <w:r>
        <w:rPr>
          <w:rFonts w:hint="eastAsia" w:ascii="宋体" w:hAnsi="宋体" w:cs="宋体"/>
          <w:sz w:val="24"/>
          <w:szCs w:val="24"/>
          <w:lang w:val="en-US" w:eastAsia="zh-CN"/>
        </w:rPr>
        <w:t>22</w:t>
      </w:r>
      <w:r>
        <w:rPr>
          <w:rFonts w:hint="eastAsia" w:ascii="宋体" w:hAnsi="宋体" w:cs="宋体"/>
          <w:sz w:val="24"/>
          <w:szCs w:val="24"/>
        </w:rPr>
        <w:t>日北京时间14:30</w:t>
      </w:r>
    </w:p>
    <w:p>
      <w:pPr>
        <w:spacing w:line="360" w:lineRule="auto"/>
        <w:ind w:firstLine="480" w:firstLineChars="200"/>
        <w:rPr>
          <w:rFonts w:ascii="宋体" w:hAnsi="宋体" w:cs="宋体"/>
          <w:sz w:val="24"/>
          <w:szCs w:val="24"/>
        </w:rPr>
      </w:pPr>
      <w:r>
        <w:rPr>
          <w:rFonts w:hint="eastAsia" w:ascii="宋体" w:hAnsi="宋体" w:cs="宋体"/>
          <w:sz w:val="24"/>
          <w:szCs w:val="24"/>
        </w:rPr>
        <w:t>（七）磋商开始时间：2022年4月</w:t>
      </w:r>
      <w:r>
        <w:rPr>
          <w:rFonts w:hint="eastAsia" w:ascii="宋体" w:hAnsi="宋体" w:cs="宋体"/>
          <w:sz w:val="24"/>
          <w:szCs w:val="24"/>
          <w:lang w:val="en-US" w:eastAsia="zh-CN"/>
        </w:rPr>
        <w:t>22</w:t>
      </w:r>
      <w:r>
        <w:rPr>
          <w:rFonts w:hint="eastAsia" w:ascii="宋体" w:hAnsi="宋体" w:cs="宋体"/>
          <w:sz w:val="24"/>
          <w:szCs w:val="24"/>
        </w:rPr>
        <w:t>日北京时间14:30</w:t>
      </w:r>
    </w:p>
    <w:p>
      <w:pPr>
        <w:pStyle w:val="4"/>
        <w:spacing w:line="360" w:lineRule="auto"/>
        <w:rPr>
          <w:rFonts w:ascii="宋体" w:hAnsi="宋体" w:cs="宋体"/>
          <w:sz w:val="24"/>
          <w:szCs w:val="24"/>
        </w:rPr>
      </w:pPr>
      <w:bookmarkStart w:id="12" w:name="_Toc373860294"/>
      <w:bookmarkStart w:id="13" w:name="_Toc54278973"/>
      <w:r>
        <w:rPr>
          <w:rFonts w:hint="eastAsia" w:ascii="宋体" w:hAnsi="宋体" w:cs="宋体"/>
          <w:sz w:val="24"/>
          <w:szCs w:val="24"/>
        </w:rPr>
        <w:t>五、磋商保证金</w:t>
      </w:r>
    </w:p>
    <w:p>
      <w:pPr>
        <w:spacing w:line="360" w:lineRule="auto"/>
        <w:ind w:firstLine="480" w:firstLineChars="200"/>
        <w:rPr>
          <w:rFonts w:ascii="宋体" w:hAnsi="宋体" w:cs="宋体"/>
          <w:sz w:val="24"/>
          <w:szCs w:val="24"/>
        </w:rPr>
      </w:pPr>
      <w:r>
        <w:rPr>
          <w:rFonts w:hint="eastAsia" w:ascii="宋体" w:hAnsi="宋体" w:cs="宋体"/>
          <w:sz w:val="24"/>
          <w:szCs w:val="24"/>
        </w:rPr>
        <w:t>（一）保证金递交</w:t>
      </w:r>
    </w:p>
    <w:p>
      <w:pPr>
        <w:spacing w:line="360" w:lineRule="auto"/>
        <w:ind w:firstLine="480" w:firstLineChars="200"/>
        <w:rPr>
          <w:rFonts w:ascii="宋体" w:hAnsi="宋体" w:cs="宋体"/>
          <w:sz w:val="24"/>
          <w:szCs w:val="24"/>
        </w:rPr>
      </w:pPr>
      <w:r>
        <w:rPr>
          <w:rFonts w:hint="eastAsia" w:ascii="宋体" w:hAnsi="宋体" w:cs="宋体"/>
          <w:sz w:val="24"/>
          <w:szCs w:val="24"/>
        </w:rPr>
        <w:t>1、竞标保证金交款形式及要求</w:t>
      </w:r>
    </w:p>
    <w:p>
      <w:pPr>
        <w:spacing w:line="360" w:lineRule="auto"/>
        <w:ind w:firstLine="480" w:firstLineChars="200"/>
        <w:rPr>
          <w:rFonts w:ascii="宋体" w:hAnsi="宋体" w:cs="宋体"/>
          <w:sz w:val="24"/>
          <w:szCs w:val="24"/>
        </w:rPr>
      </w:pPr>
      <w:r>
        <w:rPr>
          <w:rFonts w:hint="eastAsia" w:ascii="宋体" w:hAnsi="宋体" w:cs="宋体"/>
          <w:sz w:val="24"/>
          <w:szCs w:val="24"/>
        </w:rPr>
        <w:t>竞标人从单位</w:t>
      </w:r>
      <w:r>
        <w:rPr>
          <w:rFonts w:hint="eastAsia" w:ascii="宋体" w:hAnsi="宋体" w:cs="宋体"/>
          <w:b/>
          <w:sz w:val="24"/>
          <w:szCs w:val="24"/>
          <w:u w:val="single"/>
        </w:rPr>
        <w:t>基本银行账户</w:t>
      </w:r>
      <w:r>
        <w:rPr>
          <w:rFonts w:hint="eastAsia" w:ascii="宋体" w:hAnsi="宋体" w:cs="宋体"/>
          <w:sz w:val="24"/>
          <w:szCs w:val="24"/>
        </w:rPr>
        <w:t>在</w:t>
      </w:r>
      <w:r>
        <w:rPr>
          <w:rFonts w:hint="eastAsia" w:ascii="宋体" w:hAnsi="宋体" w:cs="宋体"/>
          <w:b/>
          <w:sz w:val="24"/>
          <w:szCs w:val="24"/>
          <w:u w:val="single"/>
        </w:rPr>
        <w:t>2022年4月</w:t>
      </w:r>
      <w:r>
        <w:rPr>
          <w:rFonts w:hint="eastAsia" w:ascii="宋体" w:hAnsi="宋体" w:cs="宋体"/>
          <w:b/>
          <w:sz w:val="24"/>
          <w:szCs w:val="24"/>
          <w:u w:val="single"/>
          <w:lang w:val="en-US" w:eastAsia="zh-CN"/>
        </w:rPr>
        <w:t>21</w:t>
      </w:r>
      <w:r>
        <w:rPr>
          <w:rFonts w:hint="eastAsia" w:ascii="宋体" w:hAnsi="宋体" w:cs="宋体"/>
          <w:b/>
          <w:sz w:val="24"/>
          <w:szCs w:val="24"/>
          <w:u w:val="single"/>
        </w:rPr>
        <w:t>日18时00分（北京时间）前</w:t>
      </w:r>
      <w:r>
        <w:rPr>
          <w:rFonts w:hint="eastAsia" w:ascii="宋体" w:hAnsi="宋体" w:cs="宋体"/>
          <w:sz w:val="24"/>
          <w:szCs w:val="24"/>
        </w:rPr>
        <w:t>（建议通过网上银行方式）直接划付至指定的竞标保证金账户（详见附件），否则竞标保证金无效。竞标人自行考虑汇入时间风险（如同城汇入、异地汇入、跨行汇入的时间要求）。竞标人提交的竞标保证金未由竞标人单位的基本银行账户划付或划付的竞标保证金金额不足的或未按时到账的，其竞标保证金交纳无效。</w:t>
      </w:r>
    </w:p>
    <w:p>
      <w:pPr>
        <w:spacing w:line="360" w:lineRule="auto"/>
        <w:ind w:firstLine="480" w:firstLineChars="200"/>
        <w:rPr>
          <w:rFonts w:ascii="宋体" w:hAnsi="宋体" w:cs="宋体"/>
          <w:b/>
          <w:sz w:val="24"/>
          <w:szCs w:val="24"/>
          <w:u w:val="single"/>
        </w:rPr>
      </w:pPr>
      <w:r>
        <w:rPr>
          <w:rFonts w:hint="eastAsia" w:ascii="宋体" w:hAnsi="宋体" w:cs="宋体"/>
          <w:sz w:val="24"/>
          <w:szCs w:val="24"/>
        </w:rPr>
        <w:t>2、</w:t>
      </w:r>
      <w:r>
        <w:rPr>
          <w:rFonts w:hint="eastAsia" w:ascii="宋体" w:hAnsi="宋体" w:cs="宋体"/>
          <w:b/>
          <w:sz w:val="24"/>
          <w:szCs w:val="24"/>
          <w:u w:val="single"/>
        </w:rPr>
        <w:t>竞标保证金的金额：人民币7000元（大写：柒仟元整）。</w:t>
      </w:r>
    </w:p>
    <w:p>
      <w:pPr>
        <w:spacing w:line="360" w:lineRule="auto"/>
        <w:ind w:firstLine="480" w:firstLineChars="200"/>
        <w:rPr>
          <w:rFonts w:ascii="宋体" w:hAnsi="宋体" w:cs="宋体"/>
          <w:sz w:val="24"/>
          <w:szCs w:val="24"/>
        </w:rPr>
      </w:pPr>
      <w:r>
        <w:rPr>
          <w:rFonts w:hint="eastAsia" w:ascii="宋体" w:hAnsi="宋体" w:cs="宋体"/>
          <w:sz w:val="24"/>
          <w:szCs w:val="24"/>
        </w:rPr>
        <w:t>3、竞标保证金有效期等同竞标有效期。</w:t>
      </w:r>
    </w:p>
    <w:p>
      <w:pPr>
        <w:spacing w:line="360" w:lineRule="auto"/>
        <w:ind w:firstLine="480" w:firstLineChars="200"/>
        <w:rPr>
          <w:rFonts w:ascii="宋体" w:hAnsi="宋体" w:cs="宋体"/>
          <w:sz w:val="24"/>
          <w:szCs w:val="24"/>
        </w:rPr>
      </w:pPr>
      <w:r>
        <w:rPr>
          <w:rFonts w:hint="eastAsia" w:ascii="宋体" w:hAnsi="宋体" w:cs="宋体"/>
          <w:sz w:val="24"/>
          <w:szCs w:val="24"/>
        </w:rPr>
        <w:t>4、未在指定时间内到账的竞标保证金为无效竞标保证金，当场退还其响应文件。</w:t>
      </w:r>
    </w:p>
    <w:p>
      <w:pPr>
        <w:spacing w:line="360" w:lineRule="auto"/>
        <w:ind w:firstLine="480" w:firstLineChars="200"/>
      </w:pPr>
      <w:r>
        <w:rPr>
          <w:rFonts w:hint="eastAsia" w:ascii="宋体" w:hAnsi="宋体" w:cs="宋体"/>
          <w:sz w:val="24"/>
          <w:szCs w:val="24"/>
        </w:rPr>
        <w:t>5、竞标人应将单位基本银行账户的开户许可证（或银行盖章的基本账户证明材料）和竞标保证金进账凭据带至现场查验(以上资料原件备验)。</w:t>
      </w:r>
    </w:p>
    <w:p>
      <w:pPr>
        <w:spacing w:line="360" w:lineRule="auto"/>
        <w:ind w:firstLine="480" w:firstLineChars="200"/>
        <w:rPr>
          <w:rFonts w:ascii="宋体" w:hAnsi="宋体" w:cs="宋体"/>
          <w:sz w:val="24"/>
          <w:szCs w:val="24"/>
        </w:rPr>
      </w:pPr>
      <w:r>
        <w:rPr>
          <w:rFonts w:hint="eastAsia" w:ascii="宋体" w:hAnsi="宋体" w:cs="宋体"/>
          <w:sz w:val="24"/>
          <w:szCs w:val="24"/>
        </w:rPr>
        <w:t>（二）保证金退还方式</w:t>
      </w:r>
    </w:p>
    <w:p>
      <w:pPr>
        <w:spacing w:line="360" w:lineRule="auto"/>
        <w:ind w:firstLine="480" w:firstLineChars="200"/>
        <w:rPr>
          <w:rFonts w:ascii="宋体" w:hAnsi="宋体" w:cs="宋体"/>
          <w:sz w:val="24"/>
          <w:szCs w:val="24"/>
        </w:rPr>
      </w:pPr>
      <w:r>
        <w:rPr>
          <w:rFonts w:hint="eastAsia" w:ascii="宋体" w:hAnsi="宋体" w:cs="宋体"/>
          <w:sz w:val="24"/>
          <w:szCs w:val="24"/>
        </w:rPr>
        <w:t>在公示期结束后五个工作日内，竞标人应持采购人开具的收据，方能退还投（竞）标保证金，否则责任自负。采购人向除成交人以外的竞标人无息退还竞标保证金。成交人的竞标保证金在采购人与成交人签订的项目合同（原件）后五个工作日内无息退还。竞标保证金通过网上银行转账的方式退还至各竞标人缴纳保证金的帐户。</w:t>
      </w:r>
    </w:p>
    <w:p>
      <w:pPr>
        <w:spacing w:line="360" w:lineRule="auto"/>
        <w:ind w:firstLine="480" w:firstLineChars="200"/>
        <w:rPr>
          <w:rFonts w:ascii="宋体" w:hAnsi="宋体" w:cs="宋体"/>
          <w:sz w:val="24"/>
          <w:szCs w:val="24"/>
        </w:rPr>
      </w:pPr>
      <w:r>
        <w:rPr>
          <w:rFonts w:hint="eastAsia" w:ascii="宋体" w:hAnsi="宋体" w:cs="宋体"/>
          <w:sz w:val="24"/>
          <w:szCs w:val="24"/>
        </w:rPr>
        <w:t>如因竞标人自身原因，竞标保证金未缴入本项目专用账户导致的竞标保证金退还延迟，由竞标人自行负责。</w:t>
      </w:r>
    </w:p>
    <w:p>
      <w:pPr>
        <w:spacing w:line="360" w:lineRule="auto"/>
        <w:ind w:firstLine="480" w:firstLineChars="200"/>
        <w:rPr>
          <w:rFonts w:ascii="宋体" w:hAnsi="宋体" w:cs="宋体"/>
          <w:sz w:val="24"/>
          <w:szCs w:val="24"/>
        </w:rPr>
      </w:pPr>
      <w:r>
        <w:rPr>
          <w:rFonts w:hint="eastAsia" w:ascii="宋体" w:hAnsi="宋体" w:cs="宋体"/>
          <w:sz w:val="24"/>
          <w:szCs w:val="24"/>
        </w:rPr>
        <w:t>保证金联系人：李老师；      咨询电话：023-68955002</w:t>
      </w:r>
    </w:p>
    <w:p>
      <w:pPr>
        <w:pStyle w:val="4"/>
        <w:spacing w:line="360" w:lineRule="auto"/>
        <w:rPr>
          <w:rFonts w:ascii="宋体" w:hAnsi="宋体" w:cs="宋体"/>
          <w:sz w:val="24"/>
          <w:szCs w:val="24"/>
        </w:rPr>
      </w:pPr>
      <w:r>
        <w:rPr>
          <w:rFonts w:hint="eastAsia" w:ascii="宋体" w:hAnsi="宋体" w:cs="宋体"/>
          <w:sz w:val="24"/>
          <w:szCs w:val="24"/>
        </w:rPr>
        <w:t>六、履约保证金</w:t>
      </w:r>
    </w:p>
    <w:p>
      <w:pPr>
        <w:spacing w:line="360" w:lineRule="auto"/>
        <w:ind w:firstLine="354" w:firstLineChars="147"/>
        <w:rPr>
          <w:rFonts w:ascii="宋体" w:hAnsi="宋体" w:cs="宋体"/>
          <w:b/>
          <w:sz w:val="24"/>
          <w:szCs w:val="24"/>
        </w:rPr>
      </w:pPr>
      <w:r>
        <w:rPr>
          <w:rFonts w:hint="eastAsia" w:ascii="宋体" w:hAnsi="宋体" w:cs="宋体"/>
          <w:b/>
          <w:sz w:val="24"/>
          <w:szCs w:val="24"/>
        </w:rPr>
        <w:t>履约保证金金额为：项目成交金额的10%。</w:t>
      </w:r>
    </w:p>
    <w:p>
      <w:pPr>
        <w:pStyle w:val="4"/>
        <w:spacing w:line="360" w:lineRule="auto"/>
        <w:ind w:firstLine="480" w:firstLineChars="200"/>
        <w:rPr>
          <w:rFonts w:ascii="宋体" w:hAnsi="宋体" w:cs="宋体"/>
          <w:b w:val="0"/>
          <w:sz w:val="24"/>
          <w:szCs w:val="24"/>
        </w:rPr>
      </w:pPr>
      <w:r>
        <w:rPr>
          <w:rFonts w:hint="eastAsia" w:ascii="宋体" w:hAnsi="宋体" w:cs="宋体"/>
          <w:b w:val="0"/>
          <w:sz w:val="24"/>
          <w:szCs w:val="24"/>
        </w:rPr>
        <w:t>账户信息：成交通知书发出后7天内（到账时间以重庆建桥实业发展有限公司开具收据为准）将履约担保汇入下列帐户：</w:t>
      </w:r>
    </w:p>
    <w:p>
      <w:pPr>
        <w:pStyle w:val="4"/>
        <w:spacing w:line="360" w:lineRule="auto"/>
        <w:ind w:firstLine="480" w:firstLineChars="200"/>
        <w:rPr>
          <w:rFonts w:ascii="宋体" w:hAnsi="宋体" w:cs="宋体"/>
          <w:b w:val="0"/>
          <w:sz w:val="24"/>
          <w:szCs w:val="24"/>
        </w:rPr>
      </w:pPr>
      <w:r>
        <w:rPr>
          <w:rFonts w:hint="eastAsia" w:ascii="宋体" w:hAnsi="宋体" w:cs="宋体"/>
          <w:b w:val="0"/>
          <w:sz w:val="24"/>
          <w:szCs w:val="24"/>
        </w:rPr>
        <w:t>开户行：交通银行大渡口支行</w:t>
      </w:r>
    </w:p>
    <w:p>
      <w:pPr>
        <w:pStyle w:val="4"/>
        <w:spacing w:line="360" w:lineRule="auto"/>
        <w:ind w:firstLine="480" w:firstLineChars="200"/>
        <w:rPr>
          <w:rFonts w:ascii="宋体" w:hAnsi="宋体" w:cs="宋体"/>
          <w:b w:val="0"/>
          <w:sz w:val="24"/>
          <w:szCs w:val="24"/>
        </w:rPr>
      </w:pPr>
      <w:r>
        <w:rPr>
          <w:rFonts w:hint="eastAsia" w:ascii="宋体" w:hAnsi="宋体" w:cs="宋体"/>
          <w:b w:val="0"/>
          <w:sz w:val="24"/>
          <w:szCs w:val="24"/>
        </w:rPr>
        <w:t>帐  号：500103011018001201702。</w:t>
      </w:r>
    </w:p>
    <w:p>
      <w:pPr>
        <w:pStyle w:val="4"/>
        <w:spacing w:line="360" w:lineRule="auto"/>
        <w:ind w:firstLine="480" w:firstLineChars="200"/>
        <w:rPr>
          <w:rFonts w:ascii="宋体" w:hAnsi="宋体" w:cs="宋体"/>
          <w:b w:val="0"/>
          <w:sz w:val="24"/>
          <w:szCs w:val="24"/>
        </w:rPr>
      </w:pPr>
      <w:r>
        <w:rPr>
          <w:rFonts w:hint="eastAsia" w:ascii="宋体" w:hAnsi="宋体" w:cs="宋体"/>
          <w:b w:val="0"/>
          <w:sz w:val="24"/>
          <w:szCs w:val="24"/>
        </w:rPr>
        <w:t>帐户名称：重庆建桥实业发展有限公司</w:t>
      </w:r>
    </w:p>
    <w:p>
      <w:pPr>
        <w:pStyle w:val="4"/>
        <w:spacing w:line="360" w:lineRule="auto"/>
        <w:ind w:firstLine="480" w:firstLineChars="200"/>
        <w:rPr>
          <w:rFonts w:ascii="宋体" w:hAnsi="宋体" w:cs="宋体"/>
          <w:b w:val="0"/>
          <w:sz w:val="24"/>
          <w:szCs w:val="24"/>
        </w:rPr>
      </w:pPr>
      <w:r>
        <w:rPr>
          <w:rFonts w:hint="eastAsia" w:ascii="宋体" w:hAnsi="宋体" w:cs="宋体"/>
          <w:b w:val="0"/>
          <w:sz w:val="24"/>
          <w:szCs w:val="24"/>
        </w:rPr>
        <w:t>退还时间：施工图审查（或技术审查）合格后30日内返还履约保证金的100%（不计息）。</w:t>
      </w:r>
    </w:p>
    <w:p>
      <w:pPr>
        <w:pStyle w:val="4"/>
        <w:spacing w:line="360" w:lineRule="auto"/>
        <w:rPr>
          <w:rFonts w:ascii="宋体" w:hAnsi="宋体" w:cs="宋体"/>
          <w:sz w:val="24"/>
          <w:szCs w:val="24"/>
        </w:rPr>
      </w:pPr>
      <w:r>
        <w:rPr>
          <w:rFonts w:hint="eastAsia" w:ascii="宋体" w:hAnsi="宋体" w:cs="宋体"/>
          <w:sz w:val="24"/>
          <w:szCs w:val="24"/>
        </w:rPr>
        <w:t>七、</w:t>
      </w:r>
      <w:bookmarkEnd w:id="9"/>
      <w:bookmarkEnd w:id="12"/>
      <w:bookmarkStart w:id="14" w:name="_Toc479668114"/>
      <w:bookmarkStart w:id="15" w:name="_Toc480466698"/>
      <w:r>
        <w:rPr>
          <w:rFonts w:hint="eastAsia" w:ascii="宋体" w:hAnsi="宋体" w:cs="宋体"/>
          <w:sz w:val="24"/>
          <w:szCs w:val="24"/>
        </w:rPr>
        <w:t>采购项目需落实的政府采购政策</w:t>
      </w:r>
      <w:bookmarkEnd w:id="13"/>
      <w:bookmarkEnd w:id="14"/>
      <w:bookmarkEnd w:id="15"/>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（一）按照《财政部 生态环境部关于印发环境标志产品政府采购品目清单的通知》（财库〔2019〕18号）和《财政部 发展改革委关于印发节能产品政府采购品目清单的通知》（财库〔2019〕19号）的规定，落实国家节能环保政策。</w:t>
      </w:r>
    </w:p>
    <w:p>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（二）按照《财政部 工业和信息化部关于印发&lt;政府采购促进中小企业发展暂行办法&gt;的通知》（财库〔2011〕181号）的规定，落实促进中小企业发展政策。</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（三）按照《财政部、司法部关于政府采购支持监狱企业发展有关问题的通知》（财库〔2014〕68号）的规定，落实支持监狱企业发展政策。</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（四）按照《三部门联合发布关于促进残疾人就业政府采购政策的通知》（财库〔2017〕 141号）的规定，落实支持残疾人福利性单位发展政策。</w:t>
      </w:r>
    </w:p>
    <w:p>
      <w:pPr>
        <w:pStyle w:val="4"/>
        <w:spacing w:line="360" w:lineRule="auto"/>
        <w:rPr>
          <w:rFonts w:ascii="宋体" w:hAnsi="宋体" w:cs="宋体"/>
          <w:sz w:val="24"/>
          <w:szCs w:val="24"/>
        </w:rPr>
      </w:pPr>
      <w:bookmarkStart w:id="16" w:name="_Toc54278974"/>
      <w:bookmarkStart w:id="17" w:name="_Toc480466699"/>
      <w:r>
        <w:rPr>
          <w:rFonts w:hint="eastAsia" w:ascii="宋体" w:hAnsi="宋体" w:cs="宋体"/>
          <w:sz w:val="24"/>
          <w:szCs w:val="24"/>
        </w:rPr>
        <w:t>八、其它有关规定</w:t>
      </w:r>
      <w:bookmarkEnd w:id="16"/>
      <w:bookmarkEnd w:id="17"/>
    </w:p>
    <w:p>
      <w:pPr>
        <w:snapToGrid w:val="0"/>
        <w:spacing w:line="360" w:lineRule="auto"/>
        <w:ind w:firstLine="360" w:firstLineChars="150"/>
        <w:rPr>
          <w:rFonts w:ascii="宋体" w:hAnsi="宋体" w:cs="宋体"/>
          <w:sz w:val="24"/>
          <w:szCs w:val="24"/>
        </w:rPr>
      </w:pPr>
      <w:r>
        <w:rPr>
          <w:rFonts w:hint="eastAsia" w:ascii="宋体" w:hAnsi="宋体" w:cs="宋体"/>
          <w:sz w:val="24"/>
          <w:szCs w:val="24"/>
        </w:rPr>
        <w:t>（一）单位负责人为同一人或者存在直接控股、管理关系的不同供应商，不得参加同一合同项（分包）下的政府采购活动，否则均为无效响应。</w:t>
      </w:r>
    </w:p>
    <w:p>
      <w:pPr>
        <w:snapToGrid w:val="0"/>
        <w:spacing w:line="360" w:lineRule="auto"/>
        <w:ind w:firstLine="360" w:firstLineChars="150"/>
        <w:rPr>
          <w:rFonts w:ascii="宋体" w:hAnsi="宋体" w:cs="宋体"/>
          <w:sz w:val="24"/>
          <w:szCs w:val="24"/>
        </w:rPr>
      </w:pPr>
      <w:r>
        <w:rPr>
          <w:rFonts w:hint="eastAsia" w:ascii="宋体" w:hAnsi="宋体" w:cs="宋体"/>
          <w:sz w:val="24"/>
          <w:szCs w:val="24"/>
        </w:rPr>
        <w:t>（二）为采购项目提供整体设计、规范编制或者项目管理、监理、检测等服务的供应商，不得再参加该采购项目的其他采购活动。</w:t>
      </w:r>
    </w:p>
    <w:p>
      <w:pPr>
        <w:snapToGrid w:val="0"/>
        <w:spacing w:line="360" w:lineRule="auto"/>
        <w:ind w:firstLine="360" w:firstLineChars="150"/>
        <w:rPr>
          <w:rFonts w:ascii="宋体" w:hAnsi="宋体" w:cs="宋体"/>
          <w:sz w:val="24"/>
          <w:szCs w:val="24"/>
        </w:rPr>
      </w:pPr>
      <w:r>
        <w:rPr>
          <w:rFonts w:hint="eastAsia" w:ascii="宋体" w:hAnsi="宋体" w:cs="宋体"/>
          <w:sz w:val="24"/>
          <w:szCs w:val="24"/>
        </w:rPr>
        <w:t>（三）本项目的澄清文件（如果有）一律在建桥工业园（http://www.jqgyy.com/）上发布，请各供应商注意下载；无论供应商下载或领取与否，均视同供应商已知晓本项目澄清文件（如果有）的内容。</w:t>
      </w:r>
    </w:p>
    <w:p>
      <w:pPr>
        <w:snapToGrid w:val="0"/>
        <w:spacing w:line="360" w:lineRule="auto"/>
        <w:ind w:firstLine="360" w:firstLineChars="150"/>
        <w:rPr>
          <w:rFonts w:ascii="宋体" w:hAnsi="宋体" w:cs="宋体"/>
          <w:sz w:val="24"/>
          <w:szCs w:val="24"/>
        </w:rPr>
      </w:pPr>
      <w:r>
        <w:rPr>
          <w:rFonts w:hint="eastAsia" w:ascii="宋体" w:hAnsi="宋体" w:cs="宋体"/>
          <w:sz w:val="24"/>
          <w:szCs w:val="24"/>
        </w:rPr>
        <w:t>（四）超过响应文件截止时间递交的响应文件，恕不接收。</w:t>
      </w:r>
    </w:p>
    <w:p>
      <w:pPr>
        <w:snapToGrid w:val="0"/>
        <w:spacing w:line="360" w:lineRule="auto"/>
        <w:ind w:firstLine="360" w:firstLineChars="150"/>
        <w:rPr>
          <w:rFonts w:ascii="宋体" w:hAnsi="宋体" w:cs="宋体"/>
          <w:sz w:val="24"/>
          <w:szCs w:val="24"/>
        </w:rPr>
      </w:pPr>
      <w:r>
        <w:rPr>
          <w:rFonts w:hint="eastAsia" w:ascii="宋体" w:hAnsi="宋体" w:cs="宋体"/>
          <w:sz w:val="24"/>
          <w:szCs w:val="24"/>
        </w:rPr>
        <w:t>（五）磋商费用：无论磋商结果如何，供应商参与本项目磋商的所有费用均应由供应商自行承担。</w:t>
      </w:r>
    </w:p>
    <w:p>
      <w:pPr>
        <w:snapToGrid w:val="0"/>
        <w:spacing w:line="360" w:lineRule="auto"/>
        <w:ind w:firstLine="360" w:firstLineChars="150"/>
        <w:rPr>
          <w:rFonts w:ascii="宋体" w:hAnsi="宋体" w:cs="宋体"/>
          <w:sz w:val="24"/>
          <w:szCs w:val="24"/>
        </w:rPr>
      </w:pPr>
      <w:r>
        <w:rPr>
          <w:rFonts w:hint="eastAsia" w:ascii="宋体" w:hAnsi="宋体" w:cs="宋体"/>
          <w:sz w:val="24"/>
          <w:szCs w:val="24"/>
        </w:rPr>
        <w:t>（六）</w:t>
      </w:r>
      <w:r>
        <w:rPr>
          <w:rFonts w:hint="eastAsia" w:ascii="宋体" w:hAnsi="宋体" w:cs="宋体"/>
          <w:b/>
          <w:sz w:val="24"/>
          <w:szCs w:val="24"/>
        </w:rPr>
        <w:t>本项目不接受联合体参与磋商。</w:t>
      </w:r>
    </w:p>
    <w:p>
      <w:pPr>
        <w:snapToGrid w:val="0"/>
        <w:spacing w:line="360" w:lineRule="auto"/>
        <w:ind w:firstLine="360" w:firstLineChars="150"/>
        <w:rPr>
          <w:rFonts w:ascii="宋体" w:hAnsi="宋体" w:cs="宋体"/>
          <w:sz w:val="24"/>
          <w:szCs w:val="24"/>
        </w:rPr>
      </w:pPr>
      <w:r>
        <w:rPr>
          <w:rFonts w:hint="eastAsia" w:ascii="宋体" w:hAnsi="宋体" w:cs="宋体"/>
          <w:sz w:val="24"/>
          <w:szCs w:val="24"/>
        </w:rPr>
        <w:t>（七）</w:t>
      </w:r>
      <w:bookmarkStart w:id="18" w:name="_Toc480466700"/>
      <w:r>
        <w:rPr>
          <w:rFonts w:hint="eastAsia" w:ascii="宋体" w:hAnsi="宋体" w:cs="宋体"/>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pPr>
        <w:pStyle w:val="4"/>
        <w:spacing w:line="360" w:lineRule="auto"/>
        <w:rPr>
          <w:rFonts w:ascii="宋体" w:hAnsi="宋体" w:cs="宋体"/>
          <w:sz w:val="24"/>
          <w:szCs w:val="24"/>
        </w:rPr>
      </w:pPr>
      <w:bookmarkStart w:id="19" w:name="_Toc54278975"/>
      <w:r>
        <w:rPr>
          <w:rFonts w:hint="eastAsia" w:ascii="宋体" w:hAnsi="宋体" w:cs="宋体"/>
          <w:sz w:val="24"/>
          <w:szCs w:val="24"/>
        </w:rPr>
        <w:t>九、联系方式</w:t>
      </w:r>
      <w:bookmarkEnd w:id="18"/>
      <w:bookmarkEnd w:id="19"/>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采购人：重庆建桥实业发展有限公司</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联系人：李老师</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电  话：023-68955002</w:t>
      </w:r>
      <w:bookmarkStart w:id="20" w:name="_Toc54278977"/>
    </w:p>
    <w:p>
      <w:pPr>
        <w:pStyle w:val="3"/>
        <w:spacing w:line="360" w:lineRule="auto"/>
        <w:rPr>
          <w:rFonts w:ascii="宋体" w:hAnsi="宋体" w:eastAsia="宋体" w:cs="宋体"/>
          <w:b w:val="0"/>
          <w:sz w:val="36"/>
          <w:szCs w:val="30"/>
        </w:rPr>
      </w:pPr>
    </w:p>
    <w:p>
      <w:pPr>
        <w:rPr>
          <w:rFonts w:ascii="宋体" w:hAnsi="宋体" w:cs="宋体"/>
          <w:sz w:val="36"/>
          <w:szCs w:val="30"/>
        </w:rPr>
      </w:pPr>
    </w:p>
    <w:p>
      <w:pPr>
        <w:pStyle w:val="4"/>
        <w:rPr>
          <w:rFonts w:ascii="宋体" w:hAnsi="宋体" w:cs="宋体"/>
          <w:b w:val="0"/>
          <w:sz w:val="36"/>
          <w:szCs w:val="30"/>
        </w:rPr>
      </w:pPr>
    </w:p>
    <w:p>
      <w:pPr>
        <w:rPr>
          <w:rFonts w:ascii="宋体" w:hAnsi="宋体" w:cs="宋体"/>
          <w:sz w:val="36"/>
          <w:szCs w:val="30"/>
        </w:rPr>
      </w:pPr>
    </w:p>
    <w:p>
      <w:pPr>
        <w:pStyle w:val="4"/>
        <w:rPr>
          <w:rFonts w:ascii="宋体" w:hAnsi="宋体" w:cs="宋体"/>
          <w:b w:val="0"/>
          <w:sz w:val="36"/>
          <w:szCs w:val="30"/>
        </w:rPr>
      </w:pPr>
    </w:p>
    <w:p/>
    <w:p>
      <w:pPr>
        <w:pStyle w:val="4"/>
      </w:pPr>
    </w:p>
    <w:p/>
    <w:p>
      <w:pPr>
        <w:pStyle w:val="4"/>
      </w:pPr>
    </w:p>
    <w:p/>
    <w:p>
      <w:pPr>
        <w:pStyle w:val="4"/>
      </w:pPr>
    </w:p>
    <w:p>
      <w:pPr>
        <w:pStyle w:val="3"/>
        <w:spacing w:line="360" w:lineRule="auto"/>
        <w:rPr>
          <w:rFonts w:ascii="宋体" w:hAnsi="宋体" w:eastAsia="宋体" w:cs="宋体"/>
          <w:b w:val="0"/>
          <w:sz w:val="36"/>
          <w:szCs w:val="30"/>
        </w:rPr>
      </w:pPr>
    </w:p>
    <w:p/>
    <w:p>
      <w:pPr>
        <w:pStyle w:val="3"/>
        <w:spacing w:line="360" w:lineRule="auto"/>
        <w:jc w:val="center"/>
        <w:rPr>
          <w:rFonts w:ascii="宋体" w:hAnsi="宋体" w:eastAsia="宋体" w:cs="宋体"/>
          <w:b w:val="0"/>
          <w:sz w:val="30"/>
          <w:szCs w:val="30"/>
        </w:rPr>
      </w:pPr>
      <w:r>
        <w:rPr>
          <w:rFonts w:hint="eastAsia" w:ascii="宋体" w:hAnsi="宋体" w:eastAsia="宋体" w:cs="宋体"/>
          <w:b w:val="0"/>
          <w:sz w:val="36"/>
          <w:szCs w:val="30"/>
        </w:rPr>
        <w:t>第二篇  项目服务需求</w:t>
      </w:r>
      <w:bookmarkEnd w:id="20"/>
    </w:p>
    <w:p>
      <w:pPr>
        <w:spacing w:line="360" w:lineRule="auto"/>
        <w:rPr>
          <w:rFonts w:ascii="宋体" w:hAnsi="宋体" w:cs="宋体"/>
          <w:b/>
          <w:bCs/>
          <w:sz w:val="24"/>
          <w:szCs w:val="24"/>
        </w:rPr>
      </w:pPr>
      <w:bookmarkStart w:id="21" w:name="_Toc12789058"/>
      <w:r>
        <w:rPr>
          <w:rFonts w:hint="eastAsia" w:ascii="宋体" w:hAnsi="宋体" w:cs="宋体"/>
          <w:b/>
          <w:bCs/>
          <w:sz w:val="24"/>
          <w:szCs w:val="24"/>
        </w:rPr>
        <w:t>1.建设地点：</w:t>
      </w:r>
    </w:p>
    <w:p>
      <w:pPr>
        <w:spacing w:line="360" w:lineRule="auto"/>
        <w:rPr>
          <w:rFonts w:ascii="宋体" w:hAnsi="宋体" w:cs="宋体"/>
          <w:sz w:val="24"/>
          <w:szCs w:val="24"/>
        </w:rPr>
      </w:pPr>
      <w:r>
        <w:rPr>
          <w:rFonts w:hint="eastAsia" w:ascii="宋体" w:hAnsi="宋体" w:cs="宋体"/>
          <w:sz w:val="24"/>
          <w:szCs w:val="24"/>
        </w:rPr>
        <w:t>重庆市大渡口区。</w:t>
      </w:r>
    </w:p>
    <w:p>
      <w:pPr>
        <w:spacing w:line="360" w:lineRule="auto"/>
        <w:rPr>
          <w:rFonts w:hint="eastAsia" w:ascii="宋体" w:hAnsi="宋体" w:cs="宋体"/>
          <w:b/>
          <w:bCs/>
          <w:sz w:val="24"/>
          <w:szCs w:val="24"/>
        </w:rPr>
      </w:pPr>
      <w:r>
        <w:rPr>
          <w:rFonts w:hint="eastAsia" w:ascii="宋体" w:hAnsi="宋体" w:cs="宋体"/>
          <w:b/>
          <w:bCs/>
          <w:sz w:val="24"/>
          <w:szCs w:val="24"/>
        </w:rPr>
        <w:t>2.建设规模：</w:t>
      </w:r>
    </w:p>
    <w:p>
      <w:pPr>
        <w:spacing w:line="360" w:lineRule="auto"/>
        <w:rPr>
          <w:rFonts w:hint="eastAsia" w:ascii="宋体" w:hAnsi="宋体" w:cs="宋体"/>
          <w:sz w:val="24"/>
          <w:szCs w:val="24"/>
        </w:rPr>
      </w:pPr>
      <w:r>
        <w:rPr>
          <w:rFonts w:hint="eastAsia" w:ascii="宋体" w:hAnsi="宋体" w:cs="宋体"/>
          <w:sz w:val="24"/>
          <w:szCs w:val="24"/>
        </w:rPr>
        <w:t>项目位于建桥园区C区双石河，</w:t>
      </w:r>
      <w:r>
        <w:rPr>
          <w:rFonts w:hint="eastAsia" w:ascii="宋体" w:hAnsi="宋体" w:cs="宋体"/>
          <w:sz w:val="24"/>
          <w:szCs w:val="24"/>
          <w:lang w:eastAsia="zh-CN"/>
        </w:rPr>
        <w:t>起于海康路，止于跳磴河，</w:t>
      </w:r>
      <w:r>
        <w:rPr>
          <w:rFonts w:hint="eastAsia" w:ascii="宋体" w:hAnsi="宋体" w:cs="宋体"/>
          <w:sz w:val="24"/>
          <w:szCs w:val="24"/>
        </w:rPr>
        <w:t>河道长度约1公里</w:t>
      </w:r>
      <w:r>
        <w:rPr>
          <w:rFonts w:hint="eastAsia" w:ascii="宋体" w:hAnsi="宋体" w:cs="宋体"/>
          <w:sz w:val="24"/>
          <w:szCs w:val="24"/>
          <w:lang w:eastAsia="zh-CN"/>
        </w:rPr>
        <w:t>，绿化面积约</w:t>
      </w:r>
      <w:r>
        <w:rPr>
          <w:rFonts w:hint="eastAsia" w:ascii="宋体" w:hAnsi="宋体" w:cs="宋体"/>
          <w:sz w:val="24"/>
          <w:szCs w:val="24"/>
          <w:lang w:val="en-US" w:eastAsia="zh-CN"/>
        </w:rPr>
        <w:t>67000平方米，包含N12-1-1、N12-1-2、N15-1-1和N15-1-2等地块</w:t>
      </w:r>
      <w:r>
        <w:rPr>
          <w:rFonts w:hint="eastAsia" w:ascii="宋体" w:hAnsi="宋体" w:cs="宋体"/>
          <w:sz w:val="24"/>
          <w:szCs w:val="24"/>
        </w:rPr>
        <w:t>。主要建设内容为：两侧步道建设、绿化改造</w:t>
      </w:r>
      <w:r>
        <w:rPr>
          <w:rFonts w:hint="eastAsia" w:ascii="宋体" w:hAnsi="宋体" w:cs="宋体"/>
          <w:sz w:val="24"/>
          <w:szCs w:val="24"/>
          <w:lang w:eastAsia="zh-CN"/>
        </w:rPr>
        <w:t>、电照工程、给水管、排水管网改造</w:t>
      </w:r>
      <w:r>
        <w:rPr>
          <w:rFonts w:hint="eastAsia" w:ascii="宋体" w:hAnsi="宋体" w:cs="宋体"/>
          <w:sz w:val="24"/>
          <w:szCs w:val="24"/>
        </w:rPr>
        <w:t>等。</w:t>
      </w:r>
    </w:p>
    <w:p>
      <w:pPr>
        <w:spacing w:line="360" w:lineRule="auto"/>
        <w:rPr>
          <w:rFonts w:hint="eastAsia" w:ascii="宋体" w:hAnsi="宋体" w:cs="宋体"/>
          <w:sz w:val="24"/>
          <w:szCs w:val="24"/>
        </w:rPr>
        <w:sectPr>
          <w:footerReference r:id="rId7" w:type="default"/>
          <w:footerReference r:id="rId8" w:type="even"/>
          <w:pgSz w:w="11907" w:h="16840"/>
          <w:pgMar w:top="1134" w:right="1191" w:bottom="1134" w:left="1304" w:header="964" w:footer="992" w:gutter="0"/>
          <w:pgNumType w:fmt="numberInDash"/>
          <w:cols w:space="720" w:num="1"/>
          <w:docGrid w:linePitch="312" w:charSpace="0"/>
        </w:sectPr>
      </w:pPr>
    </w:p>
    <w:p>
      <w:pPr>
        <w:pStyle w:val="3"/>
        <w:spacing w:line="360" w:lineRule="auto"/>
        <w:jc w:val="center"/>
        <w:rPr>
          <w:rFonts w:ascii="宋体" w:hAnsi="宋体" w:eastAsia="宋体" w:cs="宋体"/>
          <w:b w:val="0"/>
          <w:sz w:val="36"/>
          <w:szCs w:val="30"/>
        </w:rPr>
      </w:pPr>
      <w:bookmarkStart w:id="22" w:name="_Toc54278984"/>
      <w:r>
        <w:rPr>
          <w:rFonts w:hint="eastAsia" w:ascii="宋体" w:hAnsi="宋体" w:eastAsia="宋体" w:cs="宋体"/>
          <w:b w:val="0"/>
          <w:sz w:val="36"/>
          <w:szCs w:val="30"/>
        </w:rPr>
        <w:t xml:space="preserve">第三篇  </w:t>
      </w:r>
      <w:bookmarkEnd w:id="21"/>
      <w:r>
        <w:rPr>
          <w:rFonts w:hint="eastAsia" w:ascii="宋体" w:hAnsi="宋体" w:eastAsia="宋体" w:cs="宋体"/>
          <w:b w:val="0"/>
          <w:sz w:val="36"/>
          <w:szCs w:val="30"/>
        </w:rPr>
        <w:t>项目商务需求</w:t>
      </w:r>
      <w:bookmarkEnd w:id="22"/>
    </w:p>
    <w:p>
      <w:pPr>
        <w:pStyle w:val="4"/>
        <w:spacing w:line="440" w:lineRule="exact"/>
        <w:rPr>
          <w:rFonts w:ascii="宋体" w:hAnsi="宋体" w:cs="宋体"/>
          <w:sz w:val="24"/>
          <w:szCs w:val="24"/>
        </w:rPr>
      </w:pPr>
      <w:bookmarkStart w:id="23" w:name="_Toc344475120"/>
      <w:bookmarkStart w:id="24" w:name="_Toc54278985"/>
      <w:r>
        <w:rPr>
          <w:rFonts w:hint="eastAsia" w:ascii="宋体" w:hAnsi="宋体" w:cs="宋体"/>
          <w:sz w:val="24"/>
          <w:szCs w:val="24"/>
        </w:rPr>
        <w:t>一、服务期、地点及验收方式</w:t>
      </w:r>
      <w:bookmarkEnd w:id="23"/>
      <w:bookmarkEnd w:id="24"/>
    </w:p>
    <w:p>
      <w:pPr>
        <w:spacing w:line="540" w:lineRule="exact"/>
        <w:ind w:firstLine="480" w:firstLineChars="200"/>
        <w:jc w:val="left"/>
        <w:rPr>
          <w:rFonts w:ascii="宋体" w:hAnsi="宋体" w:cs="宋体"/>
          <w:sz w:val="24"/>
          <w:szCs w:val="24"/>
        </w:rPr>
      </w:pPr>
      <w:r>
        <w:rPr>
          <w:rFonts w:hint="eastAsia" w:ascii="宋体" w:hAnsi="宋体" w:cs="宋体"/>
          <w:sz w:val="24"/>
          <w:szCs w:val="24"/>
        </w:rPr>
        <w:t>（一）服务期：方案设计30日历天；初步设计阶段25日历天；施工图设计阶段30日历天。</w:t>
      </w:r>
    </w:p>
    <w:p>
      <w:pPr>
        <w:spacing w:line="540" w:lineRule="exact"/>
        <w:ind w:firstLine="480" w:firstLineChars="200"/>
        <w:jc w:val="left"/>
        <w:rPr>
          <w:rFonts w:ascii="宋体" w:hAnsi="宋体" w:cs="宋体"/>
          <w:sz w:val="24"/>
          <w:szCs w:val="24"/>
        </w:rPr>
      </w:pPr>
      <w:r>
        <w:rPr>
          <w:rFonts w:hint="eastAsia" w:ascii="宋体" w:hAnsi="宋体" w:cs="宋体"/>
          <w:sz w:val="24"/>
          <w:szCs w:val="24"/>
        </w:rPr>
        <w:t>（二）服务地点：采购人指定地点。</w:t>
      </w:r>
    </w:p>
    <w:p>
      <w:pPr>
        <w:spacing w:line="540" w:lineRule="exact"/>
        <w:ind w:firstLine="480" w:firstLineChars="200"/>
        <w:jc w:val="left"/>
        <w:rPr>
          <w:rFonts w:ascii="宋体" w:hAnsi="宋体" w:cs="宋体"/>
          <w:sz w:val="24"/>
          <w:szCs w:val="24"/>
        </w:rPr>
      </w:pPr>
      <w:r>
        <w:rPr>
          <w:rFonts w:hint="eastAsia" w:ascii="宋体" w:hAnsi="宋体" w:cs="宋体"/>
          <w:sz w:val="24"/>
          <w:szCs w:val="24"/>
        </w:rPr>
        <w:t>（三）验收方式及标准</w:t>
      </w:r>
      <w:bookmarkStart w:id="25" w:name="_Toc344475121"/>
      <w:bookmarkStart w:id="26" w:name="_Toc54278986"/>
    </w:p>
    <w:p>
      <w:pPr>
        <w:spacing w:line="540" w:lineRule="exact"/>
        <w:ind w:firstLine="480" w:firstLineChars="200"/>
        <w:jc w:val="left"/>
        <w:rPr>
          <w:rFonts w:ascii="宋体" w:hAnsi="宋体" w:cs="宋体"/>
          <w:sz w:val="24"/>
          <w:szCs w:val="24"/>
        </w:rPr>
      </w:pPr>
      <w:r>
        <w:rPr>
          <w:rFonts w:hint="eastAsia" w:ascii="宋体" w:hAnsi="宋体" w:cs="宋体"/>
          <w:sz w:val="24"/>
          <w:szCs w:val="24"/>
        </w:rPr>
        <w:t>1、由采购人自行验收；</w:t>
      </w:r>
    </w:p>
    <w:p>
      <w:pPr>
        <w:spacing w:line="540" w:lineRule="exact"/>
        <w:ind w:firstLine="480" w:firstLineChars="200"/>
        <w:jc w:val="left"/>
        <w:rPr>
          <w:rFonts w:ascii="宋体" w:hAnsi="宋体" w:cs="宋体"/>
          <w:sz w:val="24"/>
          <w:szCs w:val="24"/>
        </w:rPr>
      </w:pPr>
      <w:r>
        <w:rPr>
          <w:rFonts w:hint="eastAsia" w:ascii="宋体" w:hAnsi="宋体" w:cs="宋体"/>
          <w:sz w:val="24"/>
          <w:szCs w:val="24"/>
        </w:rPr>
        <w:t>2、竞标人提供的服务未达到竞争性磋商文件规定要求，且对采购人造成损失的，由竞标人承担一切责任，并赔偿所造成的损失。</w:t>
      </w:r>
    </w:p>
    <w:p>
      <w:pPr>
        <w:spacing w:line="540" w:lineRule="exact"/>
        <w:ind w:firstLine="480" w:firstLineChars="200"/>
        <w:jc w:val="left"/>
        <w:rPr>
          <w:rFonts w:ascii="宋体" w:hAnsi="宋体" w:cs="宋体"/>
          <w:sz w:val="24"/>
          <w:szCs w:val="24"/>
        </w:rPr>
      </w:pPr>
      <w:r>
        <w:rPr>
          <w:rFonts w:hint="eastAsia" w:ascii="宋体" w:hAnsi="宋体" w:cs="宋体"/>
          <w:sz w:val="24"/>
          <w:szCs w:val="24"/>
        </w:rPr>
        <w:t>3、达到国家现行有关施工质量验收规范要求，并达到合格标准，设计文件应满足国家、行业、地区有关规定及设计标准、规范、规程、定额和办法等的要求及行业设计深度规定要求，满足招标人要求，各阶段勘察设计内容必须修改到采购人满意为止，直至施工图技术审查合格。</w:t>
      </w:r>
    </w:p>
    <w:p>
      <w:pPr>
        <w:pStyle w:val="4"/>
        <w:spacing w:line="400" w:lineRule="exact"/>
        <w:rPr>
          <w:rFonts w:ascii="宋体" w:hAnsi="宋体" w:cs="宋体"/>
          <w:sz w:val="24"/>
          <w:szCs w:val="24"/>
        </w:rPr>
      </w:pPr>
      <w:r>
        <w:rPr>
          <w:rFonts w:hint="eastAsia" w:ascii="宋体" w:hAnsi="宋体" w:cs="宋体"/>
          <w:sz w:val="24"/>
          <w:szCs w:val="24"/>
        </w:rPr>
        <w:t>二、</w:t>
      </w:r>
      <w:bookmarkEnd w:id="25"/>
      <w:r>
        <w:rPr>
          <w:rFonts w:hint="eastAsia" w:ascii="宋体" w:hAnsi="宋体" w:cs="宋体"/>
          <w:sz w:val="24"/>
          <w:szCs w:val="24"/>
        </w:rPr>
        <w:t>报价要求</w:t>
      </w:r>
      <w:bookmarkEnd w:id="26"/>
    </w:p>
    <w:p>
      <w:pPr>
        <w:spacing w:line="540" w:lineRule="exact"/>
        <w:ind w:firstLine="480" w:firstLineChars="200"/>
        <w:jc w:val="left"/>
        <w:rPr>
          <w:rFonts w:ascii="宋体" w:hAnsi="宋体" w:cs="宋体"/>
          <w:sz w:val="24"/>
          <w:szCs w:val="24"/>
        </w:rPr>
      </w:pPr>
      <w:r>
        <w:rPr>
          <w:rFonts w:hint="eastAsia" w:ascii="宋体" w:hAnsi="宋体" w:cs="宋体"/>
          <w:sz w:val="24"/>
          <w:szCs w:val="24"/>
        </w:rPr>
        <w:t>（一）最高限价</w:t>
      </w:r>
    </w:p>
    <w:p>
      <w:pPr>
        <w:spacing w:line="540" w:lineRule="exact"/>
        <w:ind w:firstLine="480" w:firstLineChars="200"/>
        <w:jc w:val="left"/>
        <w:rPr>
          <w:rFonts w:ascii="宋体" w:hAnsi="宋体" w:cs="宋体"/>
          <w:sz w:val="24"/>
          <w:szCs w:val="24"/>
        </w:rPr>
      </w:pPr>
      <w:bookmarkStart w:id="27" w:name="_Toc54278994"/>
      <w:r>
        <w:rPr>
          <w:rFonts w:hint="eastAsia" w:ascii="宋体" w:hAnsi="宋体" w:cs="宋体"/>
          <w:sz w:val="24"/>
          <w:szCs w:val="24"/>
        </w:rPr>
        <w:t>本项目工程设计费取费折扣率百分比最高限价为按《工程勘察设计收费管理规定》（计价格【2002】10号）工程设计收费标准的60%，即投标人所报工程设计费收费折扣率百分比必须≤60 %，否则为无效竞标。（注：本项目建安投资暂按1500万元予以考虑、专业调整系数按1.1、复杂程度按1.0、附加调整系数按1.0予以计算）</w:t>
      </w:r>
    </w:p>
    <w:p>
      <w:pPr>
        <w:numPr>
          <w:ilvl w:val="0"/>
          <w:numId w:val="1"/>
        </w:numPr>
        <w:spacing w:line="540" w:lineRule="exact"/>
        <w:ind w:firstLine="480" w:firstLineChars="200"/>
        <w:jc w:val="left"/>
        <w:rPr>
          <w:rFonts w:ascii="宋体" w:hAnsi="宋体" w:cs="宋体"/>
          <w:sz w:val="24"/>
          <w:szCs w:val="24"/>
        </w:rPr>
      </w:pPr>
      <w:r>
        <w:rPr>
          <w:rFonts w:hint="eastAsia" w:ascii="宋体" w:hAnsi="宋体" w:cs="宋体"/>
          <w:sz w:val="24"/>
          <w:szCs w:val="24"/>
        </w:rPr>
        <w:t>报价方式：按《工程勘察设计收费管理规定》（计价格【2002】10号）中的勘察、工程设计收费标准的收费折扣率百分比报价。（保留两位小数，例如58.00%）</w:t>
      </w:r>
    </w:p>
    <w:p>
      <w:pPr>
        <w:tabs>
          <w:tab w:val="left" w:pos="546"/>
          <w:tab w:val="left" w:pos="711"/>
        </w:tabs>
        <w:snapToGrid w:val="0"/>
        <w:spacing w:line="540" w:lineRule="exact"/>
        <w:ind w:firstLine="482" w:firstLineChars="200"/>
        <w:rPr>
          <w:rFonts w:ascii="方正仿宋_GBK" w:hAnsi="宋体" w:eastAsia="方正仿宋_GBK" w:cs="宋体"/>
          <w:b/>
          <w:bCs/>
          <w:kern w:val="0"/>
          <w:sz w:val="24"/>
          <w:szCs w:val="24"/>
        </w:rPr>
      </w:pPr>
      <w:r>
        <w:rPr>
          <w:rFonts w:hint="eastAsia" w:ascii="方正仿宋_GBK" w:hAnsi="宋体" w:eastAsia="方正仿宋_GBK" w:cs="宋体"/>
          <w:b/>
          <w:bCs/>
          <w:kern w:val="0"/>
          <w:sz w:val="24"/>
          <w:szCs w:val="24"/>
        </w:rPr>
        <w:t xml:space="preserve"> 备注：</w:t>
      </w:r>
    </w:p>
    <w:p>
      <w:pPr>
        <w:spacing w:line="540" w:lineRule="exact"/>
        <w:ind w:firstLine="720" w:firstLineChars="300"/>
        <w:jc w:val="left"/>
        <w:rPr>
          <w:rFonts w:ascii="宋体" w:hAnsi="宋体" w:cs="宋体"/>
          <w:sz w:val="24"/>
          <w:szCs w:val="24"/>
        </w:rPr>
      </w:pPr>
      <w:r>
        <w:rPr>
          <w:rFonts w:hint="eastAsia" w:ascii="宋体" w:hAnsi="宋体" w:cs="宋体"/>
          <w:sz w:val="24"/>
          <w:szCs w:val="24"/>
        </w:rPr>
        <w:t>1、投标人的投标报价应包括本工程建设内容范围内的土石方工程、步道工程、桥梁工程、管网工程、照明工程、绿化工程、交通设施工程等所有配套工程。包括：设计方案、初步设计（若需要，含概算编制）、施工图设计、专项设计（若需要，包括但不限于BIM、绿建、海绵等）并配合各阶段专项论证、施工及竣工验收阶段和质量保修期的设计服务等工作，以及协助招标人完成各项审批手续办理等工作）的设计服务人员和相关工作人员的人工成本、劳保、医疗、福利、津贴、保险、差旅费、资料费、各阶段评审会务费用，外业见证费、审核费以及设计单位的管理费、税金、利润等一切可预见和不可预见费用。招标人不再另行支付任何费用，投标人也不得与本项目的任何承包商、材料供应商等发生任何经济关系。</w:t>
      </w:r>
    </w:p>
    <w:p>
      <w:pPr>
        <w:spacing w:line="540" w:lineRule="exact"/>
        <w:ind w:firstLine="720" w:firstLineChars="300"/>
        <w:jc w:val="left"/>
        <w:rPr>
          <w:rFonts w:ascii="宋体" w:hAnsi="宋体" w:cs="宋体"/>
          <w:sz w:val="24"/>
          <w:szCs w:val="24"/>
        </w:rPr>
      </w:pPr>
      <w:r>
        <w:rPr>
          <w:rFonts w:hint="eastAsia" w:ascii="宋体" w:hAnsi="宋体" w:cs="宋体"/>
          <w:sz w:val="24"/>
          <w:szCs w:val="24"/>
        </w:rPr>
        <w:t>投标人应先到项目所在地踏勘，以充分了解项目位置、地质地貌、气候与水文条件、交通状况、电力、给水、排水、热力和天然气等市政基础设施及任何其他足以影响其提交设计方案的可实现性和承包价的情况。任何因中标人忽视或误解项目基本情况，而使招标人在项目实施过程中蒙受的损失，将由中标人按一定比例对招标人进行赔偿。</w:t>
      </w:r>
    </w:p>
    <w:p>
      <w:pPr>
        <w:spacing w:line="540" w:lineRule="exact"/>
        <w:ind w:firstLine="720" w:firstLineChars="300"/>
        <w:jc w:val="left"/>
        <w:rPr>
          <w:rFonts w:ascii="宋体" w:hAnsi="宋体" w:cs="宋体"/>
          <w:sz w:val="24"/>
          <w:szCs w:val="24"/>
        </w:rPr>
      </w:pPr>
      <w:r>
        <w:rPr>
          <w:rFonts w:hint="eastAsia" w:ascii="宋体" w:hAnsi="宋体" w:cs="宋体"/>
          <w:sz w:val="24"/>
          <w:szCs w:val="24"/>
        </w:rPr>
        <w:t>2、中标人须积极配合招标人的报建工作，因下述原因产生的设计费用由中标人自行承担，招标人不另行支付任何费用。</w:t>
      </w:r>
    </w:p>
    <w:p>
      <w:pPr>
        <w:spacing w:line="540" w:lineRule="exact"/>
        <w:ind w:firstLine="480" w:firstLineChars="200"/>
        <w:jc w:val="left"/>
        <w:rPr>
          <w:rFonts w:ascii="宋体" w:hAnsi="宋体" w:cs="宋体"/>
          <w:sz w:val="24"/>
          <w:szCs w:val="24"/>
        </w:rPr>
      </w:pPr>
      <w:r>
        <w:rPr>
          <w:rFonts w:hint="eastAsia" w:ascii="宋体" w:hAnsi="宋体" w:cs="宋体"/>
          <w:sz w:val="24"/>
          <w:szCs w:val="24"/>
        </w:rPr>
        <w:t>（1）招标人提出的修改或调整意见而产生的设计费、资料费等；</w:t>
      </w:r>
    </w:p>
    <w:p>
      <w:pPr>
        <w:spacing w:line="540" w:lineRule="exact"/>
        <w:ind w:firstLine="480" w:firstLineChars="200"/>
        <w:jc w:val="left"/>
        <w:rPr>
          <w:rFonts w:ascii="宋体" w:hAnsi="宋体" w:cs="宋体"/>
          <w:sz w:val="24"/>
          <w:szCs w:val="24"/>
        </w:rPr>
      </w:pPr>
      <w:r>
        <w:rPr>
          <w:rFonts w:hint="eastAsia" w:ascii="宋体" w:hAnsi="宋体" w:cs="宋体"/>
          <w:sz w:val="24"/>
          <w:szCs w:val="24"/>
        </w:rPr>
        <w:t>（2）招标人在报建过程中相关主管职能部门提出的方案设计、初步设计（含概算）、施工图设计修改或调整意见而产生的设计费、资料费等；</w:t>
      </w:r>
    </w:p>
    <w:p>
      <w:pPr>
        <w:spacing w:line="540" w:lineRule="exact"/>
        <w:ind w:firstLine="480" w:firstLineChars="200"/>
        <w:jc w:val="left"/>
        <w:rPr>
          <w:rFonts w:ascii="宋体" w:hAnsi="宋体" w:cs="宋体"/>
          <w:sz w:val="24"/>
          <w:szCs w:val="24"/>
        </w:rPr>
      </w:pPr>
      <w:r>
        <w:rPr>
          <w:rFonts w:hint="eastAsia" w:ascii="宋体" w:hAnsi="宋体" w:cs="宋体"/>
          <w:sz w:val="24"/>
          <w:szCs w:val="24"/>
        </w:rPr>
        <w:t>（3）施工过程中设计变更而产生的设计费、资料费等。</w:t>
      </w:r>
    </w:p>
    <w:p>
      <w:pPr>
        <w:spacing w:line="540" w:lineRule="exact"/>
        <w:ind w:firstLine="480" w:firstLineChars="200"/>
        <w:jc w:val="left"/>
        <w:rPr>
          <w:rFonts w:ascii="宋体" w:hAnsi="宋体" w:cs="宋体"/>
          <w:sz w:val="24"/>
          <w:szCs w:val="24"/>
        </w:rPr>
      </w:pPr>
      <w:r>
        <w:rPr>
          <w:rFonts w:hint="eastAsia" w:ascii="宋体" w:hAnsi="宋体" w:cs="宋体"/>
          <w:sz w:val="24"/>
          <w:szCs w:val="24"/>
        </w:rPr>
        <w:t>（4）设计过程中如需规划调整而产生的设计费、资料费等。</w:t>
      </w:r>
    </w:p>
    <w:p>
      <w:pPr>
        <w:spacing w:line="540" w:lineRule="exact"/>
        <w:ind w:firstLine="480" w:firstLineChars="200"/>
        <w:jc w:val="left"/>
        <w:rPr>
          <w:rFonts w:ascii="宋体" w:hAnsi="宋体" w:cs="宋体"/>
          <w:sz w:val="24"/>
          <w:szCs w:val="24"/>
        </w:rPr>
      </w:pPr>
      <w:r>
        <w:rPr>
          <w:rFonts w:hint="eastAsia" w:ascii="宋体" w:hAnsi="宋体" w:cs="宋体"/>
          <w:sz w:val="24"/>
          <w:szCs w:val="24"/>
        </w:rPr>
        <w:t>注：各阶段的设计文件在取得行政主管部门书面审查意见（施工图取得施工图审查合格书）后，招标人或主管部门提出重大修改或调整（非设计单位原因）而产生的重复设计等费用，由招标人和中标人另行协商确定。</w:t>
      </w:r>
    </w:p>
    <w:p>
      <w:pPr>
        <w:spacing w:line="540" w:lineRule="exact"/>
        <w:ind w:firstLine="480" w:firstLineChars="200"/>
        <w:jc w:val="left"/>
        <w:rPr>
          <w:rFonts w:ascii="宋体" w:hAnsi="宋体" w:cs="宋体"/>
          <w:sz w:val="24"/>
          <w:szCs w:val="24"/>
        </w:rPr>
      </w:pPr>
      <w:r>
        <w:rPr>
          <w:rFonts w:hint="eastAsia" w:ascii="宋体" w:hAnsi="宋体" w:cs="宋体"/>
          <w:sz w:val="24"/>
          <w:szCs w:val="24"/>
        </w:rPr>
        <w:t>3、中标报价折扣率百分比不作调整。即在本工程招标范围内，无论设计方案如何调整和修正，无论国家政策调整，无论法规、标准及市场因素的变化，中标报价折扣率百分比不作调整。</w:t>
      </w:r>
    </w:p>
    <w:p>
      <w:pPr>
        <w:spacing w:line="540" w:lineRule="exact"/>
        <w:ind w:firstLine="480" w:firstLineChars="200"/>
        <w:jc w:val="left"/>
        <w:rPr>
          <w:rFonts w:ascii="宋体" w:hAnsi="宋体" w:cs="宋体"/>
          <w:sz w:val="24"/>
          <w:szCs w:val="24"/>
        </w:rPr>
      </w:pPr>
      <w:r>
        <w:rPr>
          <w:rFonts w:hint="eastAsia" w:ascii="宋体" w:hAnsi="宋体" w:cs="宋体"/>
          <w:sz w:val="24"/>
          <w:szCs w:val="24"/>
        </w:rPr>
        <w:t>4、在本次招标范围内的勘察设计，如因招标人要求减少工作内容或分项目报建或分期进行设计的，投标人需按招标人要求减少工作内容或分项目报建或分期进行设计，不得拒绝，但设计费用可按各项目分别按实结算，最终结算以各分期项目汇总后的建安投资之和进行计算。</w:t>
      </w:r>
    </w:p>
    <w:p>
      <w:pPr>
        <w:spacing w:line="540" w:lineRule="exact"/>
        <w:ind w:firstLine="480" w:firstLineChars="200"/>
        <w:jc w:val="left"/>
        <w:rPr>
          <w:rFonts w:ascii="方正仿宋_GBK" w:hAnsi="宋体" w:eastAsia="方正仿宋_GBK"/>
          <w:sz w:val="24"/>
          <w:szCs w:val="24"/>
        </w:rPr>
      </w:pPr>
      <w:r>
        <w:rPr>
          <w:rFonts w:hint="eastAsia" w:ascii="宋体" w:hAnsi="宋体" w:cs="宋体"/>
          <w:sz w:val="24"/>
          <w:szCs w:val="24"/>
        </w:rPr>
        <w:t>5、本工程的投标货币为人民币，投标报价中的折扣率百分比报价、暂定费总额保留小数点后两位。</w:t>
      </w:r>
    </w:p>
    <w:p>
      <w:pPr>
        <w:spacing w:line="540" w:lineRule="exact"/>
        <w:ind w:firstLine="482" w:firstLineChars="200"/>
      </w:pPr>
      <w:r>
        <w:rPr>
          <w:rFonts w:hint="eastAsia" w:ascii="方正仿宋_GBK" w:hAnsi="宋体" w:eastAsia="方正仿宋_GBK" w:cs="宋体"/>
          <w:b/>
          <w:bCs/>
          <w:kern w:val="0"/>
          <w:sz w:val="24"/>
          <w:szCs w:val="24"/>
        </w:rPr>
        <w:t>6、中标人应确保设计质量，因中标人责任造成设计漏项、设计变更单项增加20万元-50万元或累计超施工合同价5%-10%的，扣除10%设计费；单项增加50万元-100万元或累计变更超施工合同价10％及以上的，扣除15％设计费；单项增加100万元以上或累计变更超过工程概算建安投资的，扣除20%设计费。</w:t>
      </w:r>
    </w:p>
    <w:p>
      <w:pPr>
        <w:spacing w:line="400" w:lineRule="exact"/>
        <w:ind w:firstLine="482" w:firstLineChars="200"/>
        <w:rPr>
          <w:rFonts w:ascii="宋体" w:hAnsi="宋体" w:cs="宋体"/>
          <w:b/>
          <w:sz w:val="24"/>
          <w:szCs w:val="24"/>
        </w:rPr>
      </w:pPr>
      <w:r>
        <w:rPr>
          <w:rFonts w:hint="eastAsia" w:ascii="宋体" w:hAnsi="宋体" w:cs="宋体"/>
          <w:b/>
          <w:sz w:val="24"/>
          <w:szCs w:val="24"/>
        </w:rPr>
        <w:t>三、结算原则</w:t>
      </w:r>
    </w:p>
    <w:p>
      <w:pPr>
        <w:spacing w:line="540" w:lineRule="exact"/>
        <w:ind w:firstLine="480" w:firstLineChars="200"/>
        <w:jc w:val="left"/>
        <w:rPr>
          <w:rFonts w:ascii="宋体" w:hAnsi="宋体" w:cs="宋体"/>
          <w:sz w:val="24"/>
          <w:szCs w:val="24"/>
        </w:rPr>
      </w:pPr>
      <w:r>
        <w:rPr>
          <w:rFonts w:hint="eastAsia" w:ascii="宋体" w:hAnsi="宋体" w:cs="宋体"/>
          <w:sz w:val="24"/>
          <w:szCs w:val="24"/>
        </w:rPr>
        <w:t>设计费暂定金额为：以1500万元为计费基数，按照《工程勘察设计收费管理规定》（计价格[2002]10号）的附件《2002年修订本工程勘察设计收费标准》中“附表一：工程设计收费基价表”规定的收费基价计算出的金额（专业调整系数1.1，复杂程度系数1.0，附加调整系数1.0）*中标折扣率百分比。</w:t>
      </w:r>
    </w:p>
    <w:p>
      <w:pPr>
        <w:spacing w:line="540" w:lineRule="exact"/>
        <w:ind w:firstLine="480" w:firstLineChars="200"/>
        <w:jc w:val="left"/>
        <w:rPr>
          <w:rFonts w:ascii="宋体" w:hAnsi="宋体" w:cs="宋体"/>
          <w:sz w:val="24"/>
          <w:szCs w:val="24"/>
        </w:rPr>
      </w:pPr>
      <w:r>
        <w:rPr>
          <w:rFonts w:hint="eastAsia" w:ascii="宋体" w:hAnsi="宋体" w:cs="宋体"/>
          <w:sz w:val="24"/>
          <w:szCs w:val="24"/>
        </w:rPr>
        <w:t>设计费结算金额为：以相关主管部门审定的概算中的建安投资为计费基数，按照《工程勘察设计收费管理规定》（计价格[2002]10号）的附件《2002年修订本工程勘察设计收费标准》中“附表一：工程设计收费基价表”规定的收费基价计算出的金额（专业调整系数1.1，复杂程度系数1.0，附加调整系数1.0）*中标折扣率百分比-违约金。</w:t>
      </w:r>
    </w:p>
    <w:p>
      <w:pPr>
        <w:spacing w:line="540" w:lineRule="exact"/>
        <w:ind w:firstLine="480" w:firstLineChars="200"/>
        <w:jc w:val="left"/>
        <w:rPr>
          <w:rFonts w:ascii="宋体" w:hAnsi="宋体" w:cs="宋体"/>
          <w:sz w:val="24"/>
          <w:szCs w:val="24"/>
        </w:rPr>
      </w:pPr>
      <w:r>
        <w:rPr>
          <w:rFonts w:hint="eastAsia" w:ascii="宋体" w:hAnsi="宋体" w:cs="宋体"/>
          <w:sz w:val="24"/>
          <w:szCs w:val="24"/>
        </w:rPr>
        <w:t>备注：若因采购人原因导致项目无法办理概算或预算评审先于概算办理的，以预算评审审定金额作为结算计费基数。</w:t>
      </w:r>
    </w:p>
    <w:p>
      <w:pPr>
        <w:spacing w:line="400" w:lineRule="exact"/>
        <w:ind w:firstLine="482" w:firstLineChars="200"/>
        <w:rPr>
          <w:rFonts w:ascii="宋体" w:hAnsi="宋体" w:cs="宋体"/>
          <w:b/>
          <w:sz w:val="24"/>
          <w:szCs w:val="24"/>
        </w:rPr>
      </w:pPr>
      <w:r>
        <w:rPr>
          <w:rFonts w:hint="eastAsia" w:ascii="宋体" w:hAnsi="宋体" w:cs="宋体"/>
          <w:b/>
          <w:sz w:val="24"/>
          <w:szCs w:val="24"/>
        </w:rPr>
        <w:t>四、付款方式</w:t>
      </w:r>
    </w:p>
    <w:p>
      <w:pPr>
        <w:spacing w:line="540" w:lineRule="exact"/>
        <w:ind w:firstLine="480" w:firstLineChars="200"/>
        <w:jc w:val="left"/>
        <w:rPr>
          <w:rFonts w:ascii="宋体" w:hAnsi="宋体" w:cs="宋体"/>
          <w:sz w:val="24"/>
          <w:szCs w:val="24"/>
        </w:rPr>
      </w:pPr>
      <w:r>
        <w:rPr>
          <w:rFonts w:hint="eastAsia" w:ascii="宋体" w:hAnsi="宋体" w:cs="宋体"/>
          <w:sz w:val="24"/>
          <w:szCs w:val="24"/>
        </w:rPr>
        <w:t xml:space="preserve">（1）方案设计完成并提交正式方案后10个工作日内，支付暂定设计费的20%； </w:t>
      </w:r>
    </w:p>
    <w:p>
      <w:pPr>
        <w:spacing w:line="540" w:lineRule="exact"/>
        <w:ind w:firstLine="480" w:firstLineChars="200"/>
        <w:jc w:val="left"/>
        <w:rPr>
          <w:rFonts w:ascii="宋体" w:hAnsi="宋体" w:cs="宋体"/>
          <w:sz w:val="24"/>
          <w:szCs w:val="24"/>
        </w:rPr>
      </w:pPr>
      <w:r>
        <w:rPr>
          <w:rFonts w:hint="eastAsia" w:ascii="宋体" w:hAnsi="宋体" w:cs="宋体"/>
          <w:sz w:val="24"/>
          <w:szCs w:val="24"/>
        </w:rPr>
        <w:t>（2）施工图设计完成并取得审查意见后10个工作日内，支付至暂定设计费的40%；</w:t>
      </w:r>
    </w:p>
    <w:p>
      <w:pPr>
        <w:spacing w:line="540" w:lineRule="exact"/>
        <w:ind w:firstLine="480" w:firstLineChars="200"/>
        <w:jc w:val="left"/>
        <w:rPr>
          <w:rFonts w:ascii="宋体" w:hAnsi="宋体" w:cs="宋体"/>
          <w:sz w:val="24"/>
          <w:szCs w:val="24"/>
        </w:rPr>
      </w:pPr>
      <w:r>
        <w:rPr>
          <w:rFonts w:hint="eastAsia" w:ascii="宋体" w:hAnsi="宋体" w:cs="宋体"/>
          <w:sz w:val="24"/>
          <w:szCs w:val="24"/>
        </w:rPr>
        <w:t>（3）配合采购人完成预算评审后10个工作日内，支付至结算设计费的80%；</w:t>
      </w:r>
    </w:p>
    <w:p>
      <w:pPr>
        <w:spacing w:line="540" w:lineRule="exact"/>
        <w:ind w:firstLine="480" w:firstLineChars="200"/>
        <w:jc w:val="left"/>
        <w:rPr>
          <w:rFonts w:ascii="宋体" w:hAnsi="宋体" w:cs="宋体"/>
          <w:sz w:val="24"/>
          <w:szCs w:val="24"/>
        </w:rPr>
      </w:pPr>
      <w:r>
        <w:rPr>
          <w:rFonts w:hint="eastAsia" w:ascii="宋体" w:hAnsi="宋体" w:cs="宋体"/>
          <w:sz w:val="24"/>
          <w:szCs w:val="24"/>
        </w:rPr>
        <w:t>（5）剩余20%待工程完工并验收合格后1个月内无息支付。</w:t>
      </w:r>
    </w:p>
    <w:p>
      <w:pPr>
        <w:spacing w:line="540" w:lineRule="exact"/>
        <w:ind w:firstLine="480" w:firstLineChars="200"/>
        <w:jc w:val="left"/>
        <w:rPr>
          <w:rFonts w:ascii="宋体" w:hAnsi="宋体" w:cs="宋体"/>
          <w:sz w:val="24"/>
          <w:szCs w:val="24"/>
        </w:rPr>
      </w:pPr>
      <w:r>
        <w:rPr>
          <w:rFonts w:hint="eastAsia" w:ascii="宋体" w:hAnsi="宋体" w:cs="宋体"/>
          <w:sz w:val="24"/>
          <w:szCs w:val="24"/>
        </w:rPr>
        <w:t>发包人向设计人支付费用前，设计人应向发包人提供合法的符合合同约定金额的增值税专用发票，否则发包人有权拒绝支付，由此造成的损失设计人自行承担。</w:t>
      </w:r>
    </w:p>
    <w:p>
      <w:pPr>
        <w:spacing w:line="540" w:lineRule="exact"/>
        <w:ind w:firstLine="482" w:firstLineChars="200"/>
        <w:jc w:val="left"/>
        <w:rPr>
          <w:rFonts w:ascii="宋体" w:hAnsi="宋体" w:cs="宋体"/>
          <w:b/>
          <w:sz w:val="24"/>
          <w:szCs w:val="24"/>
        </w:rPr>
      </w:pPr>
      <w:r>
        <w:rPr>
          <w:rFonts w:hint="eastAsia" w:ascii="宋体" w:hAnsi="宋体" w:cs="宋体"/>
          <w:b/>
          <w:sz w:val="24"/>
          <w:szCs w:val="24"/>
        </w:rPr>
        <w:t>五、知识产权</w:t>
      </w:r>
    </w:p>
    <w:p>
      <w:pPr>
        <w:spacing w:line="540" w:lineRule="exact"/>
        <w:ind w:firstLine="480" w:firstLineChars="200"/>
        <w:jc w:val="left"/>
        <w:rPr>
          <w:rFonts w:ascii="宋体" w:hAnsi="宋体" w:cs="宋体"/>
          <w:sz w:val="24"/>
          <w:szCs w:val="24"/>
        </w:rPr>
      </w:pPr>
      <w:r>
        <w:rPr>
          <w:rFonts w:hint="eastAsia" w:ascii="宋体" w:hAnsi="宋体" w:cs="宋体"/>
          <w:sz w:val="24"/>
          <w:szCs w:val="24"/>
        </w:rPr>
        <w:t>(一)采购人在中华人民共和国境内使用成交竞标人提供的货物及服务时免受第三方提出的侵犯其专利权或其它知识产权的起诉。如果第三方提出侵权指控，成交竞标人应承担由此而引起的一切法律责任和费用。</w:t>
      </w:r>
    </w:p>
    <w:p>
      <w:pPr>
        <w:spacing w:line="540" w:lineRule="exact"/>
        <w:ind w:firstLine="480" w:firstLineChars="200"/>
        <w:jc w:val="left"/>
        <w:rPr>
          <w:rFonts w:ascii="宋体" w:hAnsi="宋体" w:cs="宋体"/>
          <w:sz w:val="24"/>
          <w:szCs w:val="24"/>
        </w:rPr>
      </w:pPr>
      <w:r>
        <w:rPr>
          <w:rFonts w:hint="eastAsia" w:ascii="宋体" w:hAnsi="宋体" w:cs="宋体"/>
          <w:sz w:val="24"/>
          <w:szCs w:val="24"/>
        </w:rPr>
        <w:t>（二）涉及软件开发等服务类项目知识产权的，知识产权归采购人所有。</w:t>
      </w:r>
    </w:p>
    <w:p>
      <w:pPr>
        <w:spacing w:line="540" w:lineRule="exact"/>
        <w:ind w:firstLine="482" w:firstLineChars="200"/>
        <w:jc w:val="left"/>
        <w:rPr>
          <w:rFonts w:ascii="宋体" w:hAnsi="宋体" w:cs="宋体"/>
          <w:b/>
          <w:sz w:val="24"/>
          <w:szCs w:val="24"/>
        </w:rPr>
      </w:pPr>
      <w:r>
        <w:rPr>
          <w:rFonts w:hint="eastAsia" w:ascii="宋体" w:hAnsi="宋体" w:cs="宋体"/>
          <w:b/>
          <w:sz w:val="24"/>
          <w:szCs w:val="24"/>
        </w:rPr>
        <w:t>六、其他</w:t>
      </w:r>
    </w:p>
    <w:p>
      <w:pPr>
        <w:spacing w:line="540" w:lineRule="exact"/>
        <w:ind w:firstLine="480" w:firstLineChars="200"/>
        <w:jc w:val="left"/>
        <w:rPr>
          <w:rFonts w:ascii="宋体" w:hAnsi="宋体" w:cs="宋体"/>
          <w:sz w:val="24"/>
          <w:szCs w:val="24"/>
        </w:rPr>
      </w:pPr>
      <w:r>
        <w:rPr>
          <w:rFonts w:hint="eastAsia" w:ascii="宋体" w:hAnsi="宋体" w:cs="宋体"/>
          <w:sz w:val="24"/>
          <w:szCs w:val="24"/>
        </w:rPr>
        <w:t>（一）竞标人必须在响应文件中对以上条款和服务承诺明确列出，承诺内容必须达到本篇及竞争性磋商文件其他条款的要求。</w:t>
      </w:r>
    </w:p>
    <w:p>
      <w:pPr>
        <w:spacing w:line="540" w:lineRule="exact"/>
        <w:ind w:firstLine="480" w:firstLineChars="200"/>
        <w:jc w:val="left"/>
        <w:rPr>
          <w:rFonts w:ascii="宋体" w:hAnsi="宋体" w:cs="宋体"/>
          <w:sz w:val="24"/>
          <w:szCs w:val="24"/>
        </w:rPr>
      </w:pPr>
      <w:r>
        <w:rPr>
          <w:rFonts w:hint="eastAsia" w:ascii="宋体" w:hAnsi="宋体" w:cs="宋体"/>
          <w:sz w:val="24"/>
          <w:szCs w:val="24"/>
        </w:rPr>
        <w:t>（二）其他未尽事宜由供需双方在采购合同中详细约定。</w:t>
      </w:r>
    </w:p>
    <w:p>
      <w:pPr>
        <w:spacing w:line="540" w:lineRule="exact"/>
        <w:ind w:firstLine="480" w:firstLineChars="200"/>
        <w:jc w:val="left"/>
        <w:rPr>
          <w:rFonts w:ascii="宋体" w:hAnsi="宋体" w:cs="宋体"/>
          <w:sz w:val="24"/>
          <w:szCs w:val="24"/>
        </w:rPr>
      </w:pPr>
    </w:p>
    <w:p>
      <w:pPr>
        <w:pStyle w:val="3"/>
        <w:pageBreakBefore/>
        <w:spacing w:line="360" w:lineRule="auto"/>
        <w:jc w:val="center"/>
        <w:rPr>
          <w:rFonts w:ascii="宋体" w:hAnsi="宋体" w:eastAsia="宋体" w:cs="宋体"/>
          <w:b w:val="0"/>
          <w:sz w:val="36"/>
          <w:szCs w:val="30"/>
        </w:rPr>
      </w:pPr>
      <w:r>
        <w:rPr>
          <w:rFonts w:hint="eastAsia" w:ascii="宋体" w:hAnsi="宋体" w:eastAsia="宋体" w:cs="宋体"/>
          <w:b w:val="0"/>
          <w:sz w:val="36"/>
          <w:szCs w:val="30"/>
        </w:rPr>
        <w:t>第四篇  磋商程序及方法、评审标准、无效响应和</w:t>
      </w:r>
      <w:r>
        <w:rPr>
          <w:rFonts w:hint="eastAsia" w:ascii="宋体" w:hAnsi="宋体" w:eastAsia="宋体" w:cs="宋体"/>
          <w:b w:val="0"/>
          <w:sz w:val="36"/>
          <w:szCs w:val="36"/>
        </w:rPr>
        <w:t>采购终止</w:t>
      </w:r>
      <w:bookmarkEnd w:id="27"/>
    </w:p>
    <w:p>
      <w:pPr>
        <w:pStyle w:val="4"/>
        <w:spacing w:line="440" w:lineRule="exact"/>
        <w:rPr>
          <w:rFonts w:ascii="宋体" w:hAnsi="宋体" w:cs="宋体"/>
          <w:sz w:val="24"/>
          <w:szCs w:val="24"/>
        </w:rPr>
      </w:pPr>
      <w:bookmarkStart w:id="28" w:name="_Toc54278995"/>
      <w:r>
        <w:rPr>
          <w:rFonts w:hint="eastAsia" w:ascii="宋体" w:hAnsi="宋体" w:cs="宋体"/>
          <w:sz w:val="24"/>
          <w:szCs w:val="24"/>
        </w:rPr>
        <w:t>一、磋商程序及方法</w:t>
      </w:r>
      <w:bookmarkEnd w:id="28"/>
    </w:p>
    <w:p>
      <w:pPr>
        <w:spacing w:line="400" w:lineRule="exact"/>
        <w:ind w:firstLine="480" w:firstLineChars="200"/>
        <w:rPr>
          <w:rFonts w:ascii="宋体" w:hAnsi="宋体" w:cs="宋体"/>
          <w:sz w:val="24"/>
          <w:szCs w:val="24"/>
        </w:rPr>
      </w:pPr>
      <w:r>
        <w:rPr>
          <w:rFonts w:hint="eastAsia" w:ascii="宋体" w:hAnsi="宋体" w:cs="宋体"/>
          <w:sz w:val="24"/>
          <w:szCs w:val="24"/>
        </w:rPr>
        <w:t>（一）磋商按竞争性磋商文件规定的时间和地点进行，供应商须有法定代表人或其授权代表参加并签到。法定代表人或其授权代表须提供身份证原件核验身份，如无身份证原件核验身份的，无权行使相应权利。</w:t>
      </w:r>
    </w:p>
    <w:p>
      <w:pPr>
        <w:spacing w:line="400" w:lineRule="exact"/>
        <w:ind w:firstLine="480" w:firstLineChars="200"/>
        <w:rPr>
          <w:rFonts w:ascii="宋体" w:hAnsi="宋体" w:cs="宋体"/>
          <w:sz w:val="24"/>
          <w:szCs w:val="24"/>
        </w:rPr>
      </w:pPr>
      <w:r>
        <w:rPr>
          <w:rFonts w:hint="eastAsia" w:ascii="宋体" w:hAnsi="宋体" w:cs="宋体"/>
          <w:sz w:val="24"/>
          <w:szCs w:val="24"/>
        </w:rPr>
        <w:t>（二）磋商小组对各供应商的资格条件、响应文件的有效性、完整性和响应程度进行审查。各供应商只有在完全符合要求的前提下，才能参与正式磋商。</w:t>
      </w:r>
    </w:p>
    <w:p>
      <w:pPr>
        <w:snapToGrid w:val="0"/>
        <w:spacing w:line="400" w:lineRule="exact"/>
        <w:ind w:firstLine="480" w:firstLineChars="200"/>
        <w:rPr>
          <w:rFonts w:ascii="宋体" w:hAnsi="宋体" w:cs="宋体"/>
          <w:kern w:val="0"/>
          <w:sz w:val="24"/>
          <w:szCs w:val="24"/>
        </w:rPr>
      </w:pPr>
      <w:r>
        <w:rPr>
          <w:rFonts w:hint="eastAsia" w:ascii="宋体" w:hAnsi="宋体" w:cs="宋体"/>
          <w:sz w:val="24"/>
          <w:szCs w:val="24"/>
        </w:rPr>
        <w:t>1.</w:t>
      </w:r>
      <w:r>
        <w:rPr>
          <w:rFonts w:hint="eastAsia" w:ascii="宋体" w:hAnsi="宋体" w:cs="宋体"/>
          <w:kern w:val="0"/>
          <w:sz w:val="24"/>
          <w:szCs w:val="24"/>
        </w:rPr>
        <w:t>资格性检查。依据法律法规和竞争性磋商文件的规定，对响应文件中的资格证明、等进行审查，以确定供应商是否具备磋商资格。资格性检查资料表如下：</w:t>
      </w:r>
    </w:p>
    <w:tbl>
      <w:tblPr>
        <w:tblStyle w:val="1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4679"/>
        <w:gridCol w:w="3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noWrap/>
            <w:vAlign w:val="center"/>
          </w:tcPr>
          <w:p>
            <w:pPr>
              <w:spacing w:line="240" w:lineRule="exact"/>
              <w:jc w:val="center"/>
              <w:rPr>
                <w:rFonts w:ascii="宋体" w:hAnsi="宋体" w:cs="宋体"/>
                <w:b/>
                <w:kern w:val="0"/>
                <w:sz w:val="21"/>
                <w:szCs w:val="21"/>
              </w:rPr>
            </w:pPr>
            <w:r>
              <w:rPr>
                <w:rFonts w:hint="eastAsia" w:ascii="宋体" w:hAnsi="宋体" w:cs="宋体"/>
                <w:b/>
                <w:kern w:val="0"/>
                <w:sz w:val="21"/>
                <w:szCs w:val="21"/>
              </w:rPr>
              <w:t>序号</w:t>
            </w:r>
          </w:p>
        </w:tc>
        <w:tc>
          <w:tcPr>
            <w:tcW w:w="5388" w:type="dxa"/>
            <w:gridSpan w:val="2"/>
            <w:noWrap/>
            <w:vAlign w:val="center"/>
          </w:tcPr>
          <w:p>
            <w:pPr>
              <w:spacing w:line="240" w:lineRule="exact"/>
              <w:jc w:val="center"/>
              <w:rPr>
                <w:rFonts w:ascii="宋体" w:hAnsi="宋体" w:cs="宋体"/>
                <w:b/>
                <w:kern w:val="0"/>
                <w:sz w:val="21"/>
                <w:szCs w:val="21"/>
              </w:rPr>
            </w:pPr>
            <w:r>
              <w:rPr>
                <w:rFonts w:hint="eastAsia" w:ascii="宋体" w:hAnsi="宋体" w:cs="宋体"/>
                <w:b/>
                <w:kern w:val="0"/>
                <w:sz w:val="21"/>
                <w:szCs w:val="21"/>
              </w:rPr>
              <w:t>检查因素</w:t>
            </w:r>
          </w:p>
        </w:tc>
        <w:tc>
          <w:tcPr>
            <w:tcW w:w="3564" w:type="dxa"/>
            <w:noWrap/>
            <w:vAlign w:val="center"/>
          </w:tcPr>
          <w:p>
            <w:pPr>
              <w:spacing w:line="240" w:lineRule="exact"/>
              <w:jc w:val="center"/>
              <w:rPr>
                <w:rFonts w:ascii="宋体" w:hAnsi="宋体" w:cs="宋体"/>
                <w:b/>
                <w:kern w:val="0"/>
                <w:sz w:val="21"/>
                <w:szCs w:val="21"/>
              </w:rPr>
            </w:pPr>
            <w:r>
              <w:rPr>
                <w:rFonts w:hint="eastAsia" w:ascii="宋体" w:hAnsi="宋体" w:cs="宋体"/>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vMerge w:val="restart"/>
            <w:noWrap/>
            <w:vAlign w:val="center"/>
          </w:tcPr>
          <w:p>
            <w:pPr>
              <w:spacing w:line="240" w:lineRule="exact"/>
              <w:jc w:val="center"/>
              <w:rPr>
                <w:rFonts w:ascii="宋体" w:hAnsi="宋体" w:cs="宋体"/>
                <w:sz w:val="21"/>
                <w:szCs w:val="21"/>
              </w:rPr>
            </w:pPr>
            <w:r>
              <w:rPr>
                <w:rFonts w:hint="eastAsia" w:ascii="宋体" w:hAnsi="宋体" w:cs="宋体"/>
                <w:sz w:val="21"/>
                <w:szCs w:val="21"/>
              </w:rPr>
              <w:t>1</w:t>
            </w:r>
          </w:p>
        </w:tc>
        <w:tc>
          <w:tcPr>
            <w:tcW w:w="709" w:type="dxa"/>
            <w:vMerge w:val="restart"/>
            <w:noWrap/>
            <w:vAlign w:val="center"/>
          </w:tcPr>
          <w:p>
            <w:pPr>
              <w:spacing w:line="240" w:lineRule="exact"/>
              <w:rPr>
                <w:rFonts w:ascii="宋体" w:hAnsi="宋体" w:cs="宋体"/>
                <w:sz w:val="21"/>
                <w:szCs w:val="21"/>
                <w:lang w:val="zh-CN"/>
              </w:rPr>
            </w:pPr>
            <w:r>
              <w:rPr>
                <w:rFonts w:hint="eastAsia" w:ascii="宋体" w:hAnsi="宋体" w:cs="宋体"/>
                <w:sz w:val="21"/>
                <w:szCs w:val="21"/>
              </w:rPr>
              <w:t>供应商</w:t>
            </w:r>
            <w:r>
              <w:rPr>
                <w:rFonts w:hint="eastAsia" w:ascii="宋体" w:hAnsi="宋体" w:cs="宋体"/>
                <w:sz w:val="21"/>
                <w:szCs w:val="21"/>
                <w:lang w:val="zh-CN"/>
              </w:rPr>
              <w:t>应符合的基本资格条件</w:t>
            </w:r>
          </w:p>
        </w:tc>
        <w:tc>
          <w:tcPr>
            <w:tcW w:w="4679" w:type="dxa"/>
            <w:noWrap/>
            <w:vAlign w:val="center"/>
          </w:tcPr>
          <w:p>
            <w:pPr>
              <w:spacing w:line="240" w:lineRule="exact"/>
              <w:rPr>
                <w:rFonts w:ascii="宋体" w:hAnsi="宋体" w:cs="宋体"/>
                <w:sz w:val="21"/>
                <w:szCs w:val="21"/>
              </w:rPr>
            </w:pPr>
            <w:r>
              <w:rPr>
                <w:rFonts w:hint="eastAsia" w:ascii="宋体" w:hAnsi="宋体" w:cs="宋体"/>
                <w:sz w:val="21"/>
                <w:szCs w:val="21"/>
              </w:rPr>
              <w:t>（1）具有独立承担民事责任的能力</w:t>
            </w:r>
          </w:p>
        </w:tc>
        <w:tc>
          <w:tcPr>
            <w:tcW w:w="3564" w:type="dxa"/>
            <w:noWrap/>
            <w:vAlign w:val="center"/>
          </w:tcPr>
          <w:p>
            <w:pPr>
              <w:spacing w:line="240" w:lineRule="exact"/>
              <w:rPr>
                <w:rFonts w:ascii="宋体" w:hAnsi="宋体" w:cs="宋体"/>
                <w:sz w:val="21"/>
                <w:szCs w:val="21"/>
              </w:rPr>
            </w:pPr>
            <w:r>
              <w:rPr>
                <w:rFonts w:hint="eastAsia" w:ascii="宋体" w:hAnsi="宋体" w:cs="宋体"/>
                <w:sz w:val="21"/>
                <w:szCs w:val="21"/>
              </w:rPr>
              <w:t xml:space="preserve">供应商法人营业执照（副本）或事业单位法人证书（副本）或个体工商户营业执照或有效的自然人身份证明或社会团体法人登记证书（提供复印件）； </w:t>
            </w:r>
          </w:p>
          <w:p>
            <w:pPr>
              <w:spacing w:line="240" w:lineRule="exact"/>
              <w:rPr>
                <w:rFonts w:ascii="宋体" w:hAnsi="宋体" w:cs="宋体"/>
                <w:sz w:val="21"/>
                <w:szCs w:val="21"/>
              </w:rPr>
            </w:pPr>
            <w:r>
              <w:rPr>
                <w:rFonts w:hint="eastAsia" w:ascii="宋体" w:hAnsi="宋体" w:cs="宋体"/>
                <w:sz w:val="21"/>
                <w:szCs w:val="21"/>
              </w:rPr>
              <w:t>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vMerge w:val="continue"/>
            <w:noWrap/>
            <w:vAlign w:val="center"/>
          </w:tcPr>
          <w:p>
            <w:pPr>
              <w:spacing w:line="240" w:lineRule="exact"/>
              <w:jc w:val="center"/>
              <w:rPr>
                <w:rFonts w:ascii="宋体" w:hAnsi="宋体" w:cs="宋体"/>
                <w:sz w:val="21"/>
                <w:szCs w:val="21"/>
              </w:rPr>
            </w:pPr>
          </w:p>
        </w:tc>
        <w:tc>
          <w:tcPr>
            <w:tcW w:w="709" w:type="dxa"/>
            <w:vMerge w:val="continue"/>
            <w:noWrap/>
            <w:vAlign w:val="center"/>
          </w:tcPr>
          <w:p>
            <w:pPr>
              <w:spacing w:line="240" w:lineRule="exact"/>
              <w:rPr>
                <w:rFonts w:ascii="宋体" w:hAnsi="宋体" w:cs="宋体"/>
                <w:sz w:val="21"/>
                <w:szCs w:val="21"/>
                <w:lang w:val="zh-CN"/>
              </w:rPr>
            </w:pPr>
          </w:p>
        </w:tc>
        <w:tc>
          <w:tcPr>
            <w:tcW w:w="4679" w:type="dxa"/>
            <w:noWrap/>
            <w:vAlign w:val="center"/>
          </w:tcPr>
          <w:p>
            <w:pPr>
              <w:spacing w:line="240" w:lineRule="exact"/>
              <w:rPr>
                <w:rFonts w:ascii="宋体" w:hAnsi="宋体" w:cs="宋体"/>
                <w:sz w:val="21"/>
                <w:szCs w:val="21"/>
              </w:rPr>
            </w:pPr>
            <w:r>
              <w:rPr>
                <w:rFonts w:hint="eastAsia" w:ascii="宋体" w:hAnsi="宋体" w:cs="宋体"/>
                <w:sz w:val="21"/>
                <w:szCs w:val="21"/>
                <w:lang w:val="zh-CN"/>
              </w:rPr>
              <w:t>（2）</w:t>
            </w:r>
            <w:r>
              <w:rPr>
                <w:rFonts w:hint="eastAsia" w:ascii="宋体" w:hAnsi="宋体" w:cs="宋体"/>
                <w:sz w:val="21"/>
                <w:szCs w:val="21"/>
              </w:rPr>
              <w:t>具有良好的商业信誉和健全的财务会计制度</w:t>
            </w:r>
          </w:p>
        </w:tc>
        <w:tc>
          <w:tcPr>
            <w:tcW w:w="3564" w:type="dxa"/>
            <w:noWrap/>
            <w:vAlign w:val="center"/>
          </w:tcPr>
          <w:p>
            <w:pPr>
              <w:spacing w:line="240" w:lineRule="exact"/>
              <w:rPr>
                <w:rFonts w:ascii="宋体" w:hAnsi="宋体" w:cs="宋体"/>
                <w:sz w:val="21"/>
                <w:szCs w:val="21"/>
              </w:rPr>
            </w:pPr>
            <w:r>
              <w:rPr>
                <w:rFonts w:hint="eastAsia" w:ascii="宋体" w:hAnsi="宋体" w:cs="宋体"/>
                <w:sz w:val="21"/>
                <w:szCs w:val="21"/>
              </w:rPr>
              <w:t>提供2020年或2021年财务状况报告（表）或其基本开户银行出具的资信证明（提供复印件）；</w:t>
            </w:r>
          </w:p>
          <w:p>
            <w:pPr>
              <w:spacing w:line="240" w:lineRule="exact"/>
              <w:rPr>
                <w:rFonts w:ascii="宋体" w:hAnsi="宋体" w:cs="宋体"/>
                <w:sz w:val="21"/>
                <w:szCs w:val="21"/>
              </w:rPr>
            </w:pPr>
            <w:r>
              <w:rPr>
                <w:rFonts w:hint="eastAsia" w:ascii="宋体" w:hAnsi="宋体" w:cs="宋体"/>
                <w:sz w:val="21"/>
                <w:szCs w:val="21"/>
              </w:rPr>
              <w:t>本年度新成立或成立不满一年的组织和自然人无法提供财务状况报告（表）的，可提供银行出具的资信证明（提供复印件）。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vMerge w:val="continue"/>
            <w:noWrap/>
            <w:vAlign w:val="center"/>
          </w:tcPr>
          <w:p>
            <w:pPr>
              <w:spacing w:line="240" w:lineRule="exact"/>
              <w:jc w:val="center"/>
              <w:rPr>
                <w:rFonts w:ascii="宋体" w:hAnsi="宋体" w:cs="宋体"/>
                <w:sz w:val="21"/>
                <w:szCs w:val="21"/>
              </w:rPr>
            </w:pPr>
          </w:p>
        </w:tc>
        <w:tc>
          <w:tcPr>
            <w:tcW w:w="709" w:type="dxa"/>
            <w:vMerge w:val="continue"/>
            <w:noWrap/>
            <w:vAlign w:val="center"/>
          </w:tcPr>
          <w:p>
            <w:pPr>
              <w:spacing w:line="240" w:lineRule="exact"/>
              <w:rPr>
                <w:rFonts w:ascii="宋体" w:hAnsi="宋体" w:cs="宋体"/>
                <w:sz w:val="21"/>
                <w:szCs w:val="21"/>
                <w:lang w:val="zh-CN"/>
              </w:rPr>
            </w:pPr>
          </w:p>
        </w:tc>
        <w:tc>
          <w:tcPr>
            <w:tcW w:w="4679" w:type="dxa"/>
            <w:noWrap/>
            <w:vAlign w:val="center"/>
          </w:tcPr>
          <w:p>
            <w:pPr>
              <w:spacing w:line="240" w:lineRule="exact"/>
              <w:rPr>
                <w:rFonts w:ascii="宋体" w:hAnsi="宋体" w:cs="宋体"/>
                <w:sz w:val="21"/>
                <w:szCs w:val="21"/>
                <w:lang w:val="zh-CN"/>
              </w:rPr>
            </w:pPr>
            <w:r>
              <w:rPr>
                <w:rFonts w:hint="eastAsia" w:ascii="宋体" w:hAnsi="宋体" w:cs="宋体"/>
                <w:sz w:val="21"/>
                <w:szCs w:val="21"/>
                <w:lang w:val="zh-CN"/>
              </w:rPr>
              <w:t>（3）具有履行合同所必需的设备和专业技术能力</w:t>
            </w:r>
          </w:p>
        </w:tc>
        <w:tc>
          <w:tcPr>
            <w:tcW w:w="3564" w:type="dxa"/>
            <w:noWrap/>
            <w:vAlign w:val="center"/>
          </w:tcPr>
          <w:p>
            <w:pPr>
              <w:spacing w:line="240" w:lineRule="exact"/>
              <w:rPr>
                <w:rFonts w:ascii="宋体" w:hAnsi="宋体" w:cs="宋体"/>
                <w:sz w:val="21"/>
                <w:szCs w:val="21"/>
              </w:rPr>
            </w:pPr>
            <w:r>
              <w:rPr>
                <w:rFonts w:hint="eastAsia" w:ascii="宋体" w:hAnsi="宋体" w:cs="宋体"/>
                <w:sz w:val="21"/>
                <w:szCs w:val="21"/>
              </w:rPr>
              <w:t>供应商提供书面声明或相关证明材料（见格式文件）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7" w:hRule="atLeast"/>
        </w:trPr>
        <w:tc>
          <w:tcPr>
            <w:tcW w:w="676" w:type="dxa"/>
            <w:vMerge w:val="continue"/>
            <w:noWrap/>
            <w:vAlign w:val="center"/>
          </w:tcPr>
          <w:p>
            <w:pPr>
              <w:spacing w:line="240" w:lineRule="exact"/>
              <w:jc w:val="center"/>
              <w:rPr>
                <w:rFonts w:ascii="宋体" w:hAnsi="宋体" w:cs="宋体"/>
                <w:sz w:val="21"/>
                <w:szCs w:val="21"/>
              </w:rPr>
            </w:pPr>
          </w:p>
        </w:tc>
        <w:tc>
          <w:tcPr>
            <w:tcW w:w="709" w:type="dxa"/>
            <w:vMerge w:val="continue"/>
            <w:noWrap/>
            <w:vAlign w:val="center"/>
          </w:tcPr>
          <w:p>
            <w:pPr>
              <w:spacing w:line="240" w:lineRule="exact"/>
              <w:rPr>
                <w:rFonts w:ascii="宋体" w:hAnsi="宋体" w:cs="宋体"/>
                <w:sz w:val="21"/>
                <w:szCs w:val="21"/>
                <w:lang w:val="zh-CN"/>
              </w:rPr>
            </w:pPr>
          </w:p>
        </w:tc>
        <w:tc>
          <w:tcPr>
            <w:tcW w:w="4679" w:type="dxa"/>
            <w:noWrap/>
            <w:vAlign w:val="center"/>
          </w:tcPr>
          <w:p>
            <w:pPr>
              <w:spacing w:line="240" w:lineRule="exact"/>
              <w:rPr>
                <w:rFonts w:ascii="宋体" w:hAnsi="宋体" w:cs="宋体"/>
                <w:sz w:val="21"/>
                <w:szCs w:val="21"/>
                <w:lang w:val="zh-CN"/>
              </w:rPr>
            </w:pPr>
            <w:r>
              <w:rPr>
                <w:rFonts w:hint="eastAsia" w:ascii="宋体" w:hAnsi="宋体" w:cs="宋体"/>
                <w:sz w:val="21"/>
                <w:szCs w:val="21"/>
                <w:lang w:val="zh-CN"/>
              </w:rPr>
              <w:t>（4）有依法缴纳税收和社会保障金的良好记录</w:t>
            </w:r>
          </w:p>
        </w:tc>
        <w:tc>
          <w:tcPr>
            <w:tcW w:w="3564" w:type="dxa"/>
            <w:noWrap/>
            <w:vAlign w:val="center"/>
          </w:tcPr>
          <w:p>
            <w:pPr>
              <w:spacing w:line="240" w:lineRule="exact"/>
              <w:rPr>
                <w:rFonts w:ascii="宋体" w:hAnsi="宋体" w:cs="宋体"/>
                <w:sz w:val="21"/>
                <w:szCs w:val="21"/>
              </w:rPr>
            </w:pPr>
            <w:r>
              <w:rPr>
                <w:rFonts w:hint="eastAsia" w:ascii="宋体" w:hAnsi="宋体" w:cs="宋体"/>
                <w:sz w:val="21"/>
                <w:szCs w:val="21"/>
              </w:rPr>
              <w:t>1.税务登记证（副本）（提供复印件）（注</w:t>
            </w:r>
            <w:r>
              <w:rPr>
                <w:rFonts w:hint="eastAsia" w:ascii="宋体" w:hAnsi="宋体" w:cs="宋体"/>
                <w:kern w:val="0"/>
                <w:sz w:val="24"/>
                <w:szCs w:val="24"/>
              </w:rPr>
              <w:fldChar w:fldCharType="begin"/>
            </w:r>
            <w:r>
              <w:rPr>
                <w:rFonts w:hint="eastAsia" w:ascii="宋体" w:hAnsi="宋体" w:cs="宋体"/>
                <w:kern w:val="0"/>
                <w:sz w:val="24"/>
                <w:szCs w:val="24"/>
              </w:rPr>
              <w:instrText xml:space="preserve"> eq \o\ac(○,</w:instrText>
            </w:r>
            <w:r>
              <w:rPr>
                <w:rFonts w:hint="eastAsia" w:ascii="宋体" w:hAnsi="宋体" w:cs="宋体"/>
                <w:kern w:val="0"/>
                <w:position w:val="3"/>
                <w:sz w:val="16"/>
                <w:szCs w:val="24"/>
              </w:rPr>
              <w:instrText xml:space="preserve">1</w:instrText>
            </w:r>
            <w:r>
              <w:rPr>
                <w:rFonts w:hint="eastAsia" w:ascii="宋体" w:hAnsi="宋体" w:cs="宋体"/>
                <w:kern w:val="0"/>
                <w:sz w:val="24"/>
                <w:szCs w:val="24"/>
              </w:rPr>
              <w:instrText xml:space="preserve">)</w:instrText>
            </w:r>
            <w:r>
              <w:rPr>
                <w:rFonts w:hint="eastAsia" w:ascii="宋体" w:hAnsi="宋体" w:cs="宋体"/>
                <w:kern w:val="0"/>
                <w:sz w:val="24"/>
                <w:szCs w:val="24"/>
              </w:rPr>
              <w:fldChar w:fldCharType="end"/>
            </w:r>
            <w:r>
              <w:rPr>
                <w:rFonts w:hint="eastAsia" w:ascii="宋体" w:hAnsi="宋体" w:cs="宋体"/>
                <w:sz w:val="21"/>
                <w:szCs w:val="21"/>
              </w:rPr>
              <w:t>）</w:t>
            </w:r>
          </w:p>
          <w:p>
            <w:pPr>
              <w:spacing w:line="240" w:lineRule="exact"/>
              <w:rPr>
                <w:rFonts w:ascii="宋体" w:hAnsi="宋体" w:cs="宋体"/>
                <w:sz w:val="21"/>
                <w:szCs w:val="21"/>
              </w:rPr>
            </w:pPr>
            <w:r>
              <w:rPr>
                <w:rFonts w:hint="eastAsia" w:ascii="宋体" w:hAnsi="宋体" w:cs="宋体"/>
                <w:sz w:val="21"/>
                <w:szCs w:val="21"/>
              </w:rPr>
              <w:t>2.缴纳社会保障金的证明材料（提供复印件）（缴纳社会保障金的证明材料指：社会保险登记证（注</w:t>
            </w:r>
            <w:r>
              <w:rPr>
                <w:rFonts w:hint="eastAsia" w:ascii="宋体" w:hAnsi="宋体" w:cs="宋体"/>
                <w:kern w:val="0"/>
                <w:sz w:val="24"/>
                <w:szCs w:val="24"/>
              </w:rPr>
              <w:fldChar w:fldCharType="begin"/>
            </w:r>
            <w:r>
              <w:rPr>
                <w:rFonts w:hint="eastAsia" w:ascii="宋体" w:hAnsi="宋体" w:cs="宋体"/>
                <w:kern w:val="0"/>
                <w:sz w:val="24"/>
                <w:szCs w:val="24"/>
              </w:rPr>
              <w:instrText xml:space="preserve"> eq \o\ac(○,</w:instrText>
            </w:r>
            <w:r>
              <w:rPr>
                <w:rFonts w:hint="eastAsia" w:ascii="宋体" w:hAnsi="宋体" w:cs="宋体"/>
                <w:kern w:val="0"/>
                <w:position w:val="3"/>
                <w:sz w:val="16"/>
                <w:szCs w:val="24"/>
              </w:rPr>
              <w:instrText xml:space="preserve">1</w:instrText>
            </w:r>
            <w:r>
              <w:rPr>
                <w:rFonts w:hint="eastAsia" w:ascii="宋体" w:hAnsi="宋体" w:cs="宋体"/>
                <w:kern w:val="0"/>
                <w:sz w:val="24"/>
                <w:szCs w:val="24"/>
              </w:rPr>
              <w:instrText xml:space="preserve">)</w:instrText>
            </w:r>
            <w:r>
              <w:rPr>
                <w:rFonts w:hint="eastAsia" w:ascii="宋体" w:hAnsi="宋体" w:cs="宋体"/>
                <w:kern w:val="0"/>
                <w:sz w:val="24"/>
                <w:szCs w:val="24"/>
              </w:rPr>
              <w:fldChar w:fldCharType="end"/>
            </w:r>
            <w:r>
              <w:rPr>
                <w:rFonts w:hint="eastAsia" w:ascii="宋体" w:hAnsi="宋体" w:cs="宋体"/>
                <w:sz w:val="21"/>
                <w:szCs w:val="21"/>
              </w:rPr>
              <w:t>）或缴纳社会保险的凭据（专用收据或社会保险缴纳清单）。</w:t>
            </w:r>
          </w:p>
          <w:p>
            <w:pPr>
              <w:spacing w:line="240" w:lineRule="exact"/>
              <w:rPr>
                <w:rFonts w:ascii="宋体" w:hAnsi="宋体" w:cs="宋体"/>
                <w:sz w:val="21"/>
                <w:szCs w:val="21"/>
              </w:rPr>
            </w:pPr>
            <w:r>
              <w:rPr>
                <w:rFonts w:hint="eastAsia" w:ascii="宋体" w:hAnsi="宋体" w:cs="宋体"/>
                <w:sz w:val="21"/>
                <w:szCs w:val="21"/>
              </w:rPr>
              <w:t>3.依法免税或不需要缴纳社会保障资金的供应商，应提供相应文件证明其依法免税或不需要缴纳社会保障资金（提供复印件）。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vMerge w:val="continue"/>
            <w:noWrap/>
            <w:vAlign w:val="center"/>
          </w:tcPr>
          <w:p>
            <w:pPr>
              <w:spacing w:line="240" w:lineRule="exact"/>
              <w:jc w:val="center"/>
              <w:rPr>
                <w:rFonts w:ascii="宋体" w:hAnsi="宋体" w:cs="宋体"/>
                <w:sz w:val="21"/>
                <w:szCs w:val="21"/>
              </w:rPr>
            </w:pPr>
          </w:p>
        </w:tc>
        <w:tc>
          <w:tcPr>
            <w:tcW w:w="709" w:type="dxa"/>
            <w:vMerge w:val="continue"/>
            <w:noWrap/>
            <w:vAlign w:val="center"/>
          </w:tcPr>
          <w:p>
            <w:pPr>
              <w:spacing w:line="240" w:lineRule="exact"/>
              <w:rPr>
                <w:rFonts w:ascii="宋体" w:hAnsi="宋体" w:cs="宋体"/>
                <w:sz w:val="21"/>
                <w:szCs w:val="21"/>
                <w:lang w:val="zh-CN"/>
              </w:rPr>
            </w:pPr>
          </w:p>
        </w:tc>
        <w:tc>
          <w:tcPr>
            <w:tcW w:w="4679" w:type="dxa"/>
            <w:noWrap/>
            <w:vAlign w:val="center"/>
          </w:tcPr>
          <w:p>
            <w:pPr>
              <w:spacing w:line="240" w:lineRule="exact"/>
              <w:rPr>
                <w:rFonts w:ascii="宋体" w:hAnsi="宋体" w:cs="宋体"/>
                <w:sz w:val="21"/>
                <w:szCs w:val="21"/>
                <w:lang w:val="zh-CN"/>
              </w:rPr>
            </w:pPr>
            <w:r>
              <w:rPr>
                <w:rFonts w:hint="eastAsia" w:ascii="宋体" w:hAnsi="宋体" w:cs="宋体"/>
                <w:sz w:val="21"/>
                <w:szCs w:val="21"/>
              </w:rPr>
              <w:t>（5）参加政府采购活动前三年内，在经营活动中没有重大违法记录（注</w:t>
            </w:r>
            <w:r>
              <w:rPr>
                <w:rFonts w:hint="eastAsia" w:ascii="宋体" w:hAnsi="宋体" w:cs="宋体"/>
                <w:kern w:val="0"/>
                <w:sz w:val="24"/>
                <w:szCs w:val="24"/>
              </w:rPr>
              <w:fldChar w:fldCharType="begin"/>
            </w:r>
            <w:r>
              <w:rPr>
                <w:rFonts w:hint="eastAsia" w:ascii="宋体" w:hAnsi="宋体" w:cs="宋体"/>
                <w:kern w:val="0"/>
                <w:sz w:val="24"/>
                <w:szCs w:val="24"/>
              </w:rPr>
              <w:instrText xml:space="preserve"> eq \o\ac(○,</w:instrText>
            </w:r>
            <w:r>
              <w:rPr>
                <w:rFonts w:hint="eastAsia" w:ascii="宋体" w:hAnsi="宋体" w:cs="宋体"/>
                <w:kern w:val="0"/>
                <w:position w:val="3"/>
                <w:sz w:val="16"/>
                <w:szCs w:val="24"/>
              </w:rPr>
              <w:instrText xml:space="preserve">2</w:instrText>
            </w:r>
            <w:r>
              <w:rPr>
                <w:rFonts w:hint="eastAsia" w:ascii="宋体" w:hAnsi="宋体" w:cs="宋体"/>
                <w:kern w:val="0"/>
                <w:sz w:val="24"/>
                <w:szCs w:val="24"/>
              </w:rPr>
              <w:instrText xml:space="preserve">)</w:instrText>
            </w:r>
            <w:r>
              <w:rPr>
                <w:rFonts w:hint="eastAsia" w:ascii="宋体" w:hAnsi="宋体" w:cs="宋体"/>
                <w:kern w:val="0"/>
                <w:sz w:val="24"/>
                <w:szCs w:val="24"/>
              </w:rPr>
              <w:fldChar w:fldCharType="end"/>
            </w:r>
            <w:r>
              <w:rPr>
                <w:rFonts w:hint="eastAsia" w:ascii="宋体" w:hAnsi="宋体" w:cs="宋体"/>
                <w:sz w:val="21"/>
                <w:szCs w:val="21"/>
              </w:rPr>
              <w:t>）</w:t>
            </w:r>
          </w:p>
        </w:tc>
        <w:tc>
          <w:tcPr>
            <w:tcW w:w="3564" w:type="dxa"/>
            <w:noWrap/>
            <w:vAlign w:val="center"/>
          </w:tcPr>
          <w:p>
            <w:pPr>
              <w:spacing w:line="240" w:lineRule="exact"/>
              <w:rPr>
                <w:rFonts w:ascii="宋体" w:hAnsi="宋体" w:cs="宋体"/>
                <w:b/>
                <w:sz w:val="21"/>
                <w:szCs w:val="21"/>
              </w:rPr>
            </w:pPr>
            <w:r>
              <w:rPr>
                <w:rFonts w:hint="eastAsia" w:ascii="宋体" w:hAnsi="宋体" w:cs="宋体"/>
                <w:b/>
                <w:sz w:val="21"/>
                <w:szCs w:val="21"/>
              </w:rPr>
              <w:t>1.供应商提供书面声明（见格式文件）；</w:t>
            </w:r>
          </w:p>
          <w:p>
            <w:pPr>
              <w:spacing w:line="240" w:lineRule="exact"/>
              <w:rPr>
                <w:rFonts w:ascii="宋体" w:hAnsi="宋体" w:cs="宋体"/>
                <w:sz w:val="21"/>
                <w:szCs w:val="21"/>
              </w:rPr>
            </w:pPr>
            <w:r>
              <w:rPr>
                <w:rFonts w:hint="eastAsia" w:ascii="宋体" w:hAnsi="宋体" w:cs="宋体"/>
                <w:b/>
                <w:sz w:val="21"/>
                <w:szCs w:val="21"/>
              </w:rPr>
              <w:t>2.采购人将通过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trPr>
        <w:tc>
          <w:tcPr>
            <w:tcW w:w="676" w:type="dxa"/>
            <w:vMerge w:val="continue"/>
            <w:noWrap/>
            <w:vAlign w:val="center"/>
          </w:tcPr>
          <w:p>
            <w:pPr>
              <w:spacing w:line="240" w:lineRule="exact"/>
              <w:jc w:val="center"/>
              <w:rPr>
                <w:rFonts w:ascii="宋体" w:hAnsi="宋体" w:cs="宋体"/>
                <w:sz w:val="21"/>
                <w:szCs w:val="21"/>
              </w:rPr>
            </w:pPr>
          </w:p>
        </w:tc>
        <w:tc>
          <w:tcPr>
            <w:tcW w:w="709" w:type="dxa"/>
            <w:vMerge w:val="continue"/>
            <w:noWrap/>
            <w:vAlign w:val="center"/>
          </w:tcPr>
          <w:p>
            <w:pPr>
              <w:spacing w:line="240" w:lineRule="exact"/>
              <w:rPr>
                <w:rFonts w:ascii="宋体" w:hAnsi="宋体" w:cs="宋体"/>
                <w:sz w:val="21"/>
                <w:szCs w:val="21"/>
                <w:lang w:val="zh-CN"/>
              </w:rPr>
            </w:pPr>
          </w:p>
        </w:tc>
        <w:tc>
          <w:tcPr>
            <w:tcW w:w="4679" w:type="dxa"/>
            <w:noWrap/>
            <w:vAlign w:val="center"/>
          </w:tcPr>
          <w:p>
            <w:pPr>
              <w:spacing w:line="240" w:lineRule="exact"/>
              <w:rPr>
                <w:rFonts w:ascii="宋体" w:hAnsi="宋体" w:cs="宋体"/>
                <w:sz w:val="21"/>
                <w:szCs w:val="21"/>
              </w:rPr>
            </w:pPr>
            <w:r>
              <w:rPr>
                <w:rFonts w:hint="eastAsia" w:ascii="宋体" w:hAnsi="宋体" w:cs="宋体"/>
                <w:sz w:val="21"/>
                <w:szCs w:val="21"/>
              </w:rPr>
              <w:t>（6）法律、行政法规规定的其他条件</w:t>
            </w:r>
          </w:p>
        </w:tc>
        <w:tc>
          <w:tcPr>
            <w:tcW w:w="3564" w:type="dxa"/>
            <w:noWrap/>
            <w:vAlign w:val="center"/>
          </w:tcPr>
          <w:p>
            <w:pPr>
              <w:spacing w:line="240" w:lineRule="exact"/>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noWrap/>
            <w:vAlign w:val="center"/>
          </w:tcPr>
          <w:p>
            <w:pPr>
              <w:spacing w:line="240" w:lineRule="exact"/>
              <w:jc w:val="center"/>
              <w:rPr>
                <w:rFonts w:ascii="宋体" w:hAnsi="宋体" w:cs="宋体"/>
                <w:sz w:val="21"/>
                <w:szCs w:val="21"/>
              </w:rPr>
            </w:pPr>
            <w:r>
              <w:rPr>
                <w:rFonts w:hint="eastAsia" w:ascii="宋体" w:hAnsi="宋体" w:cs="宋体"/>
                <w:sz w:val="21"/>
                <w:szCs w:val="21"/>
              </w:rPr>
              <w:t>2</w:t>
            </w:r>
          </w:p>
        </w:tc>
        <w:tc>
          <w:tcPr>
            <w:tcW w:w="5388" w:type="dxa"/>
            <w:gridSpan w:val="2"/>
            <w:noWrap/>
            <w:vAlign w:val="center"/>
          </w:tcPr>
          <w:p>
            <w:pPr>
              <w:spacing w:line="240" w:lineRule="exact"/>
              <w:rPr>
                <w:rFonts w:ascii="宋体" w:hAnsi="宋体" w:cs="宋体"/>
                <w:sz w:val="21"/>
                <w:szCs w:val="21"/>
              </w:rPr>
            </w:pPr>
            <w:r>
              <w:rPr>
                <w:rFonts w:hint="eastAsia" w:ascii="宋体" w:hAnsi="宋体" w:cs="宋体"/>
                <w:sz w:val="21"/>
                <w:szCs w:val="21"/>
              </w:rPr>
              <w:t>特定资格条件</w:t>
            </w:r>
          </w:p>
        </w:tc>
        <w:tc>
          <w:tcPr>
            <w:tcW w:w="3564" w:type="dxa"/>
            <w:noWrap/>
            <w:vAlign w:val="center"/>
          </w:tcPr>
          <w:p>
            <w:pPr>
              <w:spacing w:line="240" w:lineRule="exact"/>
              <w:rPr>
                <w:rFonts w:ascii="宋体" w:hAnsi="宋体" w:cs="宋体"/>
                <w:sz w:val="21"/>
                <w:szCs w:val="21"/>
              </w:rPr>
            </w:pPr>
            <w:r>
              <w:rPr>
                <w:rFonts w:hint="eastAsia" w:ascii="宋体" w:hAnsi="宋体" w:cs="宋体"/>
                <w:sz w:val="21"/>
                <w:szCs w:val="21"/>
              </w:rPr>
              <w:t>按第一篇“（二）特定资格条件”的要求提交证明文件复印件</w:t>
            </w:r>
          </w:p>
        </w:tc>
      </w:tr>
    </w:tbl>
    <w:p>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t>注：</w:t>
      </w:r>
    </w:p>
    <w:p>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fldChar w:fldCharType="begin"/>
      </w:r>
      <w:r>
        <w:rPr>
          <w:rFonts w:hint="eastAsia" w:ascii="宋体" w:hAnsi="宋体" w:cs="宋体"/>
          <w:kern w:val="0"/>
          <w:sz w:val="24"/>
          <w:szCs w:val="24"/>
        </w:rPr>
        <w:instrText xml:space="preserve"> eq \o\ac(○,</w:instrText>
      </w:r>
      <w:r>
        <w:rPr>
          <w:rFonts w:hint="eastAsia" w:ascii="宋体" w:hAnsi="宋体" w:cs="宋体"/>
          <w:kern w:val="0"/>
          <w:position w:val="3"/>
          <w:sz w:val="16"/>
          <w:szCs w:val="24"/>
        </w:rPr>
        <w:instrText xml:space="preserve">1</w:instrText>
      </w:r>
      <w:r>
        <w:rPr>
          <w:rFonts w:hint="eastAsia" w:ascii="宋体" w:hAnsi="宋体" w:cs="宋体"/>
          <w:kern w:val="0"/>
          <w:sz w:val="24"/>
          <w:szCs w:val="24"/>
        </w:rPr>
        <w:instrText xml:space="preserve">)</w:instrText>
      </w:r>
      <w:r>
        <w:rPr>
          <w:rFonts w:hint="eastAsia" w:ascii="宋体" w:hAnsi="宋体" w:cs="宋体"/>
          <w:kern w:val="0"/>
          <w:sz w:val="24"/>
          <w:szCs w:val="24"/>
        </w:rPr>
        <w:fldChar w:fldCharType="end"/>
      </w:r>
      <w:r>
        <w:rPr>
          <w:rFonts w:hint="eastAsia" w:ascii="宋体" w:hAnsi="宋体" w:cs="宋体"/>
          <w:kern w:val="0"/>
          <w:sz w:val="24"/>
          <w:szCs w:val="24"/>
        </w:rPr>
        <w:t>供应商按“多证合一”登记制度办理营业执照的，税务登记证（副本）和社会保险登记证以供应商所提供的营业执照（副本）复印件为准。</w:t>
      </w:r>
    </w:p>
    <w:p>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fldChar w:fldCharType="begin"/>
      </w:r>
      <w:r>
        <w:rPr>
          <w:rFonts w:hint="eastAsia" w:ascii="宋体" w:hAnsi="宋体" w:cs="宋体"/>
          <w:kern w:val="0"/>
          <w:sz w:val="24"/>
          <w:szCs w:val="24"/>
        </w:rPr>
        <w:instrText xml:space="preserve"> eq \o\ac(○,</w:instrText>
      </w:r>
      <w:r>
        <w:rPr>
          <w:rFonts w:hint="eastAsia" w:ascii="宋体" w:hAnsi="宋体" w:cs="宋体"/>
          <w:kern w:val="0"/>
          <w:position w:val="3"/>
          <w:sz w:val="16"/>
          <w:szCs w:val="24"/>
        </w:rPr>
        <w:instrText xml:space="preserve">2</w:instrText>
      </w:r>
      <w:r>
        <w:rPr>
          <w:rFonts w:hint="eastAsia" w:ascii="宋体" w:hAnsi="宋体" w:cs="宋体"/>
          <w:kern w:val="0"/>
          <w:sz w:val="24"/>
          <w:szCs w:val="24"/>
        </w:rPr>
        <w:instrText xml:space="preserve">)</w:instrText>
      </w:r>
      <w:r>
        <w:rPr>
          <w:rFonts w:hint="eastAsia" w:ascii="宋体" w:hAnsi="宋体" w:cs="宋体"/>
          <w:kern w:val="0"/>
          <w:sz w:val="24"/>
          <w:szCs w:val="24"/>
        </w:rPr>
        <w:fldChar w:fldCharType="end"/>
      </w:r>
      <w:r>
        <w:rPr>
          <w:rFonts w:hint="eastAsia" w:ascii="宋体" w:hAnsi="宋体" w:cs="宋体"/>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执行人所在的省、自治区、直辖市人民政府制定，国务院有关部门规定了较大数额标准的，从其规定。</w:t>
      </w:r>
    </w:p>
    <w:p>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t>2.符合性检查。依据竞争性磋商文件的规定，从响应文件的有效性、完整性和对竞争性磋商文件的响应程度进行审查，以确定是否对竞争性磋商文件的实质性要求作出响应。符合性检查资料表如下：</w:t>
      </w:r>
    </w:p>
    <w:tbl>
      <w:tblPr>
        <w:tblStyle w:val="1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675" w:type="dxa"/>
            <w:noWrap/>
            <w:vAlign w:val="center"/>
          </w:tcPr>
          <w:p>
            <w:pPr>
              <w:spacing w:line="240" w:lineRule="exact"/>
              <w:jc w:val="center"/>
              <w:rPr>
                <w:rFonts w:ascii="宋体" w:hAnsi="宋体" w:cs="宋体"/>
                <w:b/>
                <w:kern w:val="0"/>
                <w:sz w:val="21"/>
                <w:szCs w:val="21"/>
              </w:rPr>
            </w:pPr>
            <w:r>
              <w:rPr>
                <w:rFonts w:hint="eastAsia" w:ascii="宋体" w:hAnsi="宋体" w:cs="宋体"/>
                <w:b/>
                <w:kern w:val="0"/>
                <w:sz w:val="21"/>
                <w:szCs w:val="21"/>
              </w:rPr>
              <w:t>序号</w:t>
            </w:r>
          </w:p>
        </w:tc>
        <w:tc>
          <w:tcPr>
            <w:tcW w:w="3544" w:type="dxa"/>
            <w:gridSpan w:val="2"/>
            <w:noWrap/>
            <w:vAlign w:val="center"/>
          </w:tcPr>
          <w:p>
            <w:pPr>
              <w:spacing w:line="240" w:lineRule="exact"/>
              <w:jc w:val="center"/>
              <w:rPr>
                <w:rFonts w:ascii="宋体" w:hAnsi="宋体" w:cs="宋体"/>
                <w:b/>
                <w:kern w:val="0"/>
                <w:sz w:val="21"/>
                <w:szCs w:val="21"/>
              </w:rPr>
            </w:pPr>
            <w:r>
              <w:rPr>
                <w:rFonts w:hint="eastAsia" w:ascii="宋体" w:hAnsi="宋体" w:cs="宋体"/>
                <w:b/>
                <w:kern w:val="0"/>
                <w:sz w:val="21"/>
                <w:szCs w:val="21"/>
              </w:rPr>
              <w:t>评审因素</w:t>
            </w:r>
          </w:p>
        </w:tc>
        <w:tc>
          <w:tcPr>
            <w:tcW w:w="5409" w:type="dxa"/>
            <w:noWrap/>
            <w:vAlign w:val="center"/>
          </w:tcPr>
          <w:p>
            <w:pPr>
              <w:spacing w:line="240" w:lineRule="exact"/>
              <w:jc w:val="center"/>
              <w:rPr>
                <w:rFonts w:ascii="宋体" w:hAnsi="宋体" w:cs="宋体"/>
                <w:b/>
                <w:kern w:val="0"/>
                <w:sz w:val="21"/>
                <w:szCs w:val="21"/>
              </w:rPr>
            </w:pPr>
            <w:r>
              <w:rPr>
                <w:rFonts w:hint="eastAsia" w:ascii="宋体" w:hAnsi="宋体" w:cs="宋体"/>
                <w:b/>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rPr>
        <w:tc>
          <w:tcPr>
            <w:tcW w:w="675" w:type="dxa"/>
            <w:vMerge w:val="restart"/>
            <w:noWrap/>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1</w:t>
            </w:r>
          </w:p>
        </w:tc>
        <w:tc>
          <w:tcPr>
            <w:tcW w:w="1560" w:type="dxa"/>
            <w:vMerge w:val="restart"/>
            <w:noWrap/>
            <w:vAlign w:val="center"/>
          </w:tcPr>
          <w:p>
            <w:pPr>
              <w:spacing w:line="240" w:lineRule="exact"/>
              <w:rPr>
                <w:rFonts w:ascii="宋体" w:hAnsi="宋体" w:cs="宋体"/>
                <w:kern w:val="0"/>
                <w:sz w:val="21"/>
                <w:szCs w:val="21"/>
              </w:rPr>
            </w:pPr>
            <w:r>
              <w:rPr>
                <w:rFonts w:hint="eastAsia" w:ascii="宋体" w:hAnsi="宋体" w:cs="宋体"/>
                <w:kern w:val="0"/>
                <w:sz w:val="21"/>
                <w:szCs w:val="21"/>
              </w:rPr>
              <w:t>有效性审查</w:t>
            </w:r>
          </w:p>
        </w:tc>
        <w:tc>
          <w:tcPr>
            <w:tcW w:w="1984" w:type="dxa"/>
            <w:noWrap/>
            <w:vAlign w:val="center"/>
          </w:tcPr>
          <w:p>
            <w:pPr>
              <w:spacing w:line="240" w:lineRule="exact"/>
              <w:rPr>
                <w:rFonts w:ascii="宋体" w:hAnsi="宋体" w:cs="宋体"/>
                <w:kern w:val="0"/>
                <w:sz w:val="21"/>
                <w:szCs w:val="21"/>
              </w:rPr>
            </w:pPr>
            <w:r>
              <w:rPr>
                <w:rFonts w:hint="eastAsia" w:ascii="宋体" w:hAnsi="宋体" w:cs="宋体"/>
                <w:sz w:val="21"/>
                <w:szCs w:val="21"/>
              </w:rPr>
              <w:t>响应文件签署</w:t>
            </w:r>
          </w:p>
        </w:tc>
        <w:tc>
          <w:tcPr>
            <w:tcW w:w="5409" w:type="dxa"/>
            <w:noWrap/>
            <w:vAlign w:val="center"/>
          </w:tcPr>
          <w:p>
            <w:pPr>
              <w:spacing w:line="240" w:lineRule="exact"/>
              <w:rPr>
                <w:rFonts w:ascii="宋体" w:hAnsi="宋体" w:cs="宋体"/>
                <w:kern w:val="0"/>
                <w:sz w:val="21"/>
                <w:szCs w:val="21"/>
              </w:rPr>
            </w:pPr>
            <w:r>
              <w:rPr>
                <w:rFonts w:hint="eastAsia" w:ascii="宋体" w:hAnsi="宋体" w:cs="宋体"/>
                <w:sz w:val="21"/>
                <w:szCs w:val="21"/>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675" w:type="dxa"/>
            <w:vMerge w:val="continue"/>
            <w:noWrap/>
            <w:vAlign w:val="center"/>
          </w:tcPr>
          <w:p>
            <w:pPr>
              <w:spacing w:line="240" w:lineRule="exact"/>
              <w:jc w:val="center"/>
              <w:rPr>
                <w:rFonts w:ascii="宋体" w:hAnsi="宋体" w:cs="宋体"/>
                <w:kern w:val="0"/>
                <w:sz w:val="21"/>
                <w:szCs w:val="21"/>
              </w:rPr>
            </w:pPr>
          </w:p>
        </w:tc>
        <w:tc>
          <w:tcPr>
            <w:tcW w:w="1560" w:type="dxa"/>
            <w:vMerge w:val="continue"/>
            <w:noWrap/>
            <w:vAlign w:val="center"/>
          </w:tcPr>
          <w:p>
            <w:pPr>
              <w:spacing w:line="240" w:lineRule="exact"/>
              <w:rPr>
                <w:rFonts w:ascii="宋体" w:hAnsi="宋体" w:cs="宋体"/>
                <w:kern w:val="0"/>
                <w:sz w:val="21"/>
                <w:szCs w:val="21"/>
              </w:rPr>
            </w:pPr>
          </w:p>
        </w:tc>
        <w:tc>
          <w:tcPr>
            <w:tcW w:w="1984" w:type="dxa"/>
            <w:noWrap/>
            <w:vAlign w:val="center"/>
          </w:tcPr>
          <w:p>
            <w:pPr>
              <w:spacing w:line="240" w:lineRule="exact"/>
              <w:rPr>
                <w:rFonts w:ascii="宋体" w:hAnsi="宋体" w:cs="宋体"/>
                <w:sz w:val="21"/>
                <w:szCs w:val="21"/>
              </w:rPr>
            </w:pPr>
            <w:r>
              <w:rPr>
                <w:rFonts w:hint="eastAsia" w:ascii="宋体" w:hAnsi="宋体" w:cs="宋体"/>
                <w:sz w:val="21"/>
                <w:szCs w:val="21"/>
              </w:rPr>
              <w:t>法定代表人身份证明及授权委托书</w:t>
            </w:r>
          </w:p>
        </w:tc>
        <w:tc>
          <w:tcPr>
            <w:tcW w:w="5409" w:type="dxa"/>
            <w:noWrap/>
            <w:vAlign w:val="center"/>
          </w:tcPr>
          <w:p>
            <w:pPr>
              <w:spacing w:line="240" w:lineRule="exact"/>
              <w:rPr>
                <w:rFonts w:ascii="宋体" w:hAnsi="宋体" w:cs="宋体"/>
                <w:sz w:val="21"/>
                <w:szCs w:val="21"/>
              </w:rPr>
            </w:pPr>
            <w:r>
              <w:rPr>
                <w:rFonts w:hint="eastAsia" w:ascii="宋体" w:hAnsi="宋体" w:cs="宋体"/>
                <w:sz w:val="21"/>
                <w:szCs w:val="21"/>
              </w:rPr>
              <w:t>法定代表人身份证明及授权委托书有效，符合竞争性磋商文件规定的格式，签字或盖章齐全。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675" w:type="dxa"/>
            <w:vMerge w:val="continue"/>
            <w:noWrap/>
            <w:vAlign w:val="center"/>
          </w:tcPr>
          <w:p>
            <w:pPr>
              <w:spacing w:line="240" w:lineRule="exact"/>
              <w:jc w:val="center"/>
              <w:rPr>
                <w:rFonts w:ascii="宋体" w:hAnsi="宋体" w:cs="宋体"/>
                <w:kern w:val="0"/>
                <w:sz w:val="21"/>
                <w:szCs w:val="21"/>
              </w:rPr>
            </w:pPr>
          </w:p>
        </w:tc>
        <w:tc>
          <w:tcPr>
            <w:tcW w:w="1560" w:type="dxa"/>
            <w:vMerge w:val="continue"/>
            <w:noWrap/>
            <w:vAlign w:val="center"/>
          </w:tcPr>
          <w:p>
            <w:pPr>
              <w:spacing w:line="240" w:lineRule="exact"/>
              <w:rPr>
                <w:rFonts w:ascii="宋体" w:hAnsi="宋体" w:cs="宋体"/>
                <w:kern w:val="0"/>
                <w:sz w:val="21"/>
                <w:szCs w:val="21"/>
              </w:rPr>
            </w:pPr>
          </w:p>
        </w:tc>
        <w:tc>
          <w:tcPr>
            <w:tcW w:w="1984" w:type="dxa"/>
            <w:noWrap/>
            <w:vAlign w:val="center"/>
          </w:tcPr>
          <w:p>
            <w:pPr>
              <w:spacing w:line="240" w:lineRule="exact"/>
              <w:rPr>
                <w:rFonts w:ascii="宋体" w:hAnsi="宋体" w:cs="宋体"/>
                <w:sz w:val="21"/>
                <w:szCs w:val="21"/>
                <w:lang w:val="zh-CN"/>
              </w:rPr>
            </w:pPr>
            <w:r>
              <w:rPr>
                <w:rFonts w:hint="eastAsia" w:ascii="宋体" w:hAnsi="宋体" w:cs="宋体"/>
                <w:sz w:val="21"/>
                <w:szCs w:val="21"/>
              </w:rPr>
              <w:t>响应</w:t>
            </w:r>
            <w:r>
              <w:rPr>
                <w:rFonts w:hint="eastAsia" w:ascii="宋体" w:hAnsi="宋体" w:cs="宋体"/>
                <w:sz w:val="21"/>
                <w:szCs w:val="21"/>
                <w:lang w:val="zh-CN"/>
              </w:rPr>
              <w:t>方案</w:t>
            </w:r>
          </w:p>
        </w:tc>
        <w:tc>
          <w:tcPr>
            <w:tcW w:w="5409" w:type="dxa"/>
            <w:noWrap/>
            <w:vAlign w:val="center"/>
          </w:tcPr>
          <w:p>
            <w:pPr>
              <w:spacing w:line="240" w:lineRule="exact"/>
              <w:rPr>
                <w:rFonts w:ascii="宋体" w:hAnsi="宋体" w:cs="宋体"/>
                <w:kern w:val="0"/>
                <w:sz w:val="21"/>
                <w:szCs w:val="21"/>
              </w:rPr>
            </w:pPr>
            <w:r>
              <w:rPr>
                <w:rFonts w:hint="eastAsia" w:ascii="宋体" w:hAnsi="宋体" w:cs="宋体"/>
                <w:sz w:val="21"/>
                <w:szCs w:val="21"/>
                <w:lang w:val="zh-CN"/>
              </w:rPr>
              <w:t>每个分包只能有一个</w:t>
            </w:r>
            <w:r>
              <w:rPr>
                <w:rFonts w:hint="eastAsia" w:ascii="宋体" w:hAnsi="宋体" w:cs="宋体"/>
                <w:sz w:val="21"/>
                <w:szCs w:val="21"/>
              </w:rPr>
              <w:t>响应</w:t>
            </w:r>
            <w:r>
              <w:rPr>
                <w:rFonts w:hint="eastAsia" w:ascii="宋体" w:hAnsi="宋体" w:cs="宋体"/>
                <w:sz w:val="21"/>
                <w:szCs w:val="21"/>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675" w:type="dxa"/>
            <w:vMerge w:val="continue"/>
            <w:noWrap/>
            <w:vAlign w:val="center"/>
          </w:tcPr>
          <w:p>
            <w:pPr>
              <w:spacing w:line="240" w:lineRule="exact"/>
              <w:jc w:val="center"/>
              <w:rPr>
                <w:rFonts w:ascii="宋体" w:hAnsi="宋体" w:cs="宋体"/>
                <w:kern w:val="0"/>
                <w:sz w:val="21"/>
                <w:szCs w:val="21"/>
              </w:rPr>
            </w:pPr>
          </w:p>
        </w:tc>
        <w:tc>
          <w:tcPr>
            <w:tcW w:w="1560" w:type="dxa"/>
            <w:vMerge w:val="continue"/>
            <w:noWrap/>
            <w:vAlign w:val="center"/>
          </w:tcPr>
          <w:p>
            <w:pPr>
              <w:spacing w:line="240" w:lineRule="exact"/>
              <w:rPr>
                <w:rFonts w:ascii="宋体" w:hAnsi="宋体" w:cs="宋体"/>
                <w:kern w:val="0"/>
                <w:sz w:val="21"/>
                <w:szCs w:val="21"/>
              </w:rPr>
            </w:pPr>
          </w:p>
        </w:tc>
        <w:tc>
          <w:tcPr>
            <w:tcW w:w="1984" w:type="dxa"/>
            <w:noWrap/>
            <w:vAlign w:val="center"/>
          </w:tcPr>
          <w:p>
            <w:pPr>
              <w:spacing w:line="240" w:lineRule="exact"/>
              <w:rPr>
                <w:rFonts w:ascii="宋体" w:hAnsi="宋体" w:cs="宋体"/>
                <w:sz w:val="21"/>
                <w:szCs w:val="21"/>
                <w:lang w:val="zh-CN"/>
              </w:rPr>
            </w:pPr>
            <w:r>
              <w:rPr>
                <w:rFonts w:hint="eastAsia" w:ascii="宋体" w:hAnsi="宋体" w:cs="宋体"/>
                <w:sz w:val="21"/>
                <w:szCs w:val="21"/>
              </w:rPr>
              <w:t>报价唯一</w:t>
            </w:r>
          </w:p>
        </w:tc>
        <w:tc>
          <w:tcPr>
            <w:tcW w:w="5409" w:type="dxa"/>
            <w:noWrap/>
            <w:vAlign w:val="center"/>
          </w:tcPr>
          <w:p>
            <w:pPr>
              <w:spacing w:line="240" w:lineRule="exact"/>
              <w:rPr>
                <w:rFonts w:ascii="宋体" w:hAnsi="宋体" w:cs="宋体"/>
                <w:kern w:val="0"/>
                <w:sz w:val="21"/>
                <w:szCs w:val="21"/>
              </w:rPr>
            </w:pPr>
            <w:r>
              <w:rPr>
                <w:rFonts w:hint="eastAsia" w:ascii="宋体" w:hAnsi="宋体" w:cs="宋体"/>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trPr>
        <w:tc>
          <w:tcPr>
            <w:tcW w:w="675" w:type="dxa"/>
            <w:noWrap/>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2</w:t>
            </w:r>
          </w:p>
        </w:tc>
        <w:tc>
          <w:tcPr>
            <w:tcW w:w="1560" w:type="dxa"/>
            <w:noWrap/>
            <w:vAlign w:val="center"/>
          </w:tcPr>
          <w:p>
            <w:pPr>
              <w:spacing w:line="240" w:lineRule="exact"/>
              <w:rPr>
                <w:rFonts w:ascii="宋体" w:hAnsi="宋体" w:cs="宋体"/>
                <w:kern w:val="0"/>
                <w:sz w:val="21"/>
                <w:szCs w:val="21"/>
              </w:rPr>
            </w:pPr>
            <w:r>
              <w:rPr>
                <w:rFonts w:hint="eastAsia" w:ascii="宋体" w:hAnsi="宋体" w:cs="宋体"/>
                <w:kern w:val="0"/>
                <w:sz w:val="21"/>
                <w:szCs w:val="21"/>
              </w:rPr>
              <w:t>完整性审查</w:t>
            </w:r>
          </w:p>
        </w:tc>
        <w:tc>
          <w:tcPr>
            <w:tcW w:w="1984" w:type="dxa"/>
            <w:noWrap/>
            <w:vAlign w:val="center"/>
          </w:tcPr>
          <w:p>
            <w:pPr>
              <w:spacing w:line="240" w:lineRule="exact"/>
              <w:rPr>
                <w:rFonts w:ascii="宋体" w:hAnsi="宋体" w:cs="宋体"/>
                <w:kern w:val="0"/>
                <w:sz w:val="21"/>
                <w:szCs w:val="21"/>
              </w:rPr>
            </w:pPr>
            <w:r>
              <w:rPr>
                <w:rFonts w:hint="eastAsia" w:ascii="宋体" w:hAnsi="宋体" w:cs="宋体"/>
                <w:sz w:val="21"/>
                <w:szCs w:val="21"/>
              </w:rPr>
              <w:t>响应</w:t>
            </w:r>
            <w:r>
              <w:rPr>
                <w:rFonts w:hint="eastAsia" w:ascii="宋体" w:hAnsi="宋体" w:cs="宋体"/>
                <w:sz w:val="21"/>
                <w:szCs w:val="21"/>
                <w:lang w:val="zh-CN"/>
              </w:rPr>
              <w:t>文件份数</w:t>
            </w:r>
          </w:p>
        </w:tc>
        <w:tc>
          <w:tcPr>
            <w:tcW w:w="5409" w:type="dxa"/>
            <w:noWrap/>
            <w:vAlign w:val="center"/>
          </w:tcPr>
          <w:p>
            <w:pPr>
              <w:spacing w:line="240" w:lineRule="exact"/>
              <w:rPr>
                <w:rFonts w:ascii="宋体" w:hAnsi="宋体" w:cs="宋体"/>
                <w:kern w:val="0"/>
                <w:sz w:val="21"/>
                <w:szCs w:val="21"/>
              </w:rPr>
            </w:pPr>
            <w:r>
              <w:rPr>
                <w:rFonts w:hint="eastAsia" w:ascii="宋体" w:hAnsi="宋体" w:cs="宋体"/>
                <w:sz w:val="21"/>
                <w:szCs w:val="21"/>
              </w:rPr>
              <w:t>响应</w:t>
            </w:r>
            <w:r>
              <w:rPr>
                <w:rFonts w:hint="eastAsia" w:ascii="宋体" w:hAnsi="宋体" w:cs="宋体"/>
                <w:sz w:val="21"/>
                <w:szCs w:val="21"/>
                <w:lang w:val="zh-CN"/>
              </w:rPr>
              <w:t>文件正、副本数量（含电子文档）符合</w:t>
            </w:r>
            <w:r>
              <w:rPr>
                <w:rFonts w:hint="eastAsia" w:ascii="宋体" w:hAnsi="宋体" w:cs="宋体"/>
                <w:sz w:val="21"/>
                <w:szCs w:val="21"/>
              </w:rPr>
              <w:t>竞争性磋商</w:t>
            </w:r>
            <w:r>
              <w:rPr>
                <w:rFonts w:hint="eastAsia" w:ascii="宋体" w:hAnsi="宋体" w:cs="宋体"/>
                <w:sz w:val="21"/>
                <w:szCs w:val="21"/>
                <w:lang w:val="zh-CN"/>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675" w:type="dxa"/>
            <w:vMerge w:val="restart"/>
            <w:noWrap/>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3</w:t>
            </w:r>
          </w:p>
        </w:tc>
        <w:tc>
          <w:tcPr>
            <w:tcW w:w="1560" w:type="dxa"/>
            <w:vMerge w:val="restart"/>
            <w:noWrap/>
            <w:vAlign w:val="center"/>
          </w:tcPr>
          <w:p>
            <w:pPr>
              <w:spacing w:line="240" w:lineRule="exact"/>
              <w:rPr>
                <w:rFonts w:ascii="宋体" w:hAnsi="宋体" w:cs="宋体"/>
                <w:sz w:val="21"/>
                <w:szCs w:val="21"/>
                <w:lang w:val="zh-CN"/>
              </w:rPr>
            </w:pPr>
            <w:r>
              <w:rPr>
                <w:rFonts w:hint="eastAsia" w:ascii="宋体" w:hAnsi="宋体" w:cs="宋体"/>
                <w:kern w:val="0"/>
                <w:sz w:val="21"/>
                <w:szCs w:val="21"/>
              </w:rPr>
              <w:t>竞争性磋商文件的响应程度审查</w:t>
            </w:r>
          </w:p>
        </w:tc>
        <w:tc>
          <w:tcPr>
            <w:tcW w:w="1984" w:type="dxa"/>
            <w:noWrap/>
            <w:vAlign w:val="center"/>
          </w:tcPr>
          <w:p>
            <w:pPr>
              <w:spacing w:line="240" w:lineRule="exact"/>
              <w:rPr>
                <w:rFonts w:ascii="宋体" w:hAnsi="宋体" w:cs="宋体"/>
                <w:kern w:val="0"/>
                <w:sz w:val="21"/>
                <w:szCs w:val="21"/>
              </w:rPr>
            </w:pPr>
            <w:r>
              <w:rPr>
                <w:rFonts w:hint="eastAsia" w:ascii="宋体" w:hAnsi="宋体" w:cs="宋体"/>
                <w:kern w:val="0"/>
                <w:sz w:val="21"/>
                <w:szCs w:val="21"/>
              </w:rPr>
              <w:t>响应文件内容</w:t>
            </w:r>
          </w:p>
        </w:tc>
        <w:tc>
          <w:tcPr>
            <w:tcW w:w="5409" w:type="dxa"/>
            <w:noWrap/>
            <w:vAlign w:val="center"/>
          </w:tcPr>
          <w:p>
            <w:pPr>
              <w:pStyle w:val="7"/>
              <w:spacing w:line="240" w:lineRule="exact"/>
              <w:rPr>
                <w:rFonts w:ascii="宋体" w:hAnsi="宋体" w:cs="宋体"/>
                <w:kern w:val="0"/>
                <w:sz w:val="21"/>
                <w:szCs w:val="21"/>
              </w:rPr>
            </w:pPr>
            <w:r>
              <w:rPr>
                <w:rFonts w:hint="eastAsia" w:ascii="宋体" w:hAnsi="宋体" w:cs="宋体"/>
                <w:kern w:val="0"/>
                <w:sz w:val="21"/>
                <w:szCs w:val="21"/>
              </w:rPr>
              <w:t>对竞争性磋商文件第二篇规定的磋商内容作出响应。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675" w:type="dxa"/>
            <w:vMerge w:val="continue"/>
            <w:noWrap/>
            <w:vAlign w:val="center"/>
          </w:tcPr>
          <w:p>
            <w:pPr>
              <w:spacing w:line="240" w:lineRule="exact"/>
              <w:jc w:val="center"/>
              <w:rPr>
                <w:rFonts w:ascii="宋体" w:hAnsi="宋体" w:cs="宋体"/>
                <w:kern w:val="0"/>
                <w:sz w:val="21"/>
                <w:szCs w:val="21"/>
              </w:rPr>
            </w:pPr>
          </w:p>
        </w:tc>
        <w:tc>
          <w:tcPr>
            <w:tcW w:w="1560" w:type="dxa"/>
            <w:vMerge w:val="continue"/>
            <w:noWrap/>
            <w:vAlign w:val="center"/>
          </w:tcPr>
          <w:p>
            <w:pPr>
              <w:spacing w:line="240" w:lineRule="exact"/>
              <w:rPr>
                <w:rFonts w:ascii="宋体" w:hAnsi="宋体" w:cs="宋体"/>
                <w:sz w:val="21"/>
                <w:szCs w:val="21"/>
                <w:lang w:val="zh-CN"/>
              </w:rPr>
            </w:pPr>
          </w:p>
        </w:tc>
        <w:tc>
          <w:tcPr>
            <w:tcW w:w="1984" w:type="dxa"/>
            <w:noWrap/>
            <w:vAlign w:val="center"/>
          </w:tcPr>
          <w:p>
            <w:pPr>
              <w:spacing w:line="240" w:lineRule="exact"/>
              <w:rPr>
                <w:rFonts w:ascii="宋体" w:hAnsi="宋体" w:cs="宋体"/>
                <w:kern w:val="0"/>
                <w:sz w:val="21"/>
                <w:szCs w:val="21"/>
              </w:rPr>
            </w:pPr>
            <w:r>
              <w:rPr>
                <w:rFonts w:hint="eastAsia" w:ascii="宋体" w:hAnsi="宋体" w:cs="宋体"/>
                <w:kern w:val="0"/>
                <w:sz w:val="21"/>
                <w:szCs w:val="21"/>
              </w:rPr>
              <w:t>磋商有效期</w:t>
            </w:r>
          </w:p>
        </w:tc>
        <w:tc>
          <w:tcPr>
            <w:tcW w:w="5409" w:type="dxa"/>
            <w:noWrap/>
            <w:vAlign w:val="center"/>
          </w:tcPr>
          <w:p>
            <w:pPr>
              <w:spacing w:line="240" w:lineRule="exact"/>
              <w:rPr>
                <w:rFonts w:ascii="宋体" w:hAnsi="宋体" w:cs="宋体"/>
                <w:kern w:val="0"/>
                <w:sz w:val="21"/>
                <w:szCs w:val="21"/>
              </w:rPr>
            </w:pPr>
            <w:r>
              <w:rPr>
                <w:rFonts w:hint="eastAsia" w:ascii="宋体" w:hAnsi="宋体" w:cs="宋体"/>
                <w:kern w:val="0"/>
                <w:sz w:val="21"/>
                <w:szCs w:val="21"/>
              </w:rPr>
              <w:t>满足磋商文件</w:t>
            </w:r>
            <w:r>
              <w:rPr>
                <w:rFonts w:hint="eastAsia" w:ascii="宋体" w:hAnsi="宋体" w:cs="宋体"/>
                <w:sz w:val="21"/>
                <w:szCs w:val="21"/>
                <w:lang w:val="zh-CN"/>
              </w:rPr>
              <w:t>规定。</w:t>
            </w:r>
          </w:p>
        </w:tc>
      </w:tr>
    </w:tbl>
    <w:p>
      <w:pPr>
        <w:spacing w:line="400" w:lineRule="exact"/>
        <w:ind w:firstLine="480" w:firstLineChars="200"/>
        <w:rPr>
          <w:rFonts w:ascii="宋体" w:hAnsi="宋体" w:cs="宋体"/>
          <w:sz w:val="24"/>
          <w:szCs w:val="24"/>
        </w:rPr>
      </w:pPr>
      <w:r>
        <w:rPr>
          <w:rFonts w:hint="eastAsia" w:ascii="宋体" w:hAnsi="宋体" w:cs="宋体"/>
          <w:sz w:val="24"/>
          <w:szCs w:val="24"/>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0" w:lineRule="exact"/>
        <w:ind w:firstLine="480" w:firstLineChars="200"/>
        <w:rPr>
          <w:rFonts w:ascii="宋体" w:hAnsi="宋体" w:cs="宋体"/>
          <w:sz w:val="24"/>
          <w:szCs w:val="24"/>
        </w:rPr>
      </w:pPr>
      <w:r>
        <w:rPr>
          <w:rFonts w:hint="eastAsia" w:ascii="宋体" w:hAnsi="宋体" w:cs="宋体"/>
          <w:sz w:val="24"/>
          <w:szCs w:val="24"/>
        </w:rPr>
        <w:t>（四）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400" w:lineRule="exact"/>
        <w:ind w:firstLine="480" w:firstLineChars="200"/>
        <w:rPr>
          <w:rFonts w:ascii="宋体" w:hAnsi="宋体" w:cs="宋体"/>
          <w:sz w:val="24"/>
          <w:szCs w:val="24"/>
        </w:rPr>
      </w:pPr>
      <w:r>
        <w:rPr>
          <w:rFonts w:hint="eastAsia" w:ascii="宋体" w:hAnsi="宋体" w:cs="宋体"/>
          <w:sz w:val="24"/>
          <w:szCs w:val="24"/>
        </w:rPr>
        <w:t>（五）在磋商过程中磋商的任何一方不得向他人透露与磋商有关的服务资料、价格或其他信息。</w:t>
      </w:r>
    </w:p>
    <w:p>
      <w:pPr>
        <w:spacing w:line="400" w:lineRule="exact"/>
        <w:ind w:firstLine="480" w:firstLineChars="200"/>
        <w:rPr>
          <w:rFonts w:ascii="宋体" w:hAnsi="宋体" w:cs="宋体"/>
          <w:sz w:val="24"/>
          <w:szCs w:val="24"/>
        </w:rPr>
      </w:pPr>
      <w:r>
        <w:rPr>
          <w:rFonts w:hint="eastAsia" w:ascii="宋体" w:hAnsi="宋体" w:cs="宋体"/>
          <w:sz w:val="24"/>
          <w:szCs w:val="24"/>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pPr>
        <w:spacing w:line="400" w:lineRule="exact"/>
        <w:ind w:firstLine="480" w:firstLineChars="200"/>
        <w:rPr>
          <w:rFonts w:ascii="宋体" w:hAnsi="宋体" w:cs="宋体"/>
          <w:sz w:val="24"/>
          <w:szCs w:val="24"/>
        </w:rPr>
      </w:pPr>
      <w:r>
        <w:rPr>
          <w:rFonts w:hint="eastAsia" w:ascii="宋体" w:hAnsi="宋体" w:cs="宋体"/>
          <w:sz w:val="24"/>
          <w:szCs w:val="24"/>
        </w:rPr>
        <w:t>（七）供应商在磋商时作出的所有书面承诺须由法定代表人或其授权代表签字。</w:t>
      </w:r>
    </w:p>
    <w:p>
      <w:pPr>
        <w:spacing w:line="400" w:lineRule="exact"/>
        <w:ind w:firstLine="480" w:firstLineChars="200"/>
        <w:rPr>
          <w:rFonts w:ascii="宋体" w:hAnsi="宋体" w:cs="宋体"/>
          <w:sz w:val="24"/>
          <w:szCs w:val="24"/>
        </w:rPr>
      </w:pPr>
      <w:r>
        <w:rPr>
          <w:rFonts w:hint="eastAsia" w:ascii="宋体" w:hAnsi="宋体" w:cs="宋体"/>
          <w:sz w:val="24"/>
          <w:szCs w:val="24"/>
        </w:rPr>
        <w:t>（八）经磋商确定最终采购需求且磋商结束后，供应商应当按照竞争性磋商文件的变动情况和磋商小组的要求重新提交响应文件或重新做出相关的书面承诺，最后书面提交最后报价及有关承诺（填写《最后报价表》并密封提交）。已提交响应文件但未在规定时间内进行最后报价的供应商，视为放弃最后报价，以供应商响应文件中的报价为准。若最后报价高于响应文件报价的或被认定为无效竞标的，价格部分按零分处理，且不能成为成交候选人。</w:t>
      </w:r>
    </w:p>
    <w:p>
      <w:pPr>
        <w:spacing w:line="400" w:lineRule="exact"/>
        <w:ind w:firstLine="480" w:firstLineChars="200"/>
        <w:rPr>
          <w:rFonts w:ascii="宋体" w:hAnsi="宋体" w:cs="宋体"/>
          <w:sz w:val="24"/>
          <w:szCs w:val="24"/>
        </w:rPr>
      </w:pPr>
      <w:r>
        <w:rPr>
          <w:rFonts w:hint="eastAsia" w:ascii="宋体" w:hAnsi="宋体" w:cs="宋体"/>
          <w:sz w:val="24"/>
          <w:szCs w:val="24"/>
        </w:rPr>
        <w:t>（九）磋商小组采用综合评分法对提交最后报价的供应商的响应文件和最后报价（含有效书面承诺）进行综合评分。</w:t>
      </w:r>
      <w:r>
        <w:rPr>
          <w:rFonts w:hint="eastAsia" w:ascii="宋体" w:hAnsi="宋体" w:cs="宋体"/>
          <w:kern w:val="0"/>
          <w:sz w:val="24"/>
          <w:szCs w:val="24"/>
        </w:rPr>
        <w:t>综合评分法，是指响应文件满足竞争性磋商文件全部实质性要求且按照评审因素的量化指标评审得分最高的供应商为成交候选供应商的评审方法。供应商总得分为价格、服务、商务等评定因素分别按照相应权重值计算分项得分后相加，满分为105分，其中：5分为政策性加分</w:t>
      </w:r>
      <w:r>
        <w:rPr>
          <w:rFonts w:hint="eastAsia" w:ascii="宋体" w:hAnsi="宋体" w:cs="宋体"/>
          <w:sz w:val="24"/>
          <w:szCs w:val="24"/>
        </w:rPr>
        <w:t>。（详见评审标准）。</w:t>
      </w:r>
    </w:p>
    <w:p>
      <w:pPr>
        <w:spacing w:line="400" w:lineRule="exact"/>
        <w:ind w:firstLine="480" w:firstLineChars="200"/>
        <w:rPr>
          <w:rFonts w:ascii="宋体" w:hAnsi="宋体" w:cs="宋体"/>
          <w:sz w:val="24"/>
          <w:szCs w:val="24"/>
        </w:rPr>
      </w:pPr>
      <w:r>
        <w:rPr>
          <w:rFonts w:hint="eastAsia" w:ascii="宋体" w:hAnsi="宋体" w:cs="宋体"/>
          <w:sz w:val="24"/>
          <w:szCs w:val="24"/>
        </w:rPr>
        <w:t>（十）磋商小组各成员独立对每个有效响应（通过资格性检查、</w:t>
      </w:r>
      <w:r>
        <w:rPr>
          <w:rFonts w:hint="eastAsia" w:ascii="宋体" w:hAnsi="宋体" w:cs="宋体"/>
          <w:kern w:val="0"/>
          <w:sz w:val="24"/>
          <w:szCs w:val="24"/>
        </w:rPr>
        <w:t>符合性检查的供应商</w:t>
      </w:r>
      <w:r>
        <w:rPr>
          <w:rFonts w:hint="eastAsia" w:ascii="宋体" w:hAnsi="宋体" w:cs="宋体"/>
          <w:sz w:val="24"/>
          <w:szCs w:val="24"/>
        </w:rPr>
        <w:t>）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若供应商的服务部分为0分，将失去成为成交候选供应商的资格。</w:t>
      </w:r>
    </w:p>
    <w:p>
      <w:pPr>
        <w:pStyle w:val="4"/>
        <w:spacing w:line="440" w:lineRule="exact"/>
        <w:rPr>
          <w:rFonts w:ascii="宋体" w:hAnsi="宋体" w:cs="宋体"/>
          <w:sz w:val="24"/>
          <w:szCs w:val="24"/>
        </w:rPr>
      </w:pPr>
      <w:bookmarkStart w:id="29" w:name="_Toc54278996"/>
      <w:r>
        <w:rPr>
          <w:rFonts w:hint="eastAsia" w:ascii="宋体" w:hAnsi="宋体" w:cs="宋体"/>
          <w:sz w:val="24"/>
          <w:szCs w:val="24"/>
        </w:rPr>
        <w:t>二、</w:t>
      </w:r>
      <w:bookmarkStart w:id="30" w:name="_Toc102227320"/>
      <w:bookmarkStart w:id="31" w:name="_Toc342913394"/>
      <w:r>
        <w:rPr>
          <w:rFonts w:hint="eastAsia" w:ascii="宋体" w:hAnsi="宋体" w:cs="宋体"/>
          <w:sz w:val="24"/>
          <w:szCs w:val="24"/>
        </w:rPr>
        <w:t>评审标准</w:t>
      </w:r>
      <w:bookmarkEnd w:id="29"/>
      <w:r>
        <w:rPr>
          <w:rFonts w:hint="eastAsia" w:ascii="宋体" w:hAnsi="宋体" w:cs="宋体"/>
          <w:sz w:val="24"/>
          <w:szCs w:val="24"/>
        </w:rPr>
        <w:t>注</w:t>
      </w:r>
    </w:p>
    <w:tbl>
      <w:tblPr>
        <w:tblStyle w:val="11"/>
        <w:tblW w:w="9482"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600"/>
        <w:gridCol w:w="534"/>
        <w:gridCol w:w="5331"/>
        <w:gridCol w:w="2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2" w:hRule="atLeast"/>
        </w:trPr>
        <w:tc>
          <w:tcPr>
            <w:tcW w:w="675" w:type="dxa"/>
            <w:noWrap/>
            <w:vAlign w:val="center"/>
          </w:tcPr>
          <w:p>
            <w:pPr>
              <w:rPr>
                <w:rFonts w:ascii="宋体" w:hAnsi="宋体" w:cs="宋体"/>
                <w:sz w:val="24"/>
              </w:rPr>
            </w:pPr>
            <w:r>
              <w:rPr>
                <w:rFonts w:hint="eastAsia" w:ascii="宋体" w:hAnsi="宋体" w:cs="宋体"/>
                <w:sz w:val="24"/>
              </w:rPr>
              <w:t>1</w:t>
            </w:r>
          </w:p>
        </w:tc>
        <w:tc>
          <w:tcPr>
            <w:tcW w:w="1134" w:type="dxa"/>
            <w:gridSpan w:val="2"/>
            <w:noWrap/>
            <w:vAlign w:val="center"/>
          </w:tcPr>
          <w:p>
            <w:pPr>
              <w:rPr>
                <w:rFonts w:ascii="宋体" w:hAnsi="宋体" w:cs="宋体"/>
                <w:sz w:val="24"/>
              </w:rPr>
            </w:pPr>
            <w:r>
              <w:rPr>
                <w:rFonts w:hint="eastAsia" w:ascii="宋体" w:hAnsi="宋体" w:cs="宋体"/>
                <w:sz w:val="24"/>
              </w:rPr>
              <w:t>投标报价得分</w:t>
            </w:r>
            <w:r>
              <w:rPr>
                <w:rFonts w:ascii="宋体" w:hAnsi="宋体" w:cs="宋体"/>
                <w:sz w:val="24"/>
              </w:rPr>
              <w:t>3</w:t>
            </w:r>
            <w:r>
              <w:rPr>
                <w:rFonts w:hint="eastAsia" w:ascii="宋体" w:hAnsi="宋体" w:cs="宋体"/>
                <w:sz w:val="24"/>
              </w:rPr>
              <w:t>0分（A）</w:t>
            </w:r>
          </w:p>
        </w:tc>
        <w:tc>
          <w:tcPr>
            <w:tcW w:w="5331" w:type="dxa"/>
            <w:noWrap/>
            <w:vAlign w:val="center"/>
          </w:tcPr>
          <w:p>
            <w:pPr>
              <w:ind w:firstLine="480" w:firstLineChars="200"/>
              <w:rPr>
                <w:rFonts w:ascii="宋体" w:hAnsi="宋体" w:cs="宋体"/>
                <w:sz w:val="24"/>
              </w:rPr>
            </w:pPr>
            <w:r>
              <w:rPr>
                <w:rFonts w:hint="eastAsia" w:ascii="宋体" w:hAnsi="宋体" w:cs="宋体"/>
                <w:sz w:val="24"/>
              </w:rPr>
              <w:t>满足资格要求且最后报价最低的供应商的价格为磋商基准价，</w:t>
            </w:r>
          </w:p>
          <w:p>
            <w:pPr>
              <w:rPr>
                <w:rFonts w:ascii="宋体" w:hAnsi="宋体" w:cs="宋体"/>
                <w:sz w:val="24"/>
              </w:rPr>
            </w:pPr>
            <w:r>
              <w:rPr>
                <w:rFonts w:hint="eastAsia" w:ascii="宋体" w:hAnsi="宋体" w:cs="宋体"/>
                <w:sz w:val="24"/>
              </w:rPr>
              <w:t>按照下列公式计算每个的投标价格得分。</w:t>
            </w:r>
          </w:p>
          <w:p>
            <w:pPr>
              <w:rPr>
                <w:rFonts w:ascii="宋体" w:hAnsi="宋体" w:cs="宋体"/>
                <w:sz w:val="24"/>
              </w:rPr>
            </w:pPr>
            <w:r>
              <w:rPr>
                <w:rFonts w:hint="eastAsia" w:ascii="宋体" w:hAnsi="宋体" w:cs="宋体"/>
                <w:sz w:val="24"/>
              </w:rPr>
              <w:t>投标报价得分=（评标基准价/投标报价）×价格权重×100。</w:t>
            </w:r>
          </w:p>
          <w:p>
            <w:pPr>
              <w:rPr>
                <w:rFonts w:ascii="宋体" w:hAnsi="宋体" w:cs="宋体"/>
                <w:sz w:val="24"/>
              </w:rPr>
            </w:pPr>
            <w:r>
              <w:rPr>
                <w:rFonts w:hint="eastAsia" w:ascii="宋体" w:hAnsi="宋体" w:cs="宋体"/>
                <w:sz w:val="24"/>
              </w:rPr>
              <w:t>以上计算取小数点后两位，第三位四舍五入。</w:t>
            </w:r>
          </w:p>
        </w:tc>
        <w:tc>
          <w:tcPr>
            <w:tcW w:w="2342" w:type="dxa"/>
            <w:noWrap/>
            <w:vAlign w:val="center"/>
          </w:tcPr>
          <w:p>
            <w:pPr>
              <w:rPr>
                <w:rFonts w:ascii="宋体" w:hAnsi="宋体" w:cs="宋体"/>
                <w:sz w:val="24"/>
              </w:rPr>
            </w:pPr>
            <w:r>
              <w:rPr>
                <w:rFonts w:hint="eastAsia" w:ascii="宋体" w:hAnsi="宋体" w:cs="宋体"/>
                <w:sz w:val="24"/>
              </w:rPr>
              <w:t>注意：本次项目现场须进行第二次报价（最后报价），以第二次报价计算分值。</w:t>
            </w:r>
          </w:p>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5" w:hRule="atLeast"/>
        </w:trPr>
        <w:tc>
          <w:tcPr>
            <w:tcW w:w="675" w:type="dxa"/>
            <w:vMerge w:val="restart"/>
            <w:noWrap/>
            <w:vAlign w:val="center"/>
          </w:tcPr>
          <w:p>
            <w:pPr>
              <w:rPr>
                <w:rFonts w:ascii="宋体" w:hAnsi="宋体" w:cs="宋体"/>
                <w:sz w:val="24"/>
              </w:rPr>
            </w:pPr>
            <w:r>
              <w:rPr>
                <w:rFonts w:hint="eastAsia" w:ascii="宋体" w:hAnsi="宋体" w:cs="宋体"/>
                <w:sz w:val="24"/>
              </w:rPr>
              <w:t>2</w:t>
            </w:r>
          </w:p>
        </w:tc>
        <w:tc>
          <w:tcPr>
            <w:tcW w:w="600" w:type="dxa"/>
            <w:vMerge w:val="restart"/>
            <w:tcBorders>
              <w:top w:val="nil"/>
            </w:tcBorders>
            <w:noWrap/>
            <w:vAlign w:val="center"/>
          </w:tcPr>
          <w:p>
            <w:pPr>
              <w:rPr>
                <w:rFonts w:ascii="宋体" w:hAnsi="宋体" w:cs="宋体"/>
                <w:sz w:val="24"/>
              </w:rPr>
            </w:pPr>
            <w:r>
              <w:rPr>
                <w:rFonts w:hint="eastAsia" w:ascii="宋体" w:hAnsi="宋体" w:cs="宋体"/>
                <w:sz w:val="24"/>
              </w:rPr>
              <w:t>技术部分(B)</w:t>
            </w:r>
            <w:r>
              <w:rPr>
                <w:rFonts w:ascii="宋体" w:hAnsi="宋体" w:cs="宋体"/>
                <w:sz w:val="24"/>
              </w:rPr>
              <w:t>2</w:t>
            </w:r>
            <w:r>
              <w:rPr>
                <w:rFonts w:hint="eastAsia" w:ascii="宋体" w:hAnsi="宋体" w:cs="宋体"/>
                <w:sz w:val="24"/>
              </w:rPr>
              <w:t>0分</w:t>
            </w:r>
          </w:p>
        </w:tc>
        <w:tc>
          <w:tcPr>
            <w:tcW w:w="534" w:type="dxa"/>
            <w:vMerge w:val="restart"/>
            <w:tcBorders>
              <w:top w:val="nil"/>
            </w:tcBorders>
            <w:noWrap/>
            <w:vAlign w:val="center"/>
          </w:tcPr>
          <w:p>
            <w:pPr>
              <w:rPr>
                <w:rFonts w:ascii="宋体" w:hAnsi="宋体" w:cs="宋体"/>
                <w:sz w:val="24"/>
              </w:rPr>
            </w:pPr>
            <w:r>
              <w:rPr>
                <w:rFonts w:hint="eastAsia" w:ascii="宋体" w:hAnsi="宋体" w:cs="宋体"/>
                <w:sz w:val="24"/>
              </w:rPr>
              <w:t>技术方案</w:t>
            </w:r>
          </w:p>
        </w:tc>
        <w:tc>
          <w:tcPr>
            <w:tcW w:w="5331" w:type="dxa"/>
            <w:noWrap/>
            <w:vAlign w:val="center"/>
          </w:tcPr>
          <w:p>
            <w:pPr>
              <w:ind w:firstLine="240" w:firstLineChars="100"/>
              <w:rPr>
                <w:rFonts w:ascii="宋体" w:hAnsi="宋体" w:cs="宋体"/>
                <w:sz w:val="24"/>
              </w:rPr>
            </w:pPr>
            <w:r>
              <w:rPr>
                <w:rFonts w:hint="eastAsia" w:ascii="宋体" w:hAnsi="宋体" w:cs="宋体"/>
                <w:sz w:val="24"/>
              </w:rPr>
              <w:t>设计效果图（未提供本项目效果图的，该部分得0分）</w:t>
            </w:r>
          </w:p>
          <w:p>
            <w:pPr>
              <w:ind w:firstLine="480" w:firstLineChars="200"/>
              <w:rPr>
                <w:rFonts w:ascii="宋体" w:hAnsi="宋体" w:cs="宋体"/>
                <w:sz w:val="24"/>
              </w:rPr>
            </w:pPr>
            <w:r>
              <w:rPr>
                <w:rFonts w:hint="eastAsia" w:ascii="宋体" w:hAnsi="宋体" w:cs="宋体"/>
                <w:sz w:val="24"/>
              </w:rPr>
              <w:t>效果图完整可行，效果美观，描述清晰，水体景观与植物的整体布局和配置建设自然和谐统一，并展现本项目的效果图。</w:t>
            </w:r>
          </w:p>
        </w:tc>
        <w:tc>
          <w:tcPr>
            <w:tcW w:w="2342" w:type="dxa"/>
            <w:noWrap/>
            <w:vAlign w:val="center"/>
          </w:tcPr>
          <w:p>
            <w:pPr>
              <w:jc w:val="center"/>
              <w:rPr>
                <w:rFonts w:ascii="宋体" w:hAnsi="宋体" w:cs="宋体"/>
                <w:sz w:val="24"/>
              </w:rPr>
            </w:pPr>
            <w:r>
              <w:rPr>
                <w:rFonts w:hint="eastAsia" w:ascii="宋体" w:hAnsi="宋体" w:cs="宋体"/>
                <w:sz w:val="24"/>
              </w:rPr>
              <w:t>0-</w:t>
            </w:r>
            <w:r>
              <w:rPr>
                <w:rFonts w:ascii="宋体" w:hAnsi="宋体" w:cs="宋体"/>
                <w:sz w:val="24"/>
              </w:rPr>
              <w:t>5</w:t>
            </w:r>
            <w:r>
              <w:rPr>
                <w:rFonts w:hint="eastAsia" w:ascii="宋体" w:hAnsi="宋体"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trPr>
        <w:tc>
          <w:tcPr>
            <w:tcW w:w="675" w:type="dxa"/>
            <w:vMerge w:val="continue"/>
            <w:noWrap/>
            <w:vAlign w:val="center"/>
          </w:tcPr>
          <w:p>
            <w:pPr>
              <w:rPr>
                <w:rFonts w:ascii="宋体" w:hAnsi="宋体" w:cs="宋体"/>
                <w:sz w:val="24"/>
              </w:rPr>
            </w:pPr>
          </w:p>
        </w:tc>
        <w:tc>
          <w:tcPr>
            <w:tcW w:w="600" w:type="dxa"/>
            <w:vMerge w:val="continue"/>
            <w:noWrap/>
            <w:vAlign w:val="center"/>
          </w:tcPr>
          <w:p>
            <w:pPr>
              <w:rPr>
                <w:rFonts w:ascii="宋体" w:hAnsi="宋体" w:cs="宋体"/>
                <w:sz w:val="24"/>
              </w:rPr>
            </w:pPr>
          </w:p>
        </w:tc>
        <w:tc>
          <w:tcPr>
            <w:tcW w:w="534" w:type="dxa"/>
            <w:vMerge w:val="continue"/>
            <w:noWrap/>
            <w:vAlign w:val="center"/>
          </w:tcPr>
          <w:p>
            <w:pPr>
              <w:rPr>
                <w:rFonts w:ascii="宋体" w:hAnsi="宋体" w:cs="宋体"/>
                <w:sz w:val="24"/>
              </w:rPr>
            </w:pPr>
          </w:p>
        </w:tc>
        <w:tc>
          <w:tcPr>
            <w:tcW w:w="5331" w:type="dxa"/>
            <w:noWrap/>
            <w:vAlign w:val="center"/>
          </w:tcPr>
          <w:p>
            <w:pPr>
              <w:ind w:firstLine="240" w:firstLineChars="100"/>
              <w:rPr>
                <w:rFonts w:ascii="宋体" w:hAnsi="宋体" w:cs="宋体"/>
                <w:sz w:val="24"/>
              </w:rPr>
            </w:pPr>
            <w:r>
              <w:rPr>
                <w:rFonts w:hint="eastAsia" w:ascii="宋体" w:hAnsi="宋体" w:cs="宋体"/>
                <w:sz w:val="24"/>
              </w:rPr>
              <w:t>设计思路</w:t>
            </w:r>
          </w:p>
          <w:p>
            <w:pPr>
              <w:ind w:firstLine="480" w:firstLineChars="200"/>
              <w:rPr>
                <w:rFonts w:ascii="宋体" w:hAnsi="宋体" w:cs="宋体"/>
                <w:sz w:val="24"/>
              </w:rPr>
            </w:pPr>
            <w:r>
              <w:rPr>
                <w:rFonts w:hint="eastAsia" w:ascii="宋体" w:hAnsi="宋体" w:cs="宋体"/>
                <w:sz w:val="24"/>
              </w:rPr>
              <w:t>设计思路清晰，符合项目实际情况。尊重场地、因地制宜，形成整体的设计理念。</w:t>
            </w:r>
          </w:p>
          <w:p>
            <w:pPr>
              <w:rPr>
                <w:rFonts w:ascii="宋体" w:hAnsi="宋体" w:cs="宋体"/>
                <w:sz w:val="24"/>
              </w:rPr>
            </w:pPr>
          </w:p>
        </w:tc>
        <w:tc>
          <w:tcPr>
            <w:tcW w:w="2342" w:type="dxa"/>
            <w:noWrap/>
            <w:vAlign w:val="center"/>
          </w:tcPr>
          <w:p>
            <w:pPr>
              <w:jc w:val="center"/>
              <w:rPr>
                <w:rFonts w:ascii="宋体" w:hAnsi="宋体" w:cs="宋体"/>
                <w:sz w:val="24"/>
              </w:rPr>
            </w:pPr>
            <w:r>
              <w:rPr>
                <w:rFonts w:hint="eastAsia" w:ascii="宋体" w:hAnsi="宋体" w:cs="宋体"/>
                <w:sz w:val="24"/>
              </w:rPr>
              <w:t>0-</w:t>
            </w:r>
            <w:r>
              <w:rPr>
                <w:rFonts w:ascii="宋体" w:hAnsi="宋体" w:cs="宋体"/>
                <w:sz w:val="24"/>
              </w:rPr>
              <w:t>3</w:t>
            </w:r>
            <w:r>
              <w:rPr>
                <w:rFonts w:hint="eastAsia" w:ascii="宋体" w:hAnsi="宋体"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675" w:type="dxa"/>
            <w:vMerge w:val="continue"/>
            <w:noWrap/>
            <w:vAlign w:val="center"/>
          </w:tcPr>
          <w:p>
            <w:pPr>
              <w:rPr>
                <w:rFonts w:ascii="宋体" w:hAnsi="宋体" w:cs="宋体"/>
                <w:sz w:val="24"/>
              </w:rPr>
            </w:pPr>
          </w:p>
        </w:tc>
        <w:tc>
          <w:tcPr>
            <w:tcW w:w="600" w:type="dxa"/>
            <w:vMerge w:val="continue"/>
            <w:noWrap/>
            <w:vAlign w:val="center"/>
          </w:tcPr>
          <w:p>
            <w:pPr>
              <w:rPr>
                <w:rFonts w:ascii="宋体" w:hAnsi="宋体" w:cs="宋体"/>
                <w:sz w:val="24"/>
              </w:rPr>
            </w:pPr>
          </w:p>
        </w:tc>
        <w:tc>
          <w:tcPr>
            <w:tcW w:w="534" w:type="dxa"/>
            <w:vMerge w:val="continue"/>
            <w:noWrap/>
            <w:vAlign w:val="center"/>
          </w:tcPr>
          <w:p>
            <w:pPr>
              <w:rPr>
                <w:rFonts w:ascii="宋体" w:hAnsi="宋体" w:cs="宋体"/>
                <w:sz w:val="24"/>
              </w:rPr>
            </w:pPr>
          </w:p>
        </w:tc>
        <w:tc>
          <w:tcPr>
            <w:tcW w:w="5331" w:type="dxa"/>
            <w:noWrap/>
            <w:vAlign w:val="center"/>
          </w:tcPr>
          <w:p>
            <w:pPr>
              <w:ind w:firstLine="240" w:firstLineChars="100"/>
              <w:rPr>
                <w:rFonts w:ascii="宋体" w:hAnsi="宋体" w:cs="宋体"/>
                <w:sz w:val="24"/>
              </w:rPr>
            </w:pPr>
            <w:r>
              <w:rPr>
                <w:rFonts w:hint="eastAsia" w:ascii="宋体" w:hAnsi="宋体" w:cs="宋体"/>
                <w:sz w:val="24"/>
              </w:rPr>
              <w:t>植物配置</w:t>
            </w:r>
          </w:p>
          <w:p>
            <w:pPr>
              <w:ind w:firstLine="480" w:firstLineChars="200"/>
              <w:rPr>
                <w:rFonts w:ascii="宋体" w:hAnsi="宋体" w:cs="宋体"/>
                <w:sz w:val="24"/>
              </w:rPr>
            </w:pPr>
            <w:r>
              <w:rPr>
                <w:rFonts w:hint="eastAsia" w:ascii="宋体" w:hAnsi="宋体" w:cs="宋体"/>
                <w:sz w:val="24"/>
              </w:rPr>
              <w:t>选择植物配景合理，层次、色彩有机结合，季相变化、符合园林性质，适合本地生长，便于后期维护。</w:t>
            </w:r>
          </w:p>
          <w:p>
            <w:pPr>
              <w:rPr>
                <w:rFonts w:ascii="宋体" w:hAnsi="宋体" w:cs="宋体"/>
                <w:sz w:val="24"/>
              </w:rPr>
            </w:pPr>
          </w:p>
        </w:tc>
        <w:tc>
          <w:tcPr>
            <w:tcW w:w="2342" w:type="dxa"/>
            <w:noWrap/>
            <w:vAlign w:val="center"/>
          </w:tcPr>
          <w:p>
            <w:pPr>
              <w:jc w:val="center"/>
              <w:rPr>
                <w:rFonts w:ascii="宋体" w:hAnsi="宋体" w:cs="宋体"/>
                <w:sz w:val="24"/>
              </w:rPr>
            </w:pPr>
            <w:r>
              <w:rPr>
                <w:rFonts w:hint="eastAsia" w:ascii="宋体" w:hAnsi="宋体" w:cs="宋体"/>
                <w:sz w:val="24"/>
              </w:rPr>
              <w:t>0-</w:t>
            </w:r>
            <w:r>
              <w:rPr>
                <w:rFonts w:ascii="宋体" w:hAnsi="宋体" w:cs="宋体"/>
                <w:sz w:val="24"/>
              </w:rPr>
              <w:t>3</w:t>
            </w:r>
            <w:r>
              <w:rPr>
                <w:rFonts w:hint="eastAsia" w:ascii="宋体" w:hAnsi="宋体"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675" w:type="dxa"/>
            <w:vMerge w:val="continue"/>
            <w:noWrap/>
            <w:vAlign w:val="center"/>
          </w:tcPr>
          <w:p>
            <w:pPr>
              <w:rPr>
                <w:rFonts w:ascii="宋体" w:hAnsi="宋体" w:cs="宋体"/>
                <w:sz w:val="24"/>
              </w:rPr>
            </w:pPr>
          </w:p>
        </w:tc>
        <w:tc>
          <w:tcPr>
            <w:tcW w:w="600" w:type="dxa"/>
            <w:vMerge w:val="continue"/>
            <w:noWrap/>
            <w:vAlign w:val="center"/>
          </w:tcPr>
          <w:p>
            <w:pPr>
              <w:rPr>
                <w:rFonts w:ascii="宋体" w:hAnsi="宋体" w:cs="宋体"/>
                <w:sz w:val="24"/>
              </w:rPr>
            </w:pPr>
          </w:p>
        </w:tc>
        <w:tc>
          <w:tcPr>
            <w:tcW w:w="534" w:type="dxa"/>
            <w:vMerge w:val="continue"/>
            <w:noWrap/>
            <w:vAlign w:val="center"/>
          </w:tcPr>
          <w:p>
            <w:pPr>
              <w:rPr>
                <w:rFonts w:ascii="宋体" w:hAnsi="宋体" w:cs="宋体"/>
                <w:sz w:val="24"/>
              </w:rPr>
            </w:pPr>
          </w:p>
        </w:tc>
        <w:tc>
          <w:tcPr>
            <w:tcW w:w="5331" w:type="dxa"/>
            <w:noWrap/>
            <w:vAlign w:val="center"/>
          </w:tcPr>
          <w:p>
            <w:pPr>
              <w:ind w:firstLine="240" w:firstLineChars="100"/>
              <w:rPr>
                <w:rFonts w:ascii="宋体" w:hAnsi="宋体" w:cs="宋体"/>
                <w:sz w:val="24"/>
              </w:rPr>
            </w:pPr>
            <w:r>
              <w:rPr>
                <w:rFonts w:hint="eastAsia" w:ascii="宋体" w:hAnsi="宋体" w:cs="宋体"/>
                <w:sz w:val="24"/>
              </w:rPr>
              <w:t>与周边关系</w:t>
            </w:r>
          </w:p>
          <w:p>
            <w:pPr>
              <w:ind w:firstLine="240" w:firstLineChars="100"/>
              <w:rPr>
                <w:rFonts w:ascii="宋体" w:hAnsi="宋体" w:cs="宋体"/>
                <w:sz w:val="24"/>
              </w:rPr>
            </w:pPr>
            <w:r>
              <w:rPr>
                <w:rFonts w:hint="eastAsia" w:ascii="宋体" w:hAnsi="宋体" w:cs="宋体"/>
                <w:sz w:val="24"/>
              </w:rPr>
              <w:t>景观设计充分考虑沿线及周边地块规划（特别是与双石河二期的衔接），处理好人与空间环境、人与建筑及交通的关系。</w:t>
            </w:r>
          </w:p>
        </w:tc>
        <w:tc>
          <w:tcPr>
            <w:tcW w:w="2342" w:type="dxa"/>
            <w:noWrap/>
            <w:vAlign w:val="center"/>
          </w:tcPr>
          <w:p>
            <w:pPr>
              <w:jc w:val="center"/>
              <w:rPr>
                <w:rFonts w:ascii="宋体" w:hAnsi="宋体" w:cs="宋体"/>
                <w:sz w:val="24"/>
              </w:rPr>
            </w:pPr>
            <w:r>
              <w:rPr>
                <w:rFonts w:hint="eastAsia" w:ascii="宋体" w:hAnsi="宋体" w:cs="宋体"/>
                <w:sz w:val="24"/>
              </w:rPr>
              <w:t>0-</w:t>
            </w:r>
            <w:r>
              <w:rPr>
                <w:rFonts w:ascii="宋体" w:hAnsi="宋体" w:cs="宋体"/>
                <w:sz w:val="24"/>
              </w:rPr>
              <w:t>3</w:t>
            </w:r>
            <w:r>
              <w:rPr>
                <w:rFonts w:hint="eastAsia" w:ascii="宋体" w:hAnsi="宋体"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2" w:hRule="atLeast"/>
        </w:trPr>
        <w:tc>
          <w:tcPr>
            <w:tcW w:w="675" w:type="dxa"/>
            <w:vMerge w:val="continue"/>
            <w:noWrap/>
            <w:vAlign w:val="center"/>
          </w:tcPr>
          <w:p>
            <w:pPr>
              <w:rPr>
                <w:rFonts w:ascii="宋体" w:hAnsi="宋体" w:cs="宋体"/>
                <w:sz w:val="24"/>
              </w:rPr>
            </w:pPr>
          </w:p>
        </w:tc>
        <w:tc>
          <w:tcPr>
            <w:tcW w:w="600" w:type="dxa"/>
            <w:vMerge w:val="continue"/>
            <w:noWrap/>
            <w:vAlign w:val="center"/>
          </w:tcPr>
          <w:p>
            <w:pPr>
              <w:rPr>
                <w:rFonts w:ascii="宋体" w:hAnsi="宋体" w:cs="宋体"/>
                <w:sz w:val="24"/>
              </w:rPr>
            </w:pPr>
          </w:p>
        </w:tc>
        <w:tc>
          <w:tcPr>
            <w:tcW w:w="534" w:type="dxa"/>
            <w:vMerge w:val="continue"/>
            <w:noWrap/>
            <w:vAlign w:val="center"/>
          </w:tcPr>
          <w:p>
            <w:pPr>
              <w:rPr>
                <w:rFonts w:ascii="宋体" w:hAnsi="宋体" w:cs="宋体"/>
                <w:sz w:val="24"/>
              </w:rPr>
            </w:pPr>
          </w:p>
        </w:tc>
        <w:tc>
          <w:tcPr>
            <w:tcW w:w="5331" w:type="dxa"/>
            <w:noWrap/>
            <w:vAlign w:val="center"/>
          </w:tcPr>
          <w:p>
            <w:pPr>
              <w:rPr>
                <w:rFonts w:ascii="宋体" w:hAnsi="宋体" w:cs="宋体"/>
                <w:sz w:val="24"/>
              </w:rPr>
            </w:pPr>
            <w:r>
              <w:rPr>
                <w:rFonts w:hint="eastAsia" w:ascii="宋体" w:hAnsi="宋体" w:cs="宋体"/>
                <w:sz w:val="24"/>
              </w:rPr>
              <w:t xml:space="preserve">设计方案说明 </w:t>
            </w:r>
          </w:p>
          <w:p>
            <w:pPr>
              <w:ind w:firstLine="480" w:firstLineChars="200"/>
              <w:rPr>
                <w:rFonts w:ascii="宋体" w:hAnsi="宋体" w:cs="宋体"/>
                <w:sz w:val="24"/>
              </w:rPr>
            </w:pPr>
            <w:r>
              <w:rPr>
                <w:rFonts w:hint="eastAsia" w:ascii="宋体" w:hAnsi="宋体" w:cs="宋体"/>
                <w:sz w:val="24"/>
              </w:rPr>
              <w:t>对招标项目和建设条件的理解全面、深入，整体布局与水体景观相融合。</w:t>
            </w:r>
          </w:p>
        </w:tc>
        <w:tc>
          <w:tcPr>
            <w:tcW w:w="2342" w:type="dxa"/>
            <w:noWrap/>
            <w:vAlign w:val="center"/>
          </w:tcPr>
          <w:p>
            <w:pPr>
              <w:jc w:val="center"/>
              <w:rPr>
                <w:rFonts w:ascii="宋体" w:hAnsi="宋体" w:cs="宋体"/>
                <w:sz w:val="24"/>
              </w:rPr>
            </w:pPr>
            <w:r>
              <w:rPr>
                <w:rFonts w:hint="eastAsia" w:ascii="宋体" w:hAnsi="宋体" w:cs="宋体"/>
                <w:sz w:val="24"/>
              </w:rPr>
              <w:t>0-</w:t>
            </w:r>
            <w:r>
              <w:rPr>
                <w:rFonts w:ascii="宋体" w:hAnsi="宋体" w:cs="宋体"/>
                <w:sz w:val="24"/>
              </w:rPr>
              <w:t>3</w:t>
            </w:r>
            <w:r>
              <w:rPr>
                <w:rFonts w:hint="eastAsia" w:ascii="宋体" w:hAnsi="宋体"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1" w:hRule="atLeast"/>
        </w:trPr>
        <w:tc>
          <w:tcPr>
            <w:tcW w:w="675" w:type="dxa"/>
            <w:vMerge w:val="continue"/>
            <w:noWrap/>
            <w:vAlign w:val="center"/>
          </w:tcPr>
          <w:p>
            <w:pPr>
              <w:rPr>
                <w:rFonts w:ascii="宋体" w:hAnsi="宋体" w:cs="宋体"/>
                <w:sz w:val="24"/>
              </w:rPr>
            </w:pPr>
          </w:p>
        </w:tc>
        <w:tc>
          <w:tcPr>
            <w:tcW w:w="600" w:type="dxa"/>
            <w:vMerge w:val="continue"/>
            <w:noWrap/>
            <w:vAlign w:val="center"/>
          </w:tcPr>
          <w:p>
            <w:pPr>
              <w:rPr>
                <w:rFonts w:ascii="宋体" w:hAnsi="宋体" w:cs="宋体"/>
                <w:sz w:val="24"/>
              </w:rPr>
            </w:pPr>
          </w:p>
        </w:tc>
        <w:tc>
          <w:tcPr>
            <w:tcW w:w="534" w:type="dxa"/>
            <w:vMerge w:val="continue"/>
            <w:noWrap/>
            <w:vAlign w:val="center"/>
          </w:tcPr>
          <w:p>
            <w:pPr>
              <w:rPr>
                <w:rFonts w:ascii="宋体" w:hAnsi="宋体" w:cs="宋体"/>
                <w:sz w:val="24"/>
              </w:rPr>
            </w:pPr>
          </w:p>
        </w:tc>
        <w:tc>
          <w:tcPr>
            <w:tcW w:w="5331" w:type="dxa"/>
            <w:noWrap/>
            <w:vAlign w:val="center"/>
          </w:tcPr>
          <w:p>
            <w:pPr>
              <w:rPr>
                <w:rFonts w:ascii="宋体" w:hAnsi="宋体" w:cs="宋体"/>
                <w:sz w:val="24"/>
              </w:rPr>
            </w:pPr>
            <w:r>
              <w:rPr>
                <w:rFonts w:hint="eastAsia" w:ascii="宋体" w:hAnsi="宋体" w:cs="宋体"/>
                <w:sz w:val="24"/>
              </w:rPr>
              <w:t>现状情况调研分析 。</w:t>
            </w:r>
          </w:p>
          <w:p>
            <w:pPr>
              <w:ind w:firstLine="480" w:firstLineChars="200"/>
              <w:rPr>
                <w:rFonts w:ascii="宋体" w:hAnsi="宋体" w:cs="宋体"/>
                <w:sz w:val="24"/>
              </w:rPr>
            </w:pPr>
            <w:r>
              <w:rPr>
                <w:rFonts w:hint="eastAsia" w:ascii="宋体" w:hAnsi="宋体" w:cs="宋体"/>
                <w:sz w:val="24"/>
              </w:rPr>
              <w:t>对建桥C区双石河周边及沿线进行现场调研，从周边环境、城市空间、建筑风貌、功能定位等方面，总结现状存在的主要问题。</w:t>
            </w:r>
          </w:p>
        </w:tc>
        <w:tc>
          <w:tcPr>
            <w:tcW w:w="2342" w:type="dxa"/>
            <w:noWrap/>
            <w:vAlign w:val="center"/>
          </w:tcPr>
          <w:p>
            <w:pPr>
              <w:jc w:val="center"/>
              <w:rPr>
                <w:rFonts w:ascii="宋体" w:hAnsi="宋体" w:cs="宋体"/>
                <w:sz w:val="24"/>
              </w:rPr>
            </w:pPr>
            <w:r>
              <w:rPr>
                <w:rFonts w:hint="eastAsia" w:ascii="宋体" w:hAnsi="宋体" w:cs="宋体"/>
                <w:sz w:val="24"/>
              </w:rPr>
              <w:t>0-</w:t>
            </w:r>
            <w:r>
              <w:rPr>
                <w:rFonts w:ascii="宋体" w:hAnsi="宋体" w:cs="宋体"/>
                <w:sz w:val="24"/>
              </w:rPr>
              <w:t>3</w:t>
            </w:r>
            <w:r>
              <w:rPr>
                <w:rFonts w:hint="eastAsia" w:ascii="宋体" w:hAnsi="宋体"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675" w:type="dxa"/>
            <w:noWrap/>
            <w:vAlign w:val="center"/>
          </w:tcPr>
          <w:p>
            <w:pPr>
              <w:rPr>
                <w:rFonts w:ascii="宋体" w:hAnsi="宋体" w:cs="宋体"/>
                <w:sz w:val="24"/>
                <w:szCs w:val="22"/>
              </w:rPr>
            </w:pPr>
            <w:r>
              <w:rPr>
                <w:rFonts w:hint="eastAsia" w:ascii="宋体" w:hAnsi="宋体" w:cs="宋体"/>
                <w:sz w:val="24"/>
                <w:szCs w:val="22"/>
              </w:rPr>
              <w:t>3</w:t>
            </w:r>
          </w:p>
        </w:tc>
        <w:tc>
          <w:tcPr>
            <w:tcW w:w="1134" w:type="dxa"/>
            <w:gridSpan w:val="2"/>
            <w:noWrap/>
            <w:vAlign w:val="center"/>
          </w:tcPr>
          <w:p>
            <w:pPr>
              <w:rPr>
                <w:rFonts w:ascii="宋体" w:hAnsi="宋体" w:cs="宋体"/>
                <w:sz w:val="24"/>
                <w:szCs w:val="22"/>
              </w:rPr>
            </w:pPr>
            <w:r>
              <w:rPr>
                <w:rFonts w:hint="eastAsia" w:ascii="宋体" w:hAnsi="宋体" w:cs="宋体"/>
                <w:sz w:val="24"/>
                <w:szCs w:val="22"/>
              </w:rPr>
              <w:t>商务部分</w:t>
            </w:r>
            <w:r>
              <w:rPr>
                <w:rFonts w:ascii="宋体" w:hAnsi="宋体" w:cs="宋体"/>
                <w:sz w:val="24"/>
                <w:szCs w:val="22"/>
              </w:rPr>
              <w:t>5</w:t>
            </w:r>
            <w:r>
              <w:rPr>
                <w:rFonts w:hint="eastAsia" w:ascii="宋体" w:hAnsi="宋体" w:cs="宋体"/>
                <w:sz w:val="24"/>
                <w:szCs w:val="22"/>
              </w:rPr>
              <w:t>0分</w:t>
            </w:r>
          </w:p>
        </w:tc>
        <w:tc>
          <w:tcPr>
            <w:tcW w:w="5331" w:type="dxa"/>
            <w:tcBorders>
              <w:top w:val="single" w:color="auto" w:sz="4" w:space="0"/>
              <w:bottom w:val="single" w:color="auto" w:sz="4" w:space="0"/>
            </w:tcBorders>
            <w:noWrap/>
            <w:vAlign w:val="center"/>
          </w:tcPr>
          <w:p>
            <w:pPr>
              <w:rPr>
                <w:rFonts w:ascii="宋体" w:hAnsi="宋体" w:cs="宋体"/>
                <w:sz w:val="24"/>
              </w:rPr>
            </w:pPr>
            <w:r>
              <w:rPr>
                <w:rFonts w:hint="eastAsia" w:ascii="宋体" w:hAnsi="宋体" w:cs="宋体"/>
                <w:sz w:val="24"/>
              </w:rPr>
              <w:t>1、供应商资质（</w:t>
            </w:r>
            <w:r>
              <w:rPr>
                <w:rFonts w:ascii="宋体" w:hAnsi="宋体" w:cs="宋体"/>
                <w:sz w:val="24"/>
              </w:rPr>
              <w:t>6</w:t>
            </w:r>
            <w:r>
              <w:rPr>
                <w:rFonts w:hint="eastAsia" w:ascii="宋体" w:hAnsi="宋体" w:cs="宋体"/>
                <w:sz w:val="24"/>
              </w:rPr>
              <w:t>分）：供应商</w:t>
            </w:r>
            <w:r>
              <w:rPr>
                <w:rFonts w:ascii="宋体" w:hAnsi="宋体" w:cs="宋体"/>
                <w:sz w:val="24"/>
              </w:rPr>
              <w:t>具备建设行政主管部门颁发的工程设计市政行业（燃气工程、轨道交通工程除外）甲级</w:t>
            </w:r>
            <w:r>
              <w:rPr>
                <w:rFonts w:hint="eastAsia" w:ascii="宋体" w:hAnsi="宋体" w:cs="宋体"/>
                <w:sz w:val="24"/>
              </w:rPr>
              <w:t>得</w:t>
            </w:r>
            <w:r>
              <w:rPr>
                <w:rFonts w:ascii="宋体" w:hAnsi="宋体" w:cs="宋体"/>
                <w:sz w:val="24"/>
              </w:rPr>
              <w:t>3</w:t>
            </w:r>
            <w:r>
              <w:rPr>
                <w:rFonts w:hint="eastAsia" w:ascii="宋体" w:hAnsi="宋体" w:cs="宋体"/>
                <w:sz w:val="24"/>
              </w:rPr>
              <w:t>分；具备风景园林专项设计甲级资质</w:t>
            </w:r>
            <w:r>
              <w:rPr>
                <w:rFonts w:ascii="宋体" w:hAnsi="宋体" w:cs="宋体"/>
                <w:sz w:val="24"/>
              </w:rPr>
              <w:t>得3分。</w:t>
            </w:r>
            <w:r>
              <w:rPr>
                <w:rFonts w:hint="eastAsia" w:ascii="宋体" w:hAnsi="宋体" w:cs="宋体"/>
                <w:sz w:val="24"/>
              </w:rPr>
              <w:t>最多得</w:t>
            </w:r>
            <w:r>
              <w:rPr>
                <w:rFonts w:ascii="宋体" w:hAnsi="宋体" w:cs="宋体"/>
                <w:sz w:val="24"/>
              </w:rPr>
              <w:t>6</w:t>
            </w:r>
            <w:r>
              <w:rPr>
                <w:rFonts w:hint="eastAsia" w:ascii="宋体" w:hAnsi="宋体" w:cs="宋体"/>
                <w:sz w:val="24"/>
              </w:rPr>
              <w:t>分。</w:t>
            </w:r>
          </w:p>
          <w:p>
            <w:pPr>
              <w:rPr>
                <w:rFonts w:ascii="宋体" w:hAnsi="宋体" w:cs="宋体"/>
                <w:sz w:val="24"/>
              </w:rPr>
            </w:pPr>
            <w:r>
              <w:rPr>
                <w:rFonts w:hint="eastAsia" w:ascii="宋体" w:hAnsi="宋体" w:cs="宋体"/>
                <w:sz w:val="24"/>
              </w:rPr>
              <w:t>[须提供在有效期内的资质证书复印件并加盖供应商公章]</w:t>
            </w:r>
          </w:p>
          <w:p>
            <w:pPr>
              <w:rPr>
                <w:rFonts w:ascii="宋体" w:hAnsi="宋体" w:cs="宋体"/>
                <w:sz w:val="24"/>
              </w:rPr>
            </w:pPr>
            <w:r>
              <w:rPr>
                <w:rFonts w:hint="eastAsia" w:ascii="宋体" w:hAnsi="宋体" w:cs="宋体"/>
                <w:sz w:val="24"/>
              </w:rPr>
              <w:t>2、拟派项目总负责人（</w:t>
            </w:r>
            <w:r>
              <w:rPr>
                <w:rFonts w:ascii="宋体" w:hAnsi="宋体" w:cs="宋体"/>
                <w:sz w:val="24"/>
              </w:rPr>
              <w:t>8</w:t>
            </w:r>
            <w:r>
              <w:rPr>
                <w:rFonts w:hint="eastAsia" w:ascii="宋体" w:hAnsi="宋体" w:cs="宋体"/>
                <w:sz w:val="24"/>
              </w:rPr>
              <w:t>分）：供应商拟派的项目总负责人具备工程类正高级技术职称的得</w:t>
            </w:r>
            <w:r>
              <w:rPr>
                <w:rFonts w:ascii="宋体" w:hAnsi="宋体" w:cs="宋体"/>
                <w:sz w:val="24"/>
              </w:rPr>
              <w:t>3</w:t>
            </w:r>
            <w:r>
              <w:rPr>
                <w:rFonts w:hint="eastAsia" w:ascii="宋体" w:hAnsi="宋体" w:cs="宋体"/>
                <w:sz w:val="24"/>
              </w:rPr>
              <w:t>分，具备一级注册建筑师执业资格的得</w:t>
            </w:r>
            <w:r>
              <w:rPr>
                <w:rFonts w:ascii="宋体" w:hAnsi="宋体" w:cs="宋体"/>
                <w:sz w:val="24"/>
              </w:rPr>
              <w:t>3</w:t>
            </w:r>
            <w:r>
              <w:rPr>
                <w:rFonts w:hint="eastAsia" w:ascii="宋体" w:hAnsi="宋体" w:cs="宋体"/>
                <w:sz w:val="24"/>
              </w:rPr>
              <w:t>分；具备注册城乡规划师执业资格的得</w:t>
            </w:r>
            <w:r>
              <w:rPr>
                <w:rFonts w:ascii="宋体" w:hAnsi="宋体" w:cs="宋体"/>
                <w:sz w:val="24"/>
              </w:rPr>
              <w:t>2</w:t>
            </w:r>
            <w:r>
              <w:rPr>
                <w:rFonts w:hint="eastAsia" w:ascii="宋体" w:hAnsi="宋体" w:cs="宋体"/>
                <w:sz w:val="24"/>
              </w:rPr>
              <w:t>分。本项最多得</w:t>
            </w:r>
            <w:r>
              <w:rPr>
                <w:rFonts w:ascii="宋体" w:hAnsi="宋体" w:cs="宋体"/>
                <w:sz w:val="24"/>
              </w:rPr>
              <w:t>8</w:t>
            </w:r>
            <w:r>
              <w:rPr>
                <w:rFonts w:hint="eastAsia" w:ascii="宋体" w:hAnsi="宋体" w:cs="宋体"/>
                <w:sz w:val="24"/>
              </w:rPr>
              <w:t>分。</w:t>
            </w:r>
          </w:p>
          <w:p>
            <w:pPr>
              <w:rPr>
                <w:rFonts w:ascii="宋体" w:hAnsi="宋体" w:cs="宋体"/>
                <w:sz w:val="24"/>
              </w:rPr>
            </w:pPr>
            <w:r>
              <w:rPr>
                <w:rFonts w:hint="eastAsia" w:ascii="宋体" w:hAnsi="宋体" w:cs="宋体"/>
                <w:sz w:val="24"/>
              </w:rPr>
              <w:t>[须提供在有效期内的拟派项目总负责人职称证、注册证、身份证、供应商为其连续缴纳的2022年10月-2022年3月养老保险证明材料并加盖供应商公章]</w:t>
            </w:r>
          </w:p>
          <w:p>
            <w:pPr>
              <w:rPr>
                <w:rFonts w:ascii="宋体" w:hAnsi="宋体" w:cs="宋体"/>
                <w:sz w:val="24"/>
              </w:rPr>
            </w:pPr>
            <w:r>
              <w:rPr>
                <w:rFonts w:hint="eastAsia" w:ascii="宋体" w:hAnsi="宋体" w:cs="宋体"/>
                <w:sz w:val="24"/>
              </w:rPr>
              <w:t>3、拟派景观专业负责人（</w:t>
            </w:r>
            <w:r>
              <w:rPr>
                <w:rFonts w:ascii="宋体" w:hAnsi="宋体" w:cs="宋体"/>
                <w:sz w:val="24"/>
              </w:rPr>
              <w:t>5</w:t>
            </w:r>
            <w:r>
              <w:rPr>
                <w:rFonts w:hint="eastAsia" w:ascii="宋体" w:hAnsi="宋体" w:cs="宋体"/>
                <w:sz w:val="24"/>
              </w:rPr>
              <w:t>分） ：供应商拟派的景观专业负责人具备风景园林正高级技术职称的得</w:t>
            </w:r>
            <w:r>
              <w:rPr>
                <w:rFonts w:ascii="宋体" w:hAnsi="宋体" w:cs="宋体"/>
                <w:sz w:val="24"/>
              </w:rPr>
              <w:t>5</w:t>
            </w:r>
            <w:r>
              <w:rPr>
                <w:rFonts w:hint="eastAsia" w:ascii="宋体" w:hAnsi="宋体" w:cs="宋体"/>
                <w:sz w:val="24"/>
              </w:rPr>
              <w:t>分。</w:t>
            </w:r>
          </w:p>
          <w:p>
            <w:pPr>
              <w:rPr>
                <w:rFonts w:ascii="宋体" w:hAnsi="宋体" w:cs="宋体"/>
                <w:sz w:val="24"/>
              </w:rPr>
            </w:pPr>
            <w:r>
              <w:rPr>
                <w:rFonts w:hint="eastAsia" w:ascii="宋体" w:hAnsi="宋体" w:cs="宋体"/>
                <w:sz w:val="24"/>
              </w:rPr>
              <w:t>[须提供在有效期内的拟派项目总负责人职称证 、身份证、供应商为其连续缴纳的2022年10月-2022年3月养老保险证明材料并加盖供应商公章]</w:t>
            </w:r>
          </w:p>
          <w:p>
            <w:pPr>
              <w:rPr>
                <w:rFonts w:ascii="宋体" w:hAnsi="宋体" w:cs="宋体"/>
                <w:sz w:val="24"/>
              </w:rPr>
            </w:pPr>
            <w:r>
              <w:rPr>
                <w:rFonts w:ascii="宋体" w:hAnsi="宋体" w:cs="宋体"/>
                <w:sz w:val="24"/>
              </w:rPr>
              <w:t>4</w:t>
            </w:r>
            <w:r>
              <w:rPr>
                <w:rFonts w:hint="eastAsia" w:ascii="宋体" w:hAnsi="宋体" w:cs="宋体"/>
                <w:sz w:val="24"/>
              </w:rPr>
              <w:t>、获奖情况（</w:t>
            </w:r>
            <w:r>
              <w:rPr>
                <w:rFonts w:ascii="宋体" w:hAnsi="宋体" w:cs="宋体"/>
                <w:sz w:val="24"/>
              </w:rPr>
              <w:t>16</w:t>
            </w:r>
            <w:r>
              <w:rPr>
                <w:rFonts w:hint="eastAsia" w:ascii="宋体" w:hAnsi="宋体" w:cs="宋体"/>
                <w:sz w:val="24"/>
              </w:rPr>
              <w:t>分）：2017年1月1日至今（以获奖时间为准），供应商完成的市政公用类设计工作获得过中国勘察设计协会颁发的全国优秀工程勘察设计奖的一个得</w:t>
            </w:r>
            <w:r>
              <w:rPr>
                <w:rFonts w:ascii="宋体" w:hAnsi="宋体" w:cs="宋体"/>
                <w:sz w:val="24"/>
              </w:rPr>
              <w:t>4</w:t>
            </w:r>
            <w:r>
              <w:rPr>
                <w:rFonts w:hint="eastAsia" w:ascii="宋体" w:hAnsi="宋体" w:cs="宋体"/>
                <w:sz w:val="24"/>
              </w:rPr>
              <w:t xml:space="preserve"> 分，满分</w:t>
            </w:r>
            <w:r>
              <w:rPr>
                <w:rFonts w:ascii="宋体" w:hAnsi="宋体" w:cs="宋体"/>
                <w:sz w:val="24"/>
              </w:rPr>
              <w:t>16</w:t>
            </w:r>
            <w:r>
              <w:rPr>
                <w:rFonts w:hint="eastAsia" w:ascii="宋体" w:hAnsi="宋体" w:cs="宋体"/>
                <w:sz w:val="24"/>
              </w:rPr>
              <w:t>分。</w:t>
            </w:r>
          </w:p>
          <w:p>
            <w:pPr>
              <w:rPr>
                <w:rFonts w:ascii="宋体" w:hAnsi="宋体" w:cs="宋体"/>
                <w:sz w:val="24"/>
              </w:rPr>
            </w:pPr>
            <w:r>
              <w:rPr>
                <w:rFonts w:hint="eastAsia" w:ascii="宋体" w:hAnsi="宋体" w:cs="宋体"/>
                <w:sz w:val="24"/>
              </w:rPr>
              <w:t xml:space="preserve"> [供应商须在磋商文件提供获奖证书扫描件]</w:t>
            </w:r>
          </w:p>
          <w:p>
            <w:pPr>
              <w:pStyle w:val="2"/>
              <w:rPr>
                <w:rFonts w:ascii="宋体" w:hAnsi="宋体" w:cs="宋体"/>
                <w:caps w:val="0"/>
                <w:sz w:val="24"/>
              </w:rPr>
            </w:pPr>
            <w:r>
              <w:rPr>
                <w:rFonts w:ascii="宋体" w:hAnsi="宋体" w:cs="宋体"/>
                <w:caps w:val="0"/>
                <w:sz w:val="24"/>
              </w:rPr>
              <w:t>5</w:t>
            </w:r>
            <w:r>
              <w:rPr>
                <w:rFonts w:hint="eastAsia" w:ascii="宋体" w:hAnsi="宋体" w:cs="宋体"/>
                <w:caps w:val="0"/>
                <w:sz w:val="24"/>
              </w:rPr>
              <w:t>、供应商自2</w:t>
            </w:r>
            <w:r>
              <w:rPr>
                <w:rFonts w:ascii="宋体" w:hAnsi="宋体" w:cs="宋体"/>
                <w:caps w:val="0"/>
                <w:sz w:val="24"/>
              </w:rPr>
              <w:t>017</w:t>
            </w:r>
            <w:r>
              <w:rPr>
                <w:rFonts w:hint="eastAsia" w:ascii="宋体" w:hAnsi="宋体" w:cs="宋体"/>
                <w:caps w:val="0"/>
                <w:sz w:val="24"/>
              </w:rPr>
              <w:t>年1月1日至今（以合同签订时间为准），每具备一个海绵城市规划或设计业绩的得</w:t>
            </w:r>
            <w:r>
              <w:rPr>
                <w:rFonts w:ascii="宋体" w:hAnsi="宋体" w:cs="宋体"/>
                <w:caps w:val="0"/>
                <w:sz w:val="24"/>
              </w:rPr>
              <w:t>3</w:t>
            </w:r>
            <w:r>
              <w:rPr>
                <w:rFonts w:hint="eastAsia" w:ascii="宋体" w:hAnsi="宋体" w:cs="宋体"/>
                <w:caps w:val="0"/>
                <w:sz w:val="24"/>
              </w:rPr>
              <w:t>分，满分</w:t>
            </w:r>
            <w:r>
              <w:rPr>
                <w:rFonts w:ascii="宋体" w:hAnsi="宋体" w:cs="宋体"/>
                <w:caps w:val="0"/>
                <w:sz w:val="24"/>
              </w:rPr>
              <w:t>15</w:t>
            </w:r>
            <w:r>
              <w:rPr>
                <w:rFonts w:hint="eastAsia" w:ascii="宋体" w:hAnsi="宋体" w:cs="宋体"/>
                <w:caps w:val="0"/>
                <w:sz w:val="24"/>
              </w:rPr>
              <w:t>分。</w:t>
            </w:r>
          </w:p>
          <w:p>
            <w:pPr>
              <w:rPr>
                <w:rFonts w:ascii="宋体" w:hAnsi="宋体" w:cs="宋体"/>
                <w:sz w:val="24"/>
              </w:rPr>
            </w:pPr>
            <w:r>
              <w:rPr>
                <w:rFonts w:hint="eastAsia" w:ascii="宋体" w:hAnsi="宋体" w:cs="宋体"/>
                <w:sz w:val="24"/>
              </w:rPr>
              <w:t>[供应商须在磋商文件提供合同扫描件，并加盖供应商公章]</w:t>
            </w:r>
          </w:p>
          <w:p>
            <w:pPr>
              <w:rPr>
                <w:rFonts w:ascii="宋体" w:hAnsi="宋体" w:cs="宋体"/>
                <w:sz w:val="24"/>
              </w:rPr>
            </w:pPr>
          </w:p>
        </w:tc>
        <w:tc>
          <w:tcPr>
            <w:tcW w:w="2342" w:type="dxa"/>
            <w:tcBorders>
              <w:top w:val="single" w:color="auto" w:sz="4" w:space="0"/>
              <w:bottom w:val="single" w:color="auto" w:sz="4" w:space="0"/>
            </w:tcBorders>
            <w:noWrap/>
            <w:vAlign w:val="center"/>
          </w:tcPr>
          <w:p>
            <w:pPr>
              <w:spacing w:line="540" w:lineRule="exact"/>
              <w:jc w:val="center"/>
              <w:rPr>
                <w:rFonts w:ascii="宋体" w:hAnsi="宋体" w:cs="宋体"/>
                <w:sz w:val="24"/>
              </w:rPr>
            </w:pPr>
            <w:r>
              <w:rPr>
                <w:rFonts w:hint="eastAsia" w:ascii="宋体" w:hAnsi="宋体" w:cs="宋体"/>
                <w:sz w:val="24"/>
              </w:rPr>
              <w:t>须提供</w:t>
            </w:r>
            <w:r>
              <w:rPr>
                <w:rFonts w:hint="eastAsia" w:ascii="宋体" w:hAnsi="宋体" w:cs="宋体"/>
                <w:sz w:val="24"/>
                <w:szCs w:val="24"/>
              </w:rPr>
              <w:t>相关证书复印件</w:t>
            </w:r>
            <w:r>
              <w:rPr>
                <w:rFonts w:hint="eastAsia" w:ascii="宋体" w:hAnsi="宋体" w:cs="宋体"/>
                <w:sz w:val="24"/>
              </w:rPr>
              <w:t>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675" w:type="dxa"/>
            <w:noWrap/>
            <w:vAlign w:val="center"/>
          </w:tcPr>
          <w:p>
            <w:pPr>
              <w:spacing w:line="540" w:lineRule="exact"/>
              <w:rPr>
                <w:rFonts w:ascii="宋体" w:hAnsi="宋体" w:cs="宋体"/>
                <w:sz w:val="24"/>
              </w:rPr>
            </w:pPr>
            <w:r>
              <w:rPr>
                <w:rFonts w:hint="eastAsia" w:ascii="宋体" w:hAnsi="宋体" w:cs="宋体"/>
                <w:sz w:val="24"/>
              </w:rPr>
              <w:t>4</w:t>
            </w:r>
          </w:p>
        </w:tc>
        <w:tc>
          <w:tcPr>
            <w:tcW w:w="1134" w:type="dxa"/>
            <w:gridSpan w:val="2"/>
            <w:noWrap/>
            <w:vAlign w:val="center"/>
          </w:tcPr>
          <w:p>
            <w:pPr>
              <w:jc w:val="left"/>
              <w:rPr>
                <w:rFonts w:ascii="宋体" w:hAnsi="宋体" w:cs="宋体"/>
                <w:sz w:val="24"/>
              </w:rPr>
            </w:pPr>
            <w:r>
              <w:rPr>
                <w:rFonts w:hint="eastAsia" w:ascii="宋体" w:hAnsi="宋体" w:cs="宋体"/>
                <w:sz w:val="24"/>
              </w:rPr>
              <w:t>政策性加分（5分）</w:t>
            </w:r>
          </w:p>
        </w:tc>
        <w:tc>
          <w:tcPr>
            <w:tcW w:w="5331" w:type="dxa"/>
            <w:tcBorders>
              <w:top w:val="single" w:color="auto" w:sz="4" w:space="0"/>
            </w:tcBorders>
            <w:noWrap/>
            <w:vAlign w:val="center"/>
          </w:tcPr>
          <w:p>
            <w:pPr>
              <w:spacing w:line="540" w:lineRule="exact"/>
              <w:rPr>
                <w:rFonts w:ascii="宋体" w:hAnsi="宋体" w:cs="宋体"/>
                <w:sz w:val="24"/>
                <w:szCs w:val="24"/>
              </w:rPr>
            </w:pPr>
            <w:r>
              <w:rPr>
                <w:rFonts w:hint="eastAsia" w:ascii="宋体" w:hAnsi="宋体" w:cs="宋体"/>
                <w:sz w:val="24"/>
                <w:szCs w:val="24"/>
              </w:rPr>
              <w:t>1.投标产品属于《财政部 发展改革委关于印发节能产品政府采购品目清单的通知》（财库〔2019〕19号）范围内的节能产品，且“节能产品政府采购品目清单”中未标注“★”的，有一款得0.5分，最多得2分（清单中以“★”标注为政府强制采购的节能产品）。</w:t>
            </w:r>
          </w:p>
          <w:p>
            <w:pPr>
              <w:spacing w:line="540" w:lineRule="exact"/>
              <w:rPr>
                <w:rFonts w:ascii="宋体" w:hAnsi="宋体" w:cs="宋体"/>
                <w:sz w:val="24"/>
                <w:szCs w:val="24"/>
              </w:rPr>
            </w:pPr>
            <w:r>
              <w:rPr>
                <w:rFonts w:hint="eastAsia" w:ascii="宋体" w:hAnsi="宋体" w:cs="宋体"/>
                <w:sz w:val="24"/>
                <w:szCs w:val="24"/>
              </w:rPr>
              <w:t>说明：提供所投产品列入《财政部 发展改革委关于印发节能产品政府采购品目清单的通知》（财库〔2019〕19号）中“节能产品政府采购品目清单”所在页面打印件，及国家确定的认证机构出具的、处于有效期之内的节能产品认证证书复印件。</w:t>
            </w:r>
          </w:p>
          <w:p>
            <w:pPr>
              <w:spacing w:line="540" w:lineRule="exact"/>
              <w:rPr>
                <w:rFonts w:ascii="宋体" w:hAnsi="宋体" w:cs="宋体"/>
                <w:sz w:val="24"/>
                <w:szCs w:val="24"/>
              </w:rPr>
            </w:pPr>
            <w:r>
              <w:rPr>
                <w:rFonts w:hint="eastAsia" w:ascii="宋体" w:hAnsi="宋体" w:cs="宋体"/>
                <w:sz w:val="24"/>
                <w:szCs w:val="24"/>
              </w:rPr>
              <w:t>2.投标产品属于《财政部 生态环境部关于印发环境标志产品政府采购品目清单的通知》（财库〔2019〕18号）范围内的环境标志产品的，有一款得0.5分，最多得2分。</w:t>
            </w:r>
          </w:p>
          <w:p>
            <w:pPr>
              <w:spacing w:line="540" w:lineRule="exact"/>
              <w:rPr>
                <w:rFonts w:ascii="宋体" w:hAnsi="宋体" w:cs="宋体"/>
                <w:sz w:val="24"/>
                <w:szCs w:val="24"/>
              </w:rPr>
            </w:pPr>
            <w:r>
              <w:rPr>
                <w:rFonts w:hint="eastAsia" w:ascii="宋体" w:hAnsi="宋体" w:cs="宋体"/>
                <w:sz w:val="24"/>
                <w:szCs w:val="24"/>
              </w:rPr>
              <w:t>说明：提供所投产品列入《财政部 生态环境部关于印发环境标志产品政府采购品目清单的通知》（财库〔2019〕18号）中“环境标志产品政府采购品目清单”所在页面打印件，及国家确定的认证机构出具的、处于有效期之内的环境标志产品认证证书复印件。</w:t>
            </w:r>
          </w:p>
          <w:p>
            <w:pPr>
              <w:rPr>
                <w:rFonts w:ascii="宋体" w:hAnsi="宋体" w:cs="宋体"/>
                <w:sz w:val="24"/>
                <w:szCs w:val="24"/>
              </w:rPr>
            </w:pPr>
            <w:r>
              <w:rPr>
                <w:rFonts w:hint="eastAsia" w:ascii="宋体" w:hAnsi="宋体" w:cs="宋体"/>
                <w:sz w:val="24"/>
                <w:szCs w:val="24"/>
              </w:rPr>
              <w:t>3.所投分包的所有投标产品的原产地在西部地区的，得1分。</w:t>
            </w:r>
          </w:p>
        </w:tc>
        <w:tc>
          <w:tcPr>
            <w:tcW w:w="2342" w:type="dxa"/>
            <w:tcBorders>
              <w:top w:val="single" w:color="auto" w:sz="4" w:space="0"/>
            </w:tcBorders>
            <w:noWrap/>
            <w:vAlign w:val="center"/>
          </w:tcPr>
          <w:p>
            <w:pPr>
              <w:spacing w:line="540" w:lineRule="exact"/>
              <w:jc w:val="center"/>
              <w:rPr>
                <w:rFonts w:ascii="宋体" w:hAnsi="宋体" w:cs="宋体"/>
                <w:sz w:val="24"/>
              </w:rPr>
            </w:pPr>
          </w:p>
        </w:tc>
      </w:tr>
    </w:tbl>
    <w:p>
      <w:pPr>
        <w:snapToGrid w:val="0"/>
        <w:spacing w:line="360" w:lineRule="auto"/>
        <w:ind w:firstLine="465"/>
        <w:rPr>
          <w:rFonts w:hint="eastAsia" w:ascii="宋体" w:hAnsi="宋体" w:cs="宋体"/>
          <w:sz w:val="24"/>
          <w:szCs w:val="24"/>
        </w:rPr>
      </w:pPr>
      <w:bookmarkStart w:id="32" w:name="_Toc54278997"/>
      <w:bookmarkStart w:id="88" w:name="_GoBack"/>
      <w:r>
        <w:rPr>
          <w:rFonts w:hint="eastAsia" w:ascii="宋体" w:hAnsi="宋体" w:cs="宋体"/>
          <w:sz w:val="24"/>
          <w:szCs w:val="24"/>
        </w:rPr>
        <w:t>所有计算及得分保留至小数点后两位，小数点后第三位四舍五入。</w:t>
      </w:r>
    </w:p>
    <w:p>
      <w:pPr>
        <w:snapToGrid w:val="0"/>
        <w:spacing w:line="360" w:lineRule="auto"/>
        <w:ind w:firstLine="465"/>
        <w:rPr>
          <w:rFonts w:hint="eastAsia" w:ascii="宋体" w:hAnsi="宋体" w:cs="宋体"/>
          <w:sz w:val="24"/>
          <w:szCs w:val="24"/>
          <w:lang w:val="en-US" w:eastAsia="zh-CN"/>
        </w:rPr>
      </w:pPr>
      <w:r>
        <w:rPr>
          <w:rFonts w:hint="eastAsia" w:ascii="宋体" w:hAnsi="宋体" w:cs="宋体"/>
          <w:sz w:val="24"/>
          <w:szCs w:val="24"/>
          <w:lang w:val="en-US" w:eastAsia="zh-CN"/>
        </w:rPr>
        <w:t>关于小微企业报价扣除比例说明</w:t>
      </w:r>
    </w:p>
    <w:p>
      <w:pPr>
        <w:snapToGrid w:val="0"/>
        <w:spacing w:line="360" w:lineRule="auto"/>
        <w:ind w:firstLine="465"/>
        <w:rPr>
          <w:rFonts w:hint="eastAsia" w:ascii="宋体" w:hAnsi="宋体" w:cs="宋体"/>
          <w:sz w:val="24"/>
          <w:szCs w:val="24"/>
          <w:lang w:val="en-US" w:eastAsia="zh-CN"/>
        </w:rPr>
      </w:pPr>
      <w:r>
        <w:rPr>
          <w:rFonts w:hint="eastAsia" w:ascii="宋体" w:hAnsi="宋体" w:cs="宋体"/>
          <w:sz w:val="24"/>
          <w:szCs w:val="24"/>
          <w:lang w:val="en-US" w:eastAsia="zh-CN"/>
        </w:rPr>
        <w:t>1.对小微型企业给予6%的扣除，以扣除后的报价参与评审。</w:t>
      </w:r>
    </w:p>
    <w:p>
      <w:pPr>
        <w:snapToGrid w:val="0"/>
        <w:spacing w:line="360" w:lineRule="auto"/>
        <w:ind w:firstLine="465"/>
        <w:rPr>
          <w:rFonts w:hint="eastAsia" w:ascii="宋体" w:hAnsi="宋体" w:cs="宋体"/>
          <w:sz w:val="24"/>
          <w:szCs w:val="24"/>
          <w:lang w:val="en-US" w:eastAsia="zh-CN"/>
        </w:rPr>
      </w:pPr>
      <w:r>
        <w:rPr>
          <w:rFonts w:hint="eastAsia" w:ascii="宋体" w:hAnsi="宋体" w:cs="宋体"/>
          <w:sz w:val="24"/>
          <w:szCs w:val="24"/>
          <w:lang w:val="en-US" w:eastAsia="zh-CN"/>
        </w:rPr>
        <w:t>2.监狱企业、残疾人福利性单位属于微型企业的，应提供微型企业承诺书（详见第七篇 五、其他应提供的资料“中小微企业声明函”）。未提供以上资料的监狱企业、残疾人福利性单位视同小型企业。</w:t>
      </w:r>
    </w:p>
    <w:bookmarkEnd w:id="88"/>
    <w:p>
      <w:pPr>
        <w:snapToGrid w:val="0"/>
        <w:spacing w:line="360" w:lineRule="auto"/>
        <w:rPr>
          <w:rFonts w:ascii="宋体" w:hAnsi="宋体" w:cs="宋体"/>
          <w:b/>
          <w:bCs/>
          <w:sz w:val="24"/>
          <w:szCs w:val="24"/>
        </w:rPr>
      </w:pPr>
      <w:r>
        <w:rPr>
          <w:rFonts w:hint="eastAsia" w:ascii="宋体" w:hAnsi="宋体" w:cs="宋体"/>
          <w:b/>
          <w:bCs/>
          <w:sz w:val="24"/>
          <w:szCs w:val="24"/>
        </w:rPr>
        <w:t>三、无效响应</w:t>
      </w:r>
      <w:bookmarkEnd w:id="32"/>
    </w:p>
    <w:p>
      <w:pPr>
        <w:snapToGrid w:val="0"/>
        <w:spacing w:line="360" w:lineRule="auto"/>
        <w:ind w:firstLine="465"/>
        <w:rPr>
          <w:rFonts w:ascii="宋体" w:hAnsi="宋体" w:cs="宋体"/>
          <w:sz w:val="24"/>
          <w:szCs w:val="24"/>
        </w:rPr>
      </w:pPr>
      <w:bookmarkStart w:id="33" w:name="_Toc54278998"/>
      <w:r>
        <w:rPr>
          <w:rFonts w:hint="eastAsia" w:ascii="宋体" w:hAnsi="宋体" w:cs="宋体"/>
          <w:sz w:val="24"/>
          <w:szCs w:val="24"/>
        </w:rPr>
        <w:t>竞标人发生以下条款情况之一者，视为无效响应，其响应文件将被拒绝：</w:t>
      </w:r>
    </w:p>
    <w:p>
      <w:pPr>
        <w:snapToGrid w:val="0"/>
        <w:spacing w:line="360" w:lineRule="auto"/>
        <w:ind w:firstLine="465"/>
        <w:rPr>
          <w:rFonts w:ascii="宋体" w:hAnsi="宋体" w:cs="宋体"/>
          <w:sz w:val="24"/>
          <w:szCs w:val="24"/>
        </w:rPr>
      </w:pPr>
      <w:r>
        <w:rPr>
          <w:rFonts w:hint="eastAsia" w:ascii="宋体" w:hAnsi="宋体" w:cs="宋体"/>
          <w:sz w:val="24"/>
          <w:szCs w:val="24"/>
        </w:rPr>
        <w:t>（一）竞标人不符合规定的基本资格条件或特定资格条件的；</w:t>
      </w:r>
    </w:p>
    <w:p>
      <w:pPr>
        <w:snapToGrid w:val="0"/>
        <w:spacing w:line="360" w:lineRule="auto"/>
        <w:ind w:firstLine="465"/>
        <w:rPr>
          <w:rFonts w:ascii="宋体" w:hAnsi="宋体" w:cs="宋体"/>
          <w:sz w:val="24"/>
          <w:szCs w:val="24"/>
        </w:rPr>
      </w:pPr>
      <w:r>
        <w:rPr>
          <w:rFonts w:hint="eastAsia" w:ascii="宋体" w:hAnsi="宋体" w:cs="宋体"/>
          <w:sz w:val="24"/>
          <w:szCs w:val="24"/>
        </w:rPr>
        <w:t>（二）竞标人的法定代表人或其授权代表未参加磋商；</w:t>
      </w:r>
    </w:p>
    <w:p>
      <w:pPr>
        <w:snapToGrid w:val="0"/>
        <w:spacing w:line="360" w:lineRule="auto"/>
        <w:ind w:firstLine="465"/>
        <w:rPr>
          <w:rFonts w:ascii="宋体" w:hAnsi="宋体" w:cs="宋体"/>
          <w:sz w:val="24"/>
          <w:szCs w:val="24"/>
        </w:rPr>
      </w:pPr>
      <w:r>
        <w:rPr>
          <w:rFonts w:hint="eastAsia" w:ascii="宋体" w:hAnsi="宋体" w:cs="宋体"/>
          <w:sz w:val="24"/>
          <w:szCs w:val="24"/>
        </w:rPr>
        <w:t>（三）竞标人未按照竞争性磋商文件的要求缴纳磋商保证金；</w:t>
      </w:r>
    </w:p>
    <w:p>
      <w:pPr>
        <w:snapToGrid w:val="0"/>
        <w:spacing w:line="360" w:lineRule="auto"/>
        <w:ind w:firstLine="465"/>
        <w:rPr>
          <w:rFonts w:ascii="宋体" w:hAnsi="宋体" w:cs="宋体"/>
          <w:sz w:val="24"/>
          <w:szCs w:val="24"/>
        </w:rPr>
      </w:pPr>
      <w:r>
        <w:rPr>
          <w:rFonts w:hint="eastAsia" w:ascii="宋体" w:hAnsi="宋体" w:cs="宋体"/>
          <w:sz w:val="24"/>
          <w:szCs w:val="24"/>
        </w:rPr>
        <w:t>（四）竞标人所提交的响应文件不按第七篇“响应文件编制要求”规定编制或签字、盖章；</w:t>
      </w:r>
    </w:p>
    <w:p>
      <w:pPr>
        <w:snapToGrid w:val="0"/>
        <w:spacing w:line="360" w:lineRule="auto"/>
        <w:ind w:firstLine="465"/>
        <w:rPr>
          <w:rFonts w:ascii="宋体" w:hAnsi="宋体" w:cs="宋体"/>
          <w:sz w:val="24"/>
          <w:szCs w:val="24"/>
        </w:rPr>
      </w:pPr>
      <w:r>
        <w:rPr>
          <w:rFonts w:hint="eastAsia" w:ascii="宋体" w:hAnsi="宋体" w:cs="宋体"/>
          <w:sz w:val="24"/>
          <w:szCs w:val="24"/>
        </w:rPr>
        <w:t>（五）竞标人的最后报价超过采购预算的；</w:t>
      </w:r>
    </w:p>
    <w:p>
      <w:pPr>
        <w:snapToGrid w:val="0"/>
        <w:spacing w:line="360" w:lineRule="auto"/>
        <w:ind w:firstLine="465"/>
        <w:rPr>
          <w:rFonts w:ascii="宋体" w:hAnsi="宋体" w:cs="宋体"/>
          <w:sz w:val="24"/>
          <w:szCs w:val="24"/>
        </w:rPr>
      </w:pPr>
      <w:r>
        <w:rPr>
          <w:rFonts w:hint="eastAsia" w:ascii="宋体" w:hAnsi="宋体" w:cs="宋体"/>
          <w:sz w:val="24"/>
          <w:szCs w:val="24"/>
        </w:rPr>
        <w:t>（六）法定代表人为同一个人的两个及两个以上法人，母公司、全资子公司及其控股公司，在同一分包采购中同时参与磋商；</w:t>
      </w:r>
    </w:p>
    <w:p>
      <w:pPr>
        <w:snapToGrid w:val="0"/>
        <w:spacing w:line="360" w:lineRule="auto"/>
        <w:ind w:firstLine="465"/>
        <w:rPr>
          <w:rFonts w:ascii="宋体" w:hAnsi="宋体" w:cs="宋体"/>
          <w:sz w:val="24"/>
          <w:szCs w:val="24"/>
        </w:rPr>
      </w:pPr>
      <w:r>
        <w:rPr>
          <w:rFonts w:hint="eastAsia" w:ascii="宋体" w:hAnsi="宋体" w:cs="宋体"/>
          <w:sz w:val="24"/>
          <w:szCs w:val="24"/>
        </w:rPr>
        <w:t>（七）单位负责人为同一人或者存在直接控股、管理关系的不同竞标人，参加同一合同项下的政府采购活动的；</w:t>
      </w:r>
    </w:p>
    <w:p>
      <w:pPr>
        <w:snapToGrid w:val="0"/>
        <w:spacing w:line="360" w:lineRule="auto"/>
        <w:ind w:firstLine="465"/>
        <w:rPr>
          <w:rFonts w:ascii="宋体" w:hAnsi="宋体" w:cs="宋体"/>
          <w:sz w:val="24"/>
          <w:szCs w:val="24"/>
        </w:rPr>
      </w:pPr>
      <w:r>
        <w:rPr>
          <w:rFonts w:hint="eastAsia" w:ascii="宋体" w:hAnsi="宋体" w:cs="宋体"/>
          <w:sz w:val="24"/>
          <w:szCs w:val="24"/>
        </w:rPr>
        <w:t>（八）为采购项目提供整体设计、规范编制或者项目管理、监理、检测等服务的竞标人，再参加该采购项目的其他采购活动；</w:t>
      </w:r>
    </w:p>
    <w:p>
      <w:pPr>
        <w:snapToGrid w:val="0"/>
        <w:spacing w:line="360" w:lineRule="auto"/>
        <w:ind w:firstLine="465"/>
        <w:rPr>
          <w:rFonts w:ascii="宋体" w:hAnsi="宋体" w:cs="宋体"/>
          <w:sz w:val="24"/>
          <w:szCs w:val="24"/>
        </w:rPr>
      </w:pPr>
      <w:r>
        <w:rPr>
          <w:rFonts w:hint="eastAsia" w:ascii="宋体" w:hAnsi="宋体" w:cs="宋体"/>
          <w:sz w:val="24"/>
          <w:szCs w:val="24"/>
        </w:rPr>
        <w:t>（九）“第二篇 采购服务需求”、“第三篇 采购商务需求”有一条及以上不能满足竞争性磋商文件要求的；</w:t>
      </w:r>
    </w:p>
    <w:p>
      <w:pPr>
        <w:snapToGrid w:val="0"/>
        <w:spacing w:line="360" w:lineRule="auto"/>
        <w:ind w:firstLine="465"/>
        <w:rPr>
          <w:rFonts w:ascii="宋体" w:hAnsi="宋体" w:cs="宋体"/>
          <w:sz w:val="24"/>
          <w:szCs w:val="24"/>
        </w:rPr>
      </w:pPr>
      <w:r>
        <w:rPr>
          <w:rFonts w:hint="eastAsia" w:ascii="宋体" w:hAnsi="宋体" w:cs="宋体"/>
          <w:sz w:val="24"/>
          <w:szCs w:val="24"/>
        </w:rPr>
        <w:t>（十）竞标人响应文件内容有与国家现行法律法规相违背的内容，或附有采购人无法接受的条件。</w:t>
      </w:r>
    </w:p>
    <w:p>
      <w:pPr>
        <w:snapToGrid w:val="0"/>
        <w:spacing w:line="360" w:lineRule="auto"/>
        <w:ind w:firstLine="465"/>
        <w:rPr>
          <w:rFonts w:ascii="宋体" w:hAnsi="宋体" w:cs="宋体"/>
          <w:sz w:val="24"/>
          <w:szCs w:val="24"/>
        </w:rPr>
      </w:pPr>
      <w:r>
        <w:rPr>
          <w:rFonts w:hint="eastAsia" w:ascii="宋体" w:hAnsi="宋体" w:cs="宋体"/>
          <w:sz w:val="24"/>
          <w:szCs w:val="24"/>
        </w:rPr>
        <w:t>（十一）本磋商文件规定的其它情形。</w:t>
      </w:r>
    </w:p>
    <w:p>
      <w:pPr>
        <w:pStyle w:val="4"/>
        <w:spacing w:line="360" w:lineRule="auto"/>
        <w:rPr>
          <w:rFonts w:ascii="宋体" w:hAnsi="宋体" w:cs="宋体"/>
          <w:sz w:val="24"/>
          <w:szCs w:val="24"/>
        </w:rPr>
      </w:pPr>
      <w:r>
        <w:rPr>
          <w:rFonts w:hint="eastAsia" w:ascii="宋体" w:hAnsi="宋体" w:cs="宋体"/>
          <w:sz w:val="24"/>
          <w:szCs w:val="24"/>
        </w:rPr>
        <w:t>四、</w:t>
      </w:r>
      <w:bookmarkEnd w:id="30"/>
      <w:bookmarkEnd w:id="31"/>
      <w:r>
        <w:rPr>
          <w:rFonts w:hint="eastAsia" w:ascii="宋体" w:hAnsi="宋体" w:cs="宋体"/>
          <w:sz w:val="24"/>
          <w:szCs w:val="24"/>
        </w:rPr>
        <w:t>采购终止</w:t>
      </w:r>
      <w:bookmarkEnd w:id="33"/>
    </w:p>
    <w:p>
      <w:pPr>
        <w:snapToGrid w:val="0"/>
        <w:spacing w:line="360" w:lineRule="auto"/>
        <w:ind w:firstLine="465"/>
        <w:rPr>
          <w:rFonts w:ascii="宋体" w:hAnsi="宋体" w:cs="宋体"/>
          <w:sz w:val="24"/>
          <w:szCs w:val="24"/>
        </w:rPr>
      </w:pPr>
      <w:r>
        <w:rPr>
          <w:rFonts w:hint="eastAsia" w:ascii="宋体" w:hAnsi="宋体" w:cs="宋体"/>
          <w:sz w:val="24"/>
          <w:szCs w:val="24"/>
        </w:rPr>
        <w:t>出现下列情形之一的，采购人应当终止竞争性磋商采购活动，发布项目终止公告并说明原因，重新开展采购活动：</w:t>
      </w:r>
    </w:p>
    <w:p>
      <w:pPr>
        <w:snapToGrid w:val="0"/>
        <w:spacing w:line="360" w:lineRule="auto"/>
        <w:ind w:firstLine="465"/>
        <w:rPr>
          <w:rFonts w:ascii="宋体" w:hAnsi="宋体" w:cs="宋体"/>
          <w:sz w:val="24"/>
          <w:szCs w:val="24"/>
        </w:rPr>
      </w:pPr>
      <w:r>
        <w:rPr>
          <w:rFonts w:hint="eastAsia" w:ascii="宋体" w:hAnsi="宋体" w:cs="宋体"/>
          <w:sz w:val="24"/>
          <w:szCs w:val="24"/>
        </w:rPr>
        <w:t>（一）因情况变化，不再符合规定的竞争性磋商采购方式适用情形的；</w:t>
      </w:r>
    </w:p>
    <w:p>
      <w:pPr>
        <w:snapToGrid w:val="0"/>
        <w:spacing w:line="360" w:lineRule="auto"/>
        <w:ind w:firstLine="465"/>
        <w:rPr>
          <w:rFonts w:ascii="宋体" w:hAnsi="宋体" w:cs="宋体"/>
          <w:sz w:val="24"/>
          <w:szCs w:val="24"/>
        </w:rPr>
      </w:pPr>
      <w:r>
        <w:rPr>
          <w:rFonts w:hint="eastAsia" w:ascii="宋体" w:hAnsi="宋体" w:cs="宋体"/>
          <w:sz w:val="24"/>
          <w:szCs w:val="24"/>
        </w:rPr>
        <w:t>（二）出现影响采购公正的违法、违规行为的；</w:t>
      </w:r>
    </w:p>
    <w:p>
      <w:pPr>
        <w:snapToGrid w:val="0"/>
        <w:spacing w:line="360" w:lineRule="auto"/>
        <w:ind w:firstLine="465"/>
        <w:rPr>
          <w:rFonts w:ascii="宋体" w:hAnsi="宋体" w:cs="宋体"/>
          <w:sz w:val="24"/>
          <w:szCs w:val="24"/>
        </w:rPr>
      </w:pPr>
      <w:r>
        <w:rPr>
          <w:rFonts w:hint="eastAsia" w:ascii="宋体" w:hAnsi="宋体" w:cs="宋体"/>
          <w:sz w:val="24"/>
          <w:szCs w:val="24"/>
        </w:rPr>
        <w:t>（三）在采购过程中符合要求的供应商或者报价未超过采购预算的供应商不足3家的，但《政府采购竞争性磋商采购方式管理暂行办法》第二十一条第三款规定的情形除外。</w:t>
      </w:r>
    </w:p>
    <w:p>
      <w:pPr>
        <w:snapToGrid w:val="0"/>
        <w:spacing w:line="360" w:lineRule="auto"/>
        <w:ind w:firstLine="465"/>
        <w:rPr>
          <w:rFonts w:ascii="宋体" w:hAnsi="宋体" w:cs="宋体"/>
          <w:sz w:val="24"/>
          <w:szCs w:val="24"/>
        </w:rPr>
        <w:sectPr>
          <w:pgSz w:w="11907" w:h="16840"/>
          <w:pgMar w:top="1134" w:right="1191" w:bottom="1134" w:left="1304" w:header="964" w:footer="992" w:gutter="0"/>
          <w:pgNumType w:fmt="numberInDash"/>
          <w:cols w:space="720" w:num="1"/>
          <w:docGrid w:linePitch="312" w:charSpace="0"/>
        </w:sectPr>
      </w:pPr>
    </w:p>
    <w:p>
      <w:pPr>
        <w:pStyle w:val="3"/>
        <w:spacing w:line="360" w:lineRule="auto"/>
        <w:jc w:val="center"/>
        <w:rPr>
          <w:rFonts w:ascii="宋体" w:hAnsi="宋体" w:eastAsia="宋体" w:cs="宋体"/>
          <w:b w:val="0"/>
          <w:szCs w:val="30"/>
        </w:rPr>
      </w:pPr>
      <w:bookmarkStart w:id="34" w:name="_Toc102227313"/>
      <w:bookmarkStart w:id="35" w:name="_Toc54278999"/>
      <w:r>
        <w:rPr>
          <w:rFonts w:hint="eastAsia" w:ascii="宋体" w:hAnsi="宋体" w:eastAsia="宋体" w:cs="宋体"/>
          <w:b w:val="0"/>
          <w:sz w:val="36"/>
          <w:szCs w:val="30"/>
        </w:rPr>
        <w:t>第五篇  供应商须知</w:t>
      </w:r>
      <w:bookmarkEnd w:id="34"/>
      <w:bookmarkEnd w:id="35"/>
    </w:p>
    <w:p>
      <w:pPr>
        <w:pStyle w:val="4"/>
        <w:spacing w:line="360" w:lineRule="auto"/>
        <w:rPr>
          <w:rFonts w:ascii="宋体" w:hAnsi="宋体" w:cs="宋体"/>
          <w:sz w:val="24"/>
          <w:szCs w:val="24"/>
        </w:rPr>
      </w:pPr>
      <w:bookmarkStart w:id="36" w:name="_Toc54279000"/>
      <w:bookmarkStart w:id="37" w:name="_Toc342913389"/>
      <w:r>
        <w:rPr>
          <w:rFonts w:hint="eastAsia" w:ascii="宋体" w:hAnsi="宋体" w:cs="宋体"/>
          <w:sz w:val="24"/>
          <w:szCs w:val="24"/>
        </w:rPr>
        <w:t>一、磋商费用</w:t>
      </w:r>
      <w:bookmarkEnd w:id="36"/>
      <w:bookmarkEnd w:id="37"/>
    </w:p>
    <w:p>
      <w:pPr>
        <w:pStyle w:val="15"/>
        <w:spacing w:line="360" w:lineRule="auto"/>
        <w:ind w:firstLine="480" w:firstLineChars="200"/>
        <w:rPr>
          <w:rFonts w:hAnsi="宋体" w:cs="宋体"/>
          <w:sz w:val="24"/>
          <w:szCs w:val="24"/>
        </w:rPr>
      </w:pPr>
      <w:r>
        <w:rPr>
          <w:rFonts w:hint="eastAsia" w:hAnsi="宋体" w:cs="宋体"/>
          <w:sz w:val="24"/>
          <w:szCs w:val="24"/>
        </w:rPr>
        <w:t>参与磋商的供应商应承担其编制响应文件与递交响应文件所涉及的一切费用，不论磋商结果如何，采购人在任何情况下无义务也无责任承担这些费用。</w:t>
      </w:r>
    </w:p>
    <w:p>
      <w:pPr>
        <w:pStyle w:val="4"/>
        <w:tabs>
          <w:tab w:val="left" w:pos="2640"/>
        </w:tabs>
        <w:spacing w:line="360" w:lineRule="auto"/>
        <w:rPr>
          <w:rFonts w:ascii="宋体" w:hAnsi="宋体" w:cs="宋体"/>
          <w:sz w:val="24"/>
          <w:szCs w:val="24"/>
        </w:rPr>
      </w:pPr>
      <w:bookmarkStart w:id="38" w:name="_Toc54279001"/>
      <w:bookmarkStart w:id="39" w:name="_Toc342913391"/>
      <w:r>
        <w:rPr>
          <w:rFonts w:hint="eastAsia" w:ascii="宋体" w:hAnsi="宋体" w:cs="宋体"/>
          <w:sz w:val="24"/>
          <w:szCs w:val="24"/>
        </w:rPr>
        <w:t>二、竞争性磋商文件</w:t>
      </w:r>
      <w:bookmarkEnd w:id="38"/>
      <w:bookmarkEnd w:id="39"/>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（一）竞争性磋商文件由采购邀请书、项目服务需求、供应商须知、项目商务需求、磋商程序及方法、评审标准、无效响应和采购终止、供应商须知</w:t>
      </w:r>
      <w:r>
        <w:rPr>
          <w:rFonts w:hint="eastAsia" w:ascii="宋体" w:hAnsi="宋体" w:cs="宋体"/>
          <w:b/>
          <w:sz w:val="24"/>
          <w:szCs w:val="24"/>
        </w:rPr>
        <w:t>、</w:t>
      </w:r>
      <w:r>
        <w:rPr>
          <w:rFonts w:hint="eastAsia" w:ascii="宋体" w:hAnsi="宋体" w:cs="宋体"/>
          <w:sz w:val="24"/>
          <w:szCs w:val="24"/>
        </w:rPr>
        <w:t>政府采购合同</w:t>
      </w:r>
      <w:r>
        <w:rPr>
          <w:rFonts w:hint="eastAsia" w:ascii="宋体" w:hAnsi="宋体" w:cs="宋体"/>
          <w:b/>
          <w:sz w:val="24"/>
          <w:szCs w:val="24"/>
        </w:rPr>
        <w:t>、</w:t>
      </w:r>
      <w:r>
        <w:rPr>
          <w:rFonts w:hint="eastAsia" w:ascii="宋体" w:hAnsi="宋体" w:cs="宋体"/>
          <w:sz w:val="24"/>
          <w:szCs w:val="24"/>
        </w:rPr>
        <w:t>响应文件编制要求七部分组成。</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（二）采购人所作的一切有效的书面通知、修改及补充，都是竞争性磋商文件不可分割的部分。</w:t>
      </w:r>
    </w:p>
    <w:p>
      <w:pPr>
        <w:spacing w:line="360" w:lineRule="auto"/>
        <w:ind w:firstLine="480" w:firstLineChars="200"/>
        <w:rPr>
          <w:rFonts w:ascii="宋体" w:hAnsi="宋体" w:cs="宋体"/>
          <w:sz w:val="24"/>
          <w:szCs w:val="24"/>
        </w:rPr>
      </w:pPr>
      <w:bookmarkStart w:id="40" w:name="_Toc318159780"/>
      <w:bookmarkStart w:id="41" w:name="_Toc318159349"/>
      <w:bookmarkStart w:id="42" w:name="_Toc318166429"/>
      <w:bookmarkStart w:id="43" w:name="_Toc318159160"/>
      <w:r>
        <w:rPr>
          <w:rFonts w:hint="eastAsia" w:ascii="宋体" w:hAnsi="宋体" w:cs="宋体"/>
          <w:sz w:val="24"/>
          <w:szCs w:val="24"/>
        </w:rPr>
        <w:t>（三）本竞争性磋商文件中，磋商小组根据与供应商进行磋商可能实质性变动的内容为竞争性磋商文件第二、三、六篇全部内容。</w:t>
      </w:r>
    </w:p>
    <w:p>
      <w:pPr>
        <w:spacing w:line="360" w:lineRule="auto"/>
        <w:ind w:firstLine="480" w:firstLineChars="200"/>
        <w:rPr>
          <w:rFonts w:ascii="宋体" w:hAnsi="宋体" w:cs="宋体"/>
          <w:sz w:val="24"/>
          <w:szCs w:val="24"/>
        </w:rPr>
      </w:pPr>
      <w:r>
        <w:rPr>
          <w:rFonts w:hint="eastAsia" w:ascii="宋体" w:hAnsi="宋体" w:cs="宋体"/>
          <w:sz w:val="24"/>
          <w:szCs w:val="24"/>
        </w:rPr>
        <w:t>（四）评审的依据为竞争性磋商文件和响应文件（含有效的书面承诺）。磋商小组判断响应文件对竞争性磋商文件的响应，仅基于响应文件本身而不靠外部证据。</w:t>
      </w:r>
    </w:p>
    <w:bookmarkEnd w:id="40"/>
    <w:bookmarkEnd w:id="41"/>
    <w:bookmarkEnd w:id="42"/>
    <w:bookmarkEnd w:id="43"/>
    <w:p>
      <w:pPr>
        <w:pStyle w:val="4"/>
        <w:spacing w:line="360" w:lineRule="auto"/>
        <w:rPr>
          <w:rFonts w:ascii="宋体" w:hAnsi="宋体" w:cs="宋体"/>
          <w:sz w:val="24"/>
          <w:szCs w:val="24"/>
        </w:rPr>
      </w:pPr>
      <w:bookmarkStart w:id="44" w:name="_Toc54279002"/>
      <w:bookmarkStart w:id="45" w:name="_Toc342913392"/>
      <w:bookmarkStart w:id="46" w:name="_Toc179714297"/>
      <w:bookmarkStart w:id="47" w:name="_Toc102227318"/>
      <w:r>
        <w:rPr>
          <w:rFonts w:hint="eastAsia" w:ascii="宋体" w:hAnsi="宋体" w:cs="宋体"/>
          <w:sz w:val="24"/>
          <w:szCs w:val="24"/>
        </w:rPr>
        <w:t>三、磋商要求</w:t>
      </w:r>
      <w:bookmarkEnd w:id="44"/>
      <w:bookmarkEnd w:id="45"/>
      <w:bookmarkEnd w:id="46"/>
      <w:bookmarkEnd w:id="47"/>
    </w:p>
    <w:p>
      <w:pPr>
        <w:spacing w:line="360" w:lineRule="auto"/>
        <w:ind w:firstLine="480" w:firstLineChars="200"/>
        <w:rPr>
          <w:rFonts w:ascii="宋体" w:hAnsi="宋体" w:cs="宋体"/>
          <w:sz w:val="24"/>
          <w:szCs w:val="24"/>
        </w:rPr>
      </w:pPr>
      <w:r>
        <w:rPr>
          <w:rFonts w:hint="eastAsia" w:ascii="宋体" w:hAnsi="宋体" w:cs="宋体"/>
          <w:sz w:val="24"/>
          <w:szCs w:val="24"/>
        </w:rPr>
        <w:t>（一）响应文件</w:t>
      </w:r>
    </w:p>
    <w:p>
      <w:pPr>
        <w:spacing w:line="360" w:lineRule="auto"/>
        <w:ind w:firstLine="480" w:firstLineChars="200"/>
        <w:rPr>
          <w:rFonts w:ascii="宋体" w:hAnsi="宋体" w:cs="宋体"/>
          <w:sz w:val="24"/>
          <w:szCs w:val="24"/>
        </w:rPr>
      </w:pPr>
      <w:r>
        <w:rPr>
          <w:rFonts w:hint="eastAsia" w:ascii="宋体" w:hAnsi="宋体" w:cs="宋体"/>
          <w:sz w:val="24"/>
          <w:szCs w:val="24"/>
        </w:rPr>
        <w:t>1.供应商应当按照竞争性磋商文件的要求编制响应文件，并对竞争性磋商文件提出的要求和条件作出实质性响应，响应文件原则上采用软面订本，同时应编制完整的页码、目录。</w:t>
      </w:r>
    </w:p>
    <w:p>
      <w:pPr>
        <w:spacing w:line="360" w:lineRule="auto"/>
        <w:ind w:firstLine="480" w:firstLineChars="200"/>
        <w:rPr>
          <w:rFonts w:ascii="宋体" w:hAnsi="宋体" w:cs="宋体"/>
          <w:sz w:val="24"/>
          <w:szCs w:val="24"/>
        </w:rPr>
      </w:pPr>
      <w:r>
        <w:rPr>
          <w:rFonts w:hint="eastAsia" w:ascii="宋体" w:hAnsi="宋体" w:cs="宋体"/>
          <w:sz w:val="24"/>
          <w:szCs w:val="24"/>
        </w:rPr>
        <w:t>2.响应文件组成</w:t>
      </w:r>
    </w:p>
    <w:p>
      <w:pPr>
        <w:spacing w:line="360" w:lineRule="auto"/>
        <w:ind w:firstLine="480" w:firstLineChars="200"/>
        <w:rPr>
          <w:rFonts w:ascii="宋体" w:hAnsi="宋体" w:cs="宋体"/>
          <w:sz w:val="24"/>
          <w:szCs w:val="24"/>
        </w:rPr>
      </w:pPr>
      <w:r>
        <w:rPr>
          <w:rFonts w:hint="eastAsia" w:ascii="宋体" w:hAnsi="宋体" w:cs="宋体"/>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pPr>
        <w:spacing w:line="360" w:lineRule="auto"/>
        <w:ind w:firstLine="480" w:firstLineChars="200"/>
        <w:rPr>
          <w:rFonts w:ascii="宋体" w:hAnsi="宋体" w:cs="宋体"/>
          <w:sz w:val="24"/>
          <w:szCs w:val="24"/>
        </w:rPr>
      </w:pPr>
      <w:r>
        <w:rPr>
          <w:rFonts w:hint="eastAsia" w:ascii="宋体" w:hAnsi="宋体" w:cs="宋体"/>
          <w:sz w:val="24"/>
          <w:szCs w:val="24"/>
        </w:rPr>
        <w:t>（二）联合体</w:t>
      </w:r>
    </w:p>
    <w:p>
      <w:pPr>
        <w:snapToGrid w:val="0"/>
        <w:spacing w:line="360" w:lineRule="auto"/>
        <w:ind w:firstLine="598" w:firstLineChars="248"/>
        <w:rPr>
          <w:rFonts w:ascii="宋体" w:hAnsi="宋体" w:cs="宋体"/>
          <w:sz w:val="24"/>
          <w:szCs w:val="24"/>
        </w:rPr>
      </w:pPr>
      <w:r>
        <w:rPr>
          <w:rFonts w:hint="eastAsia" w:ascii="宋体" w:hAnsi="宋体" w:cs="宋体"/>
          <w:b/>
          <w:sz w:val="24"/>
          <w:szCs w:val="24"/>
        </w:rPr>
        <w:t>本项目不接受联合体参与磋商。</w:t>
      </w:r>
    </w:p>
    <w:p>
      <w:pPr>
        <w:spacing w:line="360" w:lineRule="auto"/>
        <w:ind w:firstLine="480" w:firstLineChars="200"/>
        <w:rPr>
          <w:rFonts w:ascii="宋体" w:hAnsi="宋体" w:cs="宋体"/>
          <w:sz w:val="24"/>
          <w:szCs w:val="24"/>
        </w:rPr>
      </w:pPr>
      <w:r>
        <w:rPr>
          <w:rFonts w:hint="eastAsia" w:ascii="宋体" w:hAnsi="宋体" w:cs="宋体"/>
          <w:sz w:val="24"/>
          <w:szCs w:val="24"/>
        </w:rPr>
        <w:t>（三）磋商有效期：响应文件及有关承诺文件有效期为提交响应文件截止时间起90天。</w:t>
      </w:r>
    </w:p>
    <w:p>
      <w:pPr>
        <w:spacing w:line="360" w:lineRule="auto"/>
        <w:ind w:firstLine="480" w:firstLineChars="200"/>
        <w:rPr>
          <w:rFonts w:ascii="宋体" w:hAnsi="宋体" w:cs="宋体"/>
          <w:sz w:val="24"/>
          <w:szCs w:val="24"/>
        </w:rPr>
      </w:pPr>
      <w:r>
        <w:rPr>
          <w:rFonts w:hint="eastAsia" w:ascii="宋体" w:hAnsi="宋体" w:cs="宋体"/>
          <w:sz w:val="24"/>
          <w:szCs w:val="24"/>
        </w:rPr>
        <w:t>（四）修正错误</w:t>
      </w:r>
    </w:p>
    <w:p>
      <w:pPr>
        <w:spacing w:line="360" w:lineRule="auto"/>
        <w:ind w:firstLine="480" w:firstLineChars="200"/>
        <w:rPr>
          <w:rFonts w:ascii="宋体" w:hAnsi="宋体" w:cs="宋体"/>
          <w:sz w:val="24"/>
          <w:szCs w:val="24"/>
        </w:rPr>
      </w:pPr>
      <w:r>
        <w:rPr>
          <w:rFonts w:hint="eastAsia" w:ascii="宋体" w:hAnsi="宋体" w:cs="宋体"/>
          <w:sz w:val="24"/>
          <w:szCs w:val="24"/>
        </w:rPr>
        <w:t>1.若供应商所递交的响应文件或最后报价中的价格出现大写金额和小写金额不一致的错误，以大写金额修正为准。</w:t>
      </w:r>
    </w:p>
    <w:p>
      <w:pPr>
        <w:spacing w:line="360" w:lineRule="auto"/>
        <w:ind w:firstLine="480" w:firstLineChars="200"/>
        <w:rPr>
          <w:rFonts w:ascii="宋体" w:hAnsi="宋体" w:cs="宋体"/>
          <w:sz w:val="24"/>
          <w:szCs w:val="24"/>
        </w:rPr>
      </w:pPr>
      <w:r>
        <w:rPr>
          <w:rFonts w:hint="eastAsia" w:ascii="宋体" w:hAnsi="宋体" w:cs="宋体"/>
          <w:sz w:val="24"/>
          <w:szCs w:val="24"/>
        </w:rPr>
        <w:t>2.磋商小组按上述修正错误的原则及方法修正供应商的报价，供应商同意并签字确认后，修正后的报价对供应商具有约束作用。如果供应商不接受修正后的价格，将失去成为成交供应商的资格。</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（五）提交响应文件的份数和签署</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1.响应文件一式二份（</w:t>
      </w:r>
      <w:r>
        <w:rPr>
          <w:rFonts w:hint="eastAsia" w:ascii="宋体" w:hAnsi="宋体" w:cs="宋体"/>
          <w:sz w:val="24"/>
        </w:rPr>
        <w:t>封面标注正副本</w:t>
      </w:r>
      <w:r>
        <w:rPr>
          <w:rFonts w:hint="eastAsia" w:ascii="宋体" w:hAnsi="宋体" w:cs="宋体"/>
          <w:sz w:val="24"/>
          <w:szCs w:val="24"/>
        </w:rPr>
        <w:t>），其中正本一份，副本一份，副本可为正本的复印件，应与正本一致，如出现不一致情况以正本为准。</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2.</w:t>
      </w:r>
      <w:r>
        <w:rPr>
          <w:rFonts w:hint="eastAsia" w:ascii="宋体" w:hAnsi="宋体" w:cs="宋体"/>
          <w:sz w:val="24"/>
        </w:rPr>
        <w:t>在响应文件正本中，竞争性磋商文件第七篇响应文件编制要求中规定签字、盖章的地方必须按其规定签字、盖章。</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（六）响应文件的递交</w:t>
      </w:r>
    </w:p>
    <w:p>
      <w:pPr>
        <w:snapToGrid w:val="0"/>
        <w:spacing w:line="360" w:lineRule="auto"/>
        <w:ind w:firstLine="480" w:firstLineChars="200"/>
        <w:rPr>
          <w:rFonts w:ascii="宋体" w:hAnsi="宋体" w:cs="宋体"/>
          <w:sz w:val="24"/>
        </w:rPr>
      </w:pPr>
      <w:r>
        <w:rPr>
          <w:rFonts w:hint="eastAsia" w:ascii="宋体" w:hAnsi="宋体" w:cs="宋体"/>
          <w:sz w:val="24"/>
        </w:rPr>
        <w:t>1.响应文件的密封</w:t>
      </w:r>
    </w:p>
    <w:p>
      <w:pPr>
        <w:snapToGrid w:val="0"/>
        <w:spacing w:line="360" w:lineRule="auto"/>
        <w:ind w:firstLine="480" w:firstLineChars="200"/>
        <w:rPr>
          <w:rFonts w:ascii="宋体" w:hAnsi="宋体" w:cs="宋体"/>
          <w:sz w:val="24"/>
        </w:rPr>
      </w:pPr>
      <w:r>
        <w:rPr>
          <w:rFonts w:hint="eastAsia" w:ascii="宋体" w:hAnsi="宋体" w:cs="宋体"/>
          <w:sz w:val="24"/>
        </w:rPr>
        <w:t>1.1响应文件（封面标注正副本）的正本、副本以均应密封送达磋商地点，应在封套上注明磋商项目名称、供应商名称。若正本、副本分别进行密封的，还应在封套上注明“正本”、“副本”字样。</w:t>
      </w:r>
    </w:p>
    <w:p>
      <w:pPr>
        <w:snapToGrid w:val="0"/>
        <w:spacing w:line="360" w:lineRule="auto"/>
        <w:ind w:firstLine="480" w:firstLineChars="200"/>
        <w:rPr>
          <w:rFonts w:ascii="宋体" w:hAnsi="宋体" w:cs="宋体"/>
          <w:sz w:val="24"/>
        </w:rPr>
      </w:pPr>
      <w:r>
        <w:rPr>
          <w:rFonts w:hint="eastAsia" w:ascii="宋体" w:hAnsi="宋体" w:cs="宋体"/>
          <w:sz w:val="24"/>
        </w:rPr>
        <w:t>1.2封套的封口处应加盖供应商公章或由法定代表人授权代表签字。</w:t>
      </w:r>
    </w:p>
    <w:p>
      <w:pPr>
        <w:snapToGrid w:val="0"/>
        <w:spacing w:line="360" w:lineRule="auto"/>
        <w:ind w:firstLine="480" w:firstLineChars="200"/>
        <w:rPr>
          <w:rFonts w:ascii="宋体" w:hAnsi="宋体" w:cs="宋体"/>
          <w:sz w:val="24"/>
        </w:rPr>
      </w:pPr>
      <w:r>
        <w:rPr>
          <w:rFonts w:hint="eastAsia" w:ascii="宋体" w:hAnsi="宋体" w:cs="宋体"/>
          <w:sz w:val="24"/>
        </w:rPr>
        <w:t>2.如果未按上述规定进行密封，采购人对响应文件误投、丢失或提前拆封不负责任。</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（七）供应商参与人员</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各个供应商应当派1-2名代表参与磋商，至少1人应为法定代表人或具有法定代表人授权委托书的授权代表。</w:t>
      </w:r>
    </w:p>
    <w:p>
      <w:pPr>
        <w:pStyle w:val="4"/>
        <w:spacing w:line="360" w:lineRule="auto"/>
        <w:rPr>
          <w:rFonts w:ascii="宋体" w:hAnsi="宋体" w:cs="宋体"/>
          <w:sz w:val="24"/>
          <w:szCs w:val="24"/>
        </w:rPr>
      </w:pPr>
      <w:bookmarkStart w:id="48" w:name="_Toc54279003"/>
      <w:r>
        <w:rPr>
          <w:rFonts w:hint="eastAsia" w:ascii="宋体" w:hAnsi="宋体" w:cs="宋体"/>
          <w:sz w:val="24"/>
          <w:szCs w:val="24"/>
        </w:rPr>
        <w:t>四、成交供应商的确认和变更</w:t>
      </w:r>
      <w:bookmarkEnd w:id="48"/>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（一）成交供应商的确认</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采购人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（二）成交供应商的变更</w:t>
      </w:r>
    </w:p>
    <w:p>
      <w:pPr>
        <w:snapToGrid w:val="0"/>
        <w:spacing w:line="360" w:lineRule="auto"/>
        <w:ind w:firstLine="480" w:firstLineChars="200"/>
        <w:rPr>
          <w:rFonts w:ascii="宋体" w:hAnsi="宋体" w:cs="宋体"/>
          <w:sz w:val="24"/>
          <w:szCs w:val="24"/>
        </w:rPr>
      </w:pPr>
      <w:r>
        <w:rPr>
          <w:rFonts w:hint="eastAsia" w:ascii="宋体" w:hAnsi="宋体" w:cs="宋体"/>
          <w:sz w:val="24"/>
        </w:rPr>
        <w:t>成交供应商拒绝与采购人签订合同的，采购人报财政部门同意后可以按照评标报告推荐的成交候选供应商顺序，确定排名下一位的候选人为成交供应商，也可以重新开展政府采购活动。</w:t>
      </w:r>
    </w:p>
    <w:p>
      <w:pPr>
        <w:pStyle w:val="4"/>
        <w:spacing w:line="360" w:lineRule="auto"/>
        <w:rPr>
          <w:rFonts w:ascii="宋体" w:hAnsi="宋体" w:cs="宋体"/>
          <w:sz w:val="24"/>
          <w:szCs w:val="24"/>
        </w:rPr>
      </w:pPr>
      <w:bookmarkStart w:id="49" w:name="_Toc102227321"/>
      <w:bookmarkStart w:id="50" w:name="_Toc342913395"/>
      <w:bookmarkStart w:id="51" w:name="_Toc54279004"/>
      <w:r>
        <w:rPr>
          <w:rFonts w:hint="eastAsia" w:ascii="宋体" w:hAnsi="宋体" w:cs="宋体"/>
          <w:sz w:val="24"/>
          <w:szCs w:val="24"/>
        </w:rPr>
        <w:t>五、成交通知</w:t>
      </w:r>
      <w:bookmarkEnd w:id="49"/>
      <w:bookmarkEnd w:id="50"/>
      <w:bookmarkEnd w:id="51"/>
    </w:p>
    <w:p>
      <w:pPr>
        <w:spacing w:line="360" w:lineRule="auto"/>
        <w:ind w:firstLine="480" w:firstLineChars="200"/>
        <w:rPr>
          <w:rFonts w:ascii="宋体" w:hAnsi="宋体" w:cs="宋体"/>
          <w:sz w:val="24"/>
          <w:szCs w:val="24"/>
        </w:rPr>
      </w:pPr>
      <w:r>
        <w:rPr>
          <w:rFonts w:hint="eastAsia" w:ascii="宋体" w:hAnsi="宋体" w:cs="宋体"/>
          <w:sz w:val="24"/>
          <w:szCs w:val="24"/>
        </w:rPr>
        <w:t>（一）成交供应商确定后，采购人将在“建桥工业园”（http://www.jqgyy.com/）上发布成交结果公告。</w:t>
      </w:r>
    </w:p>
    <w:p>
      <w:pPr>
        <w:spacing w:line="360" w:lineRule="auto"/>
        <w:ind w:firstLine="480" w:firstLineChars="200"/>
        <w:rPr>
          <w:rFonts w:ascii="宋体" w:hAnsi="宋体" w:cs="宋体"/>
          <w:sz w:val="24"/>
          <w:szCs w:val="24"/>
        </w:rPr>
      </w:pPr>
      <w:r>
        <w:rPr>
          <w:rFonts w:hint="eastAsia" w:ascii="宋体" w:hAnsi="宋体" w:cs="宋体"/>
          <w:sz w:val="24"/>
          <w:szCs w:val="24"/>
        </w:rPr>
        <w:t>（二）结果公告发出同时，采购人将以书面形式发出《成交通知书》。《成交通知书》一经发出即发生法律效力。</w:t>
      </w:r>
      <w:r>
        <w:rPr>
          <w:rFonts w:hint="eastAsia" w:ascii="宋体" w:hAnsi="宋体" w:cs="宋体"/>
          <w:b/>
          <w:sz w:val="24"/>
          <w:szCs w:val="24"/>
          <w:u w:val="single"/>
        </w:rPr>
        <w:t>成交人需持经办人介绍信、身份证复印件到采购人处领取。</w:t>
      </w:r>
    </w:p>
    <w:p>
      <w:pPr>
        <w:spacing w:line="360" w:lineRule="auto"/>
        <w:ind w:firstLine="480" w:firstLineChars="200"/>
        <w:rPr>
          <w:rFonts w:ascii="宋体" w:hAnsi="宋体" w:cs="宋体"/>
          <w:sz w:val="24"/>
          <w:szCs w:val="24"/>
        </w:rPr>
      </w:pPr>
      <w:r>
        <w:rPr>
          <w:rFonts w:hint="eastAsia" w:ascii="宋体" w:hAnsi="宋体" w:cs="宋体"/>
          <w:sz w:val="24"/>
          <w:szCs w:val="24"/>
        </w:rPr>
        <w:t>（三）《成交通知书》将作为签订合同的依据。</w:t>
      </w:r>
    </w:p>
    <w:p>
      <w:pPr>
        <w:pStyle w:val="4"/>
        <w:spacing w:line="360" w:lineRule="auto"/>
        <w:rPr>
          <w:rFonts w:ascii="宋体" w:hAnsi="宋体" w:cs="宋体"/>
          <w:sz w:val="24"/>
          <w:szCs w:val="24"/>
        </w:rPr>
      </w:pPr>
      <w:bookmarkStart w:id="52" w:name="_Toc54279005"/>
      <w:r>
        <w:rPr>
          <w:rFonts w:hint="eastAsia" w:ascii="宋体" w:hAnsi="宋体" w:cs="宋体"/>
          <w:sz w:val="24"/>
          <w:szCs w:val="24"/>
        </w:rPr>
        <w:t>六、关于质疑和投诉</w:t>
      </w:r>
      <w:bookmarkEnd w:id="52"/>
    </w:p>
    <w:p>
      <w:pPr>
        <w:spacing w:line="360" w:lineRule="auto"/>
        <w:ind w:firstLine="480" w:firstLineChars="200"/>
        <w:rPr>
          <w:rFonts w:ascii="宋体" w:hAnsi="宋体" w:cs="宋体"/>
          <w:sz w:val="24"/>
          <w:szCs w:val="24"/>
        </w:rPr>
      </w:pPr>
      <w:r>
        <w:rPr>
          <w:rFonts w:hint="eastAsia" w:ascii="宋体" w:hAnsi="宋体" w:cs="宋体"/>
          <w:sz w:val="24"/>
          <w:szCs w:val="24"/>
        </w:rPr>
        <w:t>（一）质疑</w:t>
      </w:r>
    </w:p>
    <w:p>
      <w:pPr>
        <w:spacing w:line="360" w:lineRule="auto"/>
        <w:ind w:firstLine="480" w:firstLineChars="200"/>
        <w:rPr>
          <w:rFonts w:ascii="宋体" w:hAnsi="宋体" w:cs="宋体"/>
          <w:sz w:val="24"/>
          <w:szCs w:val="24"/>
        </w:rPr>
      </w:pPr>
      <w:r>
        <w:rPr>
          <w:rFonts w:hint="eastAsia" w:ascii="宋体" w:hAnsi="宋体" w:cs="宋体"/>
          <w:sz w:val="24"/>
          <w:szCs w:val="24"/>
        </w:rPr>
        <w:t>供应商认为采购文件、采购过程和成交结果使自己的权益收到伤害的，可向采购人以书面形式提出质疑。</w:t>
      </w:r>
    </w:p>
    <w:p>
      <w:pPr>
        <w:spacing w:line="360" w:lineRule="auto"/>
        <w:ind w:firstLine="480" w:firstLineChars="200"/>
        <w:rPr>
          <w:rFonts w:ascii="宋体" w:hAnsi="宋体" w:cs="宋体"/>
          <w:sz w:val="24"/>
          <w:szCs w:val="24"/>
        </w:rPr>
      </w:pPr>
      <w:r>
        <w:rPr>
          <w:rFonts w:hint="eastAsia" w:ascii="宋体" w:hAnsi="宋体" w:cs="宋体"/>
          <w:sz w:val="24"/>
          <w:szCs w:val="24"/>
        </w:rPr>
        <w:t xml:space="preserve">提出质疑的应当是参与所质疑项目采购活动的供应商。 </w:t>
      </w:r>
    </w:p>
    <w:p>
      <w:pPr>
        <w:spacing w:line="360" w:lineRule="auto"/>
        <w:ind w:right="12" w:firstLine="480"/>
        <w:rPr>
          <w:rFonts w:ascii="宋体" w:hAnsi="宋体" w:cs="宋体"/>
          <w:sz w:val="24"/>
        </w:rPr>
      </w:pPr>
      <w:r>
        <w:rPr>
          <w:rFonts w:hint="eastAsia" w:ascii="宋体" w:hAnsi="宋体" w:cs="宋体"/>
          <w:sz w:val="24"/>
        </w:rPr>
        <w:t>1.质疑时限、内容</w:t>
      </w:r>
    </w:p>
    <w:p>
      <w:pPr>
        <w:spacing w:line="360" w:lineRule="auto"/>
        <w:ind w:right="12" w:firstLine="480"/>
        <w:rPr>
          <w:rFonts w:ascii="宋体" w:hAnsi="宋体" w:cs="宋体"/>
          <w:sz w:val="24"/>
        </w:rPr>
      </w:pPr>
      <w:r>
        <w:rPr>
          <w:rFonts w:hint="eastAsia" w:ascii="宋体" w:hAnsi="宋体" w:cs="宋体"/>
          <w:sz w:val="24"/>
        </w:rPr>
        <w:t>供应商认为采购文件、采购过程、成交结果使自己的权益受到损害的，可以在知道或者应知其权益受到损害之日起7个工作日内，以书面形式向采购人提出质疑。</w:t>
      </w:r>
    </w:p>
    <w:p>
      <w:pPr>
        <w:spacing w:line="360" w:lineRule="auto"/>
        <w:ind w:right="12" w:firstLine="480"/>
        <w:rPr>
          <w:rFonts w:ascii="宋体" w:hAnsi="宋体" w:cs="宋体"/>
          <w:sz w:val="24"/>
        </w:rPr>
      </w:pPr>
      <w:r>
        <w:rPr>
          <w:rFonts w:hint="eastAsia" w:ascii="宋体" w:hAnsi="宋体" w:cs="宋体"/>
          <w:sz w:val="24"/>
        </w:rPr>
        <w:t>1.2供应商提出质疑应当提交质疑函和必要的证明材料，质疑函应当包括下列内容：</w:t>
      </w:r>
    </w:p>
    <w:p>
      <w:pPr>
        <w:spacing w:line="360" w:lineRule="auto"/>
        <w:ind w:right="12" w:firstLine="480"/>
        <w:rPr>
          <w:rFonts w:ascii="宋体" w:hAnsi="宋体" w:cs="宋体"/>
          <w:sz w:val="24"/>
        </w:rPr>
      </w:pPr>
      <w:r>
        <w:rPr>
          <w:rFonts w:hint="eastAsia" w:ascii="宋体" w:hAnsi="宋体" w:cs="宋体"/>
          <w:sz w:val="24"/>
        </w:rPr>
        <w:t>1.2.1供应商的姓名或者名称、地址、邮编、联系人及联系电话；</w:t>
      </w:r>
    </w:p>
    <w:p>
      <w:pPr>
        <w:spacing w:line="360" w:lineRule="auto"/>
        <w:ind w:right="12" w:firstLine="480"/>
        <w:rPr>
          <w:rFonts w:ascii="宋体" w:hAnsi="宋体" w:cs="宋体"/>
          <w:sz w:val="24"/>
        </w:rPr>
      </w:pPr>
      <w:r>
        <w:rPr>
          <w:rFonts w:hint="eastAsia" w:ascii="宋体" w:hAnsi="宋体" w:cs="宋体"/>
          <w:sz w:val="24"/>
        </w:rPr>
        <w:t>1.2.2质疑项目的名称、项目号以及磋商项目编号；</w:t>
      </w:r>
    </w:p>
    <w:p>
      <w:pPr>
        <w:spacing w:line="360" w:lineRule="auto"/>
        <w:ind w:right="12" w:firstLine="480"/>
        <w:rPr>
          <w:rFonts w:ascii="宋体" w:hAnsi="宋体" w:cs="宋体"/>
          <w:sz w:val="24"/>
        </w:rPr>
      </w:pPr>
      <w:r>
        <w:rPr>
          <w:rFonts w:hint="eastAsia" w:ascii="宋体" w:hAnsi="宋体" w:cs="宋体"/>
          <w:sz w:val="24"/>
        </w:rPr>
        <w:t>1.2.3具体、明确的质疑事项和与质疑事项相关的请求；</w:t>
      </w:r>
    </w:p>
    <w:p>
      <w:pPr>
        <w:spacing w:line="360" w:lineRule="auto"/>
        <w:ind w:right="12" w:firstLine="480"/>
        <w:rPr>
          <w:rFonts w:ascii="宋体" w:hAnsi="宋体" w:cs="宋体"/>
          <w:sz w:val="24"/>
        </w:rPr>
      </w:pPr>
      <w:r>
        <w:rPr>
          <w:rFonts w:hint="eastAsia" w:ascii="宋体" w:hAnsi="宋体" w:cs="宋体"/>
          <w:sz w:val="24"/>
        </w:rPr>
        <w:t>1.2.4事实依据；</w:t>
      </w:r>
    </w:p>
    <w:p>
      <w:pPr>
        <w:spacing w:line="360" w:lineRule="auto"/>
        <w:ind w:right="12" w:firstLine="480"/>
        <w:rPr>
          <w:rFonts w:ascii="宋体" w:hAnsi="宋体" w:cs="宋体"/>
          <w:sz w:val="24"/>
        </w:rPr>
      </w:pPr>
      <w:r>
        <w:rPr>
          <w:rFonts w:hint="eastAsia" w:ascii="宋体" w:hAnsi="宋体" w:cs="宋体"/>
          <w:sz w:val="24"/>
        </w:rPr>
        <w:t>1.2.5必要的法律依据；</w:t>
      </w:r>
    </w:p>
    <w:p>
      <w:pPr>
        <w:spacing w:line="360" w:lineRule="auto"/>
        <w:ind w:right="12" w:firstLine="480"/>
        <w:rPr>
          <w:rFonts w:ascii="宋体" w:hAnsi="宋体" w:cs="宋体"/>
          <w:sz w:val="24"/>
        </w:rPr>
      </w:pPr>
      <w:r>
        <w:rPr>
          <w:rFonts w:hint="eastAsia" w:ascii="宋体" w:hAnsi="宋体" w:cs="宋体"/>
          <w:sz w:val="24"/>
        </w:rPr>
        <w:t>1.2.6提出质疑的日期；</w:t>
      </w:r>
    </w:p>
    <w:p>
      <w:pPr>
        <w:spacing w:line="360" w:lineRule="auto"/>
        <w:ind w:right="12" w:firstLine="480"/>
        <w:rPr>
          <w:rFonts w:ascii="宋体" w:hAnsi="宋体" w:cs="宋体"/>
          <w:sz w:val="24"/>
        </w:rPr>
      </w:pPr>
      <w:r>
        <w:rPr>
          <w:rFonts w:hint="eastAsia" w:ascii="宋体" w:hAnsi="宋体" w:cs="宋体"/>
          <w:sz w:val="24"/>
        </w:rPr>
        <w:t>1.2.7营业执照（或事业单位法人证书，或个体工商户营业执照或有效的自然人身份证明）复印件；</w:t>
      </w:r>
    </w:p>
    <w:p>
      <w:pPr>
        <w:spacing w:line="360" w:lineRule="auto"/>
        <w:ind w:right="12" w:firstLine="480"/>
        <w:rPr>
          <w:rFonts w:ascii="宋体" w:hAnsi="宋体" w:cs="宋体"/>
          <w:sz w:val="24"/>
        </w:rPr>
      </w:pPr>
      <w:r>
        <w:rPr>
          <w:rFonts w:hint="eastAsia" w:ascii="宋体" w:hAnsi="宋体" w:cs="宋体"/>
          <w:sz w:val="24"/>
        </w:rPr>
        <w:t>1.2.8法定代表人授权委托书原件、法定代表人身份证复印件和其授权代表的身份证复印件（供应商为自然人的提供自然人身份证复印件）；</w:t>
      </w:r>
    </w:p>
    <w:p>
      <w:pPr>
        <w:spacing w:line="360" w:lineRule="auto"/>
        <w:ind w:right="12" w:firstLine="480"/>
        <w:rPr>
          <w:rFonts w:ascii="宋体" w:hAnsi="宋体" w:cs="宋体"/>
          <w:sz w:val="24"/>
        </w:rPr>
      </w:pPr>
      <w:r>
        <w:rPr>
          <w:rFonts w:hint="eastAsia" w:ascii="宋体" w:hAnsi="宋体" w:cs="宋体"/>
          <w:sz w:val="24"/>
        </w:rPr>
        <w:t>1.3供应商为自然人的，质疑函应当由本人签字；供应商为法人或者其他组织的，质疑函应当由法定代表人、主要负责人，或者其授权代表签字或者盖章，并加盖公章。</w:t>
      </w:r>
    </w:p>
    <w:p>
      <w:pPr>
        <w:spacing w:line="360" w:lineRule="auto"/>
        <w:ind w:right="12" w:firstLine="480"/>
        <w:rPr>
          <w:rFonts w:ascii="宋体" w:hAnsi="宋体" w:cs="宋体"/>
          <w:sz w:val="24"/>
        </w:rPr>
      </w:pPr>
      <w:r>
        <w:rPr>
          <w:rFonts w:hint="eastAsia" w:ascii="宋体" w:hAnsi="宋体" w:cs="宋体"/>
          <w:sz w:val="24"/>
        </w:rPr>
        <w:t>2.质疑答复</w:t>
      </w:r>
    </w:p>
    <w:p>
      <w:pPr>
        <w:spacing w:line="360" w:lineRule="auto"/>
        <w:ind w:right="12" w:firstLine="480"/>
        <w:rPr>
          <w:rFonts w:ascii="宋体" w:hAnsi="宋体" w:cs="宋体"/>
          <w:sz w:val="24"/>
        </w:rPr>
      </w:pPr>
      <w:r>
        <w:rPr>
          <w:rFonts w:hint="eastAsia" w:ascii="宋体" w:hAnsi="宋体" w:cs="宋体"/>
          <w:sz w:val="24"/>
        </w:rPr>
        <w:t>采购人应当在收到供应商的书面质疑后七个工作日内作出答复，并以书面形式通知质疑供应商和其他有关供应商。</w:t>
      </w:r>
    </w:p>
    <w:p>
      <w:pPr>
        <w:spacing w:line="360" w:lineRule="auto"/>
        <w:ind w:firstLine="480" w:firstLineChars="200"/>
        <w:rPr>
          <w:rFonts w:ascii="宋体" w:hAnsi="宋体" w:cs="宋体"/>
          <w:sz w:val="24"/>
          <w:szCs w:val="24"/>
        </w:rPr>
      </w:pPr>
      <w:r>
        <w:rPr>
          <w:rFonts w:hint="eastAsia" w:ascii="宋体" w:hAnsi="宋体" w:cs="宋体"/>
          <w:sz w:val="24"/>
          <w:szCs w:val="24"/>
        </w:rPr>
        <w:t>3.不予受理或暂缓受理</w:t>
      </w:r>
    </w:p>
    <w:p>
      <w:pPr>
        <w:spacing w:line="360" w:lineRule="auto"/>
        <w:ind w:firstLine="480" w:firstLineChars="200"/>
        <w:rPr>
          <w:rFonts w:ascii="宋体" w:hAnsi="宋体" w:cs="宋体"/>
          <w:sz w:val="24"/>
          <w:szCs w:val="24"/>
        </w:rPr>
      </w:pPr>
      <w:r>
        <w:rPr>
          <w:rFonts w:hint="eastAsia" w:ascii="宋体" w:hAnsi="宋体" w:cs="宋体"/>
          <w:sz w:val="24"/>
          <w:szCs w:val="24"/>
        </w:rPr>
        <w:t>3.1质疑有下列情形之一的，不予受理：</w:t>
      </w:r>
    </w:p>
    <w:p>
      <w:pPr>
        <w:spacing w:line="360" w:lineRule="auto"/>
        <w:ind w:firstLine="480" w:firstLineChars="200"/>
        <w:rPr>
          <w:rFonts w:ascii="宋体" w:hAnsi="宋体" w:cs="宋体"/>
          <w:sz w:val="24"/>
          <w:szCs w:val="24"/>
        </w:rPr>
      </w:pPr>
      <w:r>
        <w:rPr>
          <w:rFonts w:hint="eastAsia" w:ascii="宋体" w:hAnsi="宋体" w:cs="宋体"/>
          <w:sz w:val="24"/>
          <w:szCs w:val="24"/>
        </w:rPr>
        <w:t>3.1.1质疑供应商参与了磋商活动后，再对竞争性磋商文件内容提出质疑的；</w:t>
      </w:r>
    </w:p>
    <w:p>
      <w:pPr>
        <w:spacing w:line="360" w:lineRule="auto"/>
        <w:ind w:firstLine="480" w:firstLineChars="200"/>
        <w:rPr>
          <w:rFonts w:ascii="宋体" w:hAnsi="宋体" w:cs="宋体"/>
          <w:sz w:val="24"/>
          <w:szCs w:val="24"/>
        </w:rPr>
      </w:pPr>
      <w:r>
        <w:rPr>
          <w:rFonts w:hint="eastAsia" w:ascii="宋体" w:hAnsi="宋体" w:cs="宋体"/>
          <w:sz w:val="24"/>
          <w:szCs w:val="24"/>
        </w:rPr>
        <w:t>3.1.2质疑超过有效期的；</w:t>
      </w:r>
    </w:p>
    <w:p>
      <w:pPr>
        <w:spacing w:line="360" w:lineRule="auto"/>
        <w:ind w:firstLine="480" w:firstLineChars="200"/>
        <w:rPr>
          <w:rFonts w:ascii="宋体" w:hAnsi="宋体" w:cs="宋体"/>
          <w:sz w:val="24"/>
          <w:szCs w:val="24"/>
        </w:rPr>
      </w:pPr>
      <w:r>
        <w:rPr>
          <w:rFonts w:hint="eastAsia" w:ascii="宋体" w:hAnsi="宋体" w:cs="宋体"/>
          <w:sz w:val="24"/>
          <w:szCs w:val="24"/>
        </w:rPr>
        <w:t>3.1.3对同一事项重复质疑的。</w:t>
      </w:r>
    </w:p>
    <w:p>
      <w:pPr>
        <w:spacing w:line="360" w:lineRule="auto"/>
        <w:ind w:firstLine="480" w:firstLineChars="200"/>
        <w:rPr>
          <w:rFonts w:ascii="宋体" w:hAnsi="宋体" w:cs="宋体"/>
          <w:sz w:val="24"/>
          <w:szCs w:val="24"/>
        </w:rPr>
      </w:pPr>
      <w:r>
        <w:rPr>
          <w:rFonts w:hint="eastAsia" w:ascii="宋体" w:hAnsi="宋体" w:cs="宋体"/>
          <w:sz w:val="24"/>
          <w:szCs w:val="24"/>
        </w:rPr>
        <w:t>3.2质疑有下列情形之一的，应暂不受理并告知供应商补充材料。供应商及时补充材料的，应予受理；逾期未补充的，不予受理：</w:t>
      </w:r>
    </w:p>
    <w:p>
      <w:pPr>
        <w:spacing w:line="360" w:lineRule="auto"/>
        <w:ind w:firstLine="480" w:firstLineChars="200"/>
        <w:rPr>
          <w:rFonts w:ascii="宋体" w:hAnsi="宋体" w:cs="宋体"/>
          <w:sz w:val="24"/>
          <w:szCs w:val="24"/>
        </w:rPr>
      </w:pPr>
      <w:r>
        <w:rPr>
          <w:rFonts w:hint="eastAsia" w:ascii="宋体" w:hAnsi="宋体" w:cs="宋体"/>
          <w:sz w:val="24"/>
          <w:szCs w:val="24"/>
        </w:rPr>
        <w:t>3.2.1质疑书格式和内容不符合国家或重庆市相关规定的；</w:t>
      </w:r>
    </w:p>
    <w:p>
      <w:pPr>
        <w:spacing w:line="360" w:lineRule="auto"/>
        <w:ind w:firstLine="480" w:firstLineChars="200"/>
        <w:rPr>
          <w:rFonts w:ascii="宋体" w:hAnsi="宋体" w:cs="宋体"/>
          <w:sz w:val="24"/>
          <w:szCs w:val="24"/>
        </w:rPr>
      </w:pPr>
      <w:r>
        <w:rPr>
          <w:rFonts w:hint="eastAsia" w:ascii="宋体" w:hAnsi="宋体" w:cs="宋体"/>
          <w:sz w:val="24"/>
          <w:szCs w:val="24"/>
        </w:rPr>
        <w:t>3.2.2质疑书提供的依据或证明材料不全的；</w:t>
      </w:r>
    </w:p>
    <w:p>
      <w:pPr>
        <w:spacing w:line="360" w:lineRule="auto"/>
        <w:ind w:firstLine="480" w:firstLineChars="200"/>
        <w:rPr>
          <w:rFonts w:ascii="宋体" w:hAnsi="宋体" w:cs="宋体"/>
          <w:sz w:val="24"/>
          <w:szCs w:val="24"/>
        </w:rPr>
      </w:pPr>
      <w:r>
        <w:rPr>
          <w:rFonts w:hint="eastAsia" w:ascii="宋体" w:hAnsi="宋体" w:cs="宋体"/>
          <w:sz w:val="24"/>
          <w:szCs w:val="24"/>
        </w:rPr>
        <w:t>3.2.3质疑书副本数量不足的。</w:t>
      </w:r>
    </w:p>
    <w:p>
      <w:pPr>
        <w:spacing w:line="360" w:lineRule="auto"/>
        <w:ind w:right="12" w:firstLine="480"/>
        <w:rPr>
          <w:rFonts w:ascii="宋体" w:hAnsi="宋体" w:cs="宋体"/>
          <w:sz w:val="24"/>
        </w:rPr>
      </w:pPr>
      <w:r>
        <w:rPr>
          <w:rFonts w:hint="eastAsia" w:ascii="宋体" w:hAnsi="宋体" w:cs="宋体"/>
          <w:sz w:val="24"/>
        </w:rPr>
        <w:t>3.其他</w:t>
      </w:r>
    </w:p>
    <w:p>
      <w:pPr>
        <w:spacing w:line="360" w:lineRule="auto"/>
        <w:ind w:right="12" w:firstLine="480"/>
        <w:rPr>
          <w:rFonts w:ascii="宋体" w:hAnsi="宋体" w:cs="宋体"/>
          <w:sz w:val="24"/>
        </w:rPr>
      </w:pPr>
      <w:r>
        <w:rPr>
          <w:rFonts w:hint="eastAsia" w:ascii="宋体" w:hAnsi="宋体" w:cs="宋体"/>
          <w:sz w:val="24"/>
        </w:rPr>
        <w:t>3.1供应商应按照《政府采购质疑和投诉办法》（财政部令第94号）及相关法律法规要求，在法定质疑期内一次性提出针对同一采购程序环节的质疑。</w:t>
      </w:r>
    </w:p>
    <w:p>
      <w:pPr>
        <w:spacing w:line="360" w:lineRule="auto"/>
        <w:ind w:right="12" w:firstLine="480"/>
        <w:rPr>
          <w:rFonts w:ascii="宋体" w:hAnsi="宋体" w:cs="宋体"/>
          <w:sz w:val="24"/>
        </w:rPr>
      </w:pPr>
      <w:r>
        <w:rPr>
          <w:rFonts w:hint="eastAsia" w:ascii="宋体" w:hAnsi="宋体" w:cs="宋体"/>
          <w:sz w:val="24"/>
        </w:rPr>
        <w:t>3.2质疑函范本可在财政部门户网站和中国政府采购网下载。</w:t>
      </w:r>
    </w:p>
    <w:p>
      <w:pPr>
        <w:spacing w:line="360" w:lineRule="auto"/>
        <w:ind w:right="12" w:firstLine="480"/>
        <w:rPr>
          <w:rFonts w:ascii="宋体" w:hAnsi="宋体" w:cs="宋体"/>
          <w:sz w:val="24"/>
        </w:rPr>
      </w:pPr>
      <w:r>
        <w:rPr>
          <w:rFonts w:hint="eastAsia" w:ascii="宋体" w:hAnsi="宋体" w:cs="宋体"/>
          <w:sz w:val="24"/>
        </w:rPr>
        <w:t>（二）投诉</w:t>
      </w:r>
    </w:p>
    <w:p>
      <w:pPr>
        <w:spacing w:line="360" w:lineRule="auto"/>
        <w:ind w:right="12" w:firstLine="480"/>
        <w:rPr>
          <w:rFonts w:ascii="宋体" w:hAnsi="宋体" w:cs="宋体"/>
          <w:sz w:val="24"/>
        </w:rPr>
      </w:pPr>
      <w:r>
        <w:rPr>
          <w:rFonts w:hint="eastAsia" w:ascii="宋体" w:hAnsi="宋体" w:cs="宋体"/>
          <w:sz w:val="24"/>
        </w:rPr>
        <w:t>1.供应商对采购人的答复不满意，或者采购人未在规定时间内作出答复的，可以在答复期满后15个工作日内按照相关法律法规向财政部门提起投诉。</w:t>
      </w:r>
    </w:p>
    <w:p>
      <w:pPr>
        <w:spacing w:line="360" w:lineRule="auto"/>
        <w:ind w:right="12" w:firstLine="480"/>
        <w:rPr>
          <w:rFonts w:ascii="宋体" w:hAnsi="宋体" w:cs="宋体"/>
          <w:sz w:val="24"/>
        </w:rPr>
      </w:pPr>
      <w:r>
        <w:rPr>
          <w:rFonts w:hint="eastAsia" w:ascii="宋体" w:hAnsi="宋体" w:cs="宋体"/>
          <w:sz w:val="24"/>
        </w:rPr>
        <w:t>2.供应商应按照《政府采购质疑和投诉办法》（财政部令第94号）及相关法律法规要求递交投诉书和必要的证明材料。投诉书范本可在财政部门户网站和中国政府采购网下载。</w:t>
      </w:r>
    </w:p>
    <w:p>
      <w:pPr>
        <w:spacing w:line="360" w:lineRule="auto"/>
        <w:ind w:right="12" w:firstLine="480"/>
        <w:rPr>
          <w:rFonts w:ascii="宋体" w:hAnsi="宋体" w:cs="宋体"/>
          <w:sz w:val="24"/>
        </w:rPr>
      </w:pPr>
      <w:r>
        <w:rPr>
          <w:rFonts w:hint="eastAsia" w:ascii="宋体" w:hAnsi="宋体" w:cs="宋体"/>
          <w:sz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pPr>
        <w:spacing w:line="360" w:lineRule="auto"/>
        <w:ind w:firstLine="480" w:firstLineChars="200"/>
        <w:rPr>
          <w:rFonts w:ascii="宋体" w:hAnsi="宋体" w:cs="宋体"/>
          <w:sz w:val="24"/>
          <w:szCs w:val="24"/>
        </w:rPr>
      </w:pPr>
      <w:r>
        <w:rPr>
          <w:rFonts w:hint="eastAsia" w:ascii="宋体" w:hAnsi="宋体" w:cs="宋体"/>
          <w:sz w:val="24"/>
        </w:rPr>
        <w:t>4.在确定受理投诉后，财政部门自受理投诉之日起30个工作日内（需要检验、检测、鉴定、专家评审以及需要投诉人补正材料的，所需时间不计算在投诉处理期限内）对投诉事项做出处理决定。</w:t>
      </w:r>
    </w:p>
    <w:p>
      <w:pPr>
        <w:pStyle w:val="4"/>
        <w:spacing w:line="360" w:lineRule="auto"/>
        <w:rPr>
          <w:rFonts w:ascii="宋体" w:hAnsi="宋体" w:cs="宋体"/>
          <w:sz w:val="24"/>
          <w:szCs w:val="24"/>
        </w:rPr>
      </w:pPr>
      <w:bookmarkStart w:id="53" w:name="_Toc102227322"/>
      <w:bookmarkStart w:id="54" w:name="_Toc54279008"/>
      <w:bookmarkStart w:id="55" w:name="_Toc342913396"/>
      <w:bookmarkStart w:id="56" w:name="_Toc12789059"/>
      <w:bookmarkStart w:id="57" w:name="_Toc11641055"/>
      <w:r>
        <w:rPr>
          <w:rFonts w:hint="eastAsia" w:ascii="宋体" w:hAnsi="宋体" w:cs="宋体"/>
          <w:sz w:val="24"/>
          <w:szCs w:val="24"/>
        </w:rPr>
        <w:t>七、签订</w:t>
      </w:r>
      <w:bookmarkEnd w:id="53"/>
      <w:r>
        <w:rPr>
          <w:rFonts w:hint="eastAsia" w:ascii="宋体" w:hAnsi="宋体" w:cs="宋体"/>
          <w:sz w:val="24"/>
          <w:szCs w:val="24"/>
        </w:rPr>
        <w:t>合同</w:t>
      </w:r>
      <w:bookmarkEnd w:id="54"/>
      <w:bookmarkEnd w:id="55"/>
    </w:p>
    <w:p>
      <w:pPr>
        <w:spacing w:line="360" w:lineRule="auto"/>
        <w:ind w:firstLine="360" w:firstLineChars="150"/>
        <w:rPr>
          <w:rFonts w:ascii="宋体" w:hAnsi="宋体" w:cs="宋体"/>
          <w:sz w:val="24"/>
          <w:szCs w:val="24"/>
        </w:rPr>
      </w:pPr>
      <w:r>
        <w:rPr>
          <w:rFonts w:hint="eastAsia" w:ascii="宋体" w:hAnsi="宋体" w:cs="宋体"/>
          <w:sz w:val="24"/>
          <w:szCs w:val="24"/>
        </w:rPr>
        <w:t>（一）采购人应当自成交通知书发出之日起三十日内，按照竞争性磋商文件和成交供应商响应文件的约定，与成交供应商签订书面合同。所签订的合同不得对竞争性磋商文件和供应商的响应文件作实质性修改。其他未尽事宜由采购人和成交供应商在采购合同中详细约定。</w:t>
      </w:r>
    </w:p>
    <w:p>
      <w:pPr>
        <w:spacing w:line="360" w:lineRule="auto"/>
        <w:ind w:firstLine="360" w:firstLineChars="150"/>
        <w:rPr>
          <w:rFonts w:ascii="宋体" w:hAnsi="宋体" w:cs="宋体"/>
          <w:sz w:val="24"/>
          <w:szCs w:val="24"/>
        </w:rPr>
      </w:pPr>
      <w:r>
        <w:rPr>
          <w:rFonts w:hint="eastAsia" w:ascii="宋体" w:hAnsi="宋体" w:cs="宋体"/>
          <w:sz w:val="24"/>
          <w:szCs w:val="24"/>
        </w:rPr>
        <w:t>（二）竞争性磋商文件、供应商的响应文件及澄清文件等，均为签订政府采购合同的依据。</w:t>
      </w:r>
    </w:p>
    <w:p>
      <w:pPr>
        <w:spacing w:line="360" w:lineRule="auto"/>
        <w:ind w:firstLine="360" w:firstLineChars="150"/>
        <w:rPr>
          <w:rFonts w:ascii="宋体" w:hAnsi="宋体" w:cs="宋体"/>
          <w:sz w:val="24"/>
          <w:szCs w:val="24"/>
        </w:rPr>
      </w:pPr>
      <w:r>
        <w:rPr>
          <w:rFonts w:hint="eastAsia" w:ascii="宋体" w:hAnsi="宋体" w:cs="宋体"/>
          <w:sz w:val="24"/>
          <w:szCs w:val="24"/>
        </w:rPr>
        <w:t>（三）合同生效条款由供需双方约定，法律、行政法规规定应当办理批准、登记等手续后生效的合同，依照其规定。</w:t>
      </w:r>
    </w:p>
    <w:p>
      <w:pPr>
        <w:spacing w:line="360" w:lineRule="auto"/>
        <w:ind w:firstLine="360" w:firstLineChars="150"/>
        <w:rPr>
          <w:rFonts w:ascii="宋体" w:hAnsi="宋体" w:cs="宋体"/>
          <w:sz w:val="24"/>
          <w:szCs w:val="24"/>
        </w:rPr>
      </w:pPr>
      <w:r>
        <w:rPr>
          <w:rFonts w:hint="eastAsia" w:ascii="宋体" w:hAnsi="宋体" w:cs="宋体"/>
          <w:sz w:val="24"/>
          <w:szCs w:val="24"/>
        </w:rPr>
        <w:t>（四）合同原则上应按照《重庆市政府采购合同》签订，相关单位要求适用合同通用格式版本的，应按其要求另行签订其他合同。</w:t>
      </w:r>
    </w:p>
    <w:p>
      <w:pPr>
        <w:spacing w:line="360" w:lineRule="auto"/>
        <w:ind w:firstLine="480" w:firstLineChars="200"/>
        <w:rPr>
          <w:rFonts w:ascii="宋体" w:hAnsi="宋体" w:cs="宋体"/>
          <w:sz w:val="24"/>
          <w:szCs w:val="24"/>
        </w:rPr>
      </w:pPr>
      <w:r>
        <w:rPr>
          <w:rFonts w:hint="eastAsia" w:ascii="宋体" w:hAnsi="宋体" w:cs="宋体"/>
          <w:sz w:val="24"/>
          <w:szCs w:val="24"/>
        </w:rPr>
        <w:t>（五）采购人要求成交供应商提供履约保证金的，应当在竞争性磋商文件中予以约定。成交供应商履约完毕后，采购人根据采购文件规定退还其履约保证金。</w:t>
      </w:r>
    </w:p>
    <w:p>
      <w:pPr>
        <w:pStyle w:val="4"/>
        <w:spacing w:line="360" w:lineRule="auto"/>
        <w:rPr>
          <w:rFonts w:ascii="宋体" w:hAnsi="宋体" w:cs="宋体"/>
          <w:sz w:val="24"/>
        </w:rPr>
      </w:pPr>
      <w:bookmarkStart w:id="58" w:name="_Toc8666679"/>
      <w:bookmarkStart w:id="59" w:name="_Toc3855"/>
      <w:bookmarkStart w:id="60" w:name="_Toc19576_WPSOffice_Level2"/>
      <w:bookmarkStart w:id="61" w:name="_Toc16931_WPSOffice_Level2"/>
      <w:r>
        <w:rPr>
          <w:rFonts w:hint="eastAsia" w:ascii="宋体" w:hAnsi="宋体" w:cs="宋体"/>
          <w:sz w:val="24"/>
          <w:szCs w:val="24"/>
        </w:rPr>
        <w:t>八、</w:t>
      </w:r>
      <w:bookmarkEnd w:id="58"/>
      <w:bookmarkEnd w:id="59"/>
      <w:bookmarkEnd w:id="60"/>
      <w:bookmarkEnd w:id="61"/>
      <w:bookmarkStart w:id="62" w:name="_Toc14780"/>
      <w:bookmarkStart w:id="63" w:name="_Toc54279009"/>
      <w:r>
        <w:rPr>
          <w:rFonts w:hint="eastAsia" w:ascii="宋体" w:hAnsi="宋体" w:cs="宋体"/>
          <w:sz w:val="24"/>
        </w:rPr>
        <w:t>政府采购信用融资</w:t>
      </w:r>
      <w:bookmarkEnd w:id="62"/>
      <w:bookmarkEnd w:id="63"/>
    </w:p>
    <w:p>
      <w:pPr>
        <w:spacing w:line="360" w:lineRule="auto"/>
        <w:ind w:firstLine="480" w:firstLineChars="200"/>
        <w:rPr>
          <w:rFonts w:ascii="宋体" w:hAnsi="宋体" w:cs="宋体"/>
          <w:sz w:val="24"/>
          <w:szCs w:val="24"/>
        </w:rPr>
      </w:pPr>
      <w:r>
        <w:rPr>
          <w:rFonts w:hint="eastAsia" w:ascii="宋体" w:hAnsi="宋体" w:cs="宋体"/>
          <w:sz w:val="24"/>
          <w:szCs w:val="24"/>
        </w:rPr>
        <w:t>供应商参与重庆市政府采购活动，成为成交供应商，并与采购人签订政府采购合同后，可按照重庆市政府采购支持中小企业信用融资办法的规定，向开展政府采购信用融资业务的银行申请贷款。具体内容详见重庆市政府采购网“信用融资”信息专栏。</w:t>
      </w:r>
    </w:p>
    <w:p>
      <w:pPr>
        <w:pStyle w:val="3"/>
        <w:spacing w:line="360" w:lineRule="auto"/>
        <w:jc w:val="center"/>
        <w:rPr>
          <w:rFonts w:ascii="宋体" w:hAnsi="宋体" w:eastAsia="宋体" w:cs="宋体"/>
          <w:b w:val="0"/>
          <w:sz w:val="36"/>
          <w:szCs w:val="30"/>
        </w:rPr>
      </w:pPr>
      <w:r>
        <w:rPr>
          <w:rFonts w:hint="eastAsia" w:ascii="宋体" w:hAnsi="宋体" w:eastAsia="宋体" w:cs="宋体"/>
          <w:sz w:val="36"/>
          <w:szCs w:val="30"/>
        </w:rPr>
        <w:br w:type="page"/>
      </w:r>
      <w:bookmarkStart w:id="64" w:name="_Toc54279010"/>
      <w:r>
        <w:rPr>
          <w:rFonts w:hint="eastAsia" w:ascii="宋体" w:hAnsi="宋体" w:eastAsia="宋体" w:cs="宋体"/>
          <w:b w:val="0"/>
          <w:sz w:val="36"/>
          <w:szCs w:val="30"/>
        </w:rPr>
        <w:t xml:space="preserve">第六篇  </w:t>
      </w:r>
      <w:bookmarkEnd w:id="56"/>
      <w:bookmarkEnd w:id="57"/>
      <w:r>
        <w:rPr>
          <w:rFonts w:hint="eastAsia" w:ascii="宋体" w:hAnsi="宋体" w:eastAsia="宋体" w:cs="宋体"/>
          <w:b w:val="0"/>
          <w:sz w:val="36"/>
          <w:szCs w:val="30"/>
        </w:rPr>
        <w:t>合同</w:t>
      </w:r>
      <w:bookmarkEnd w:id="64"/>
    </w:p>
    <w:p>
      <w:pPr>
        <w:tabs>
          <w:tab w:val="left" w:pos="9000"/>
        </w:tabs>
        <w:spacing w:line="360" w:lineRule="auto"/>
        <w:jc w:val="center"/>
        <w:rPr>
          <w:rFonts w:ascii="宋体" w:hAnsi="宋体" w:cs="宋体"/>
          <w:sz w:val="21"/>
          <w:szCs w:val="21"/>
        </w:rPr>
        <w:sectPr>
          <w:footerReference r:id="rId9" w:type="default"/>
          <w:footerReference r:id="rId10" w:type="even"/>
          <w:pgSz w:w="11907" w:h="16840"/>
          <w:pgMar w:top="1134" w:right="1191" w:bottom="1134" w:left="1304" w:header="964" w:footer="992" w:gutter="0"/>
          <w:pgNumType w:fmt="numberInDash"/>
          <w:cols w:space="720" w:num="1"/>
          <w:docGrid w:linePitch="312" w:charSpace="0"/>
        </w:sectPr>
      </w:pPr>
      <w:r>
        <w:rPr>
          <w:rFonts w:hint="eastAsia" w:ascii="宋体" w:hAnsi="宋体" w:cs="宋体"/>
          <w:b/>
          <w:sz w:val="44"/>
        </w:rPr>
        <w:t>格式自拟</w:t>
      </w:r>
    </w:p>
    <w:p>
      <w:pPr>
        <w:pStyle w:val="3"/>
        <w:spacing w:line="360" w:lineRule="auto"/>
        <w:jc w:val="center"/>
        <w:rPr>
          <w:rFonts w:ascii="宋体" w:hAnsi="宋体" w:eastAsia="宋体" w:cs="宋体"/>
          <w:b w:val="0"/>
          <w:sz w:val="36"/>
          <w:szCs w:val="30"/>
        </w:rPr>
      </w:pPr>
      <w:bookmarkStart w:id="65" w:name="_Hlt41879464"/>
      <w:bookmarkEnd w:id="65"/>
      <w:bookmarkStart w:id="66" w:name="_Toc54279011"/>
      <w:r>
        <w:rPr>
          <w:rFonts w:hint="eastAsia" w:ascii="宋体" w:hAnsi="宋体" w:eastAsia="宋体" w:cs="宋体"/>
          <w:b w:val="0"/>
          <w:sz w:val="36"/>
          <w:szCs w:val="30"/>
        </w:rPr>
        <w:t>第七篇  响应文件编制要求</w:t>
      </w:r>
      <w:bookmarkEnd w:id="66"/>
    </w:p>
    <w:p>
      <w:pPr>
        <w:spacing w:line="360" w:lineRule="auto"/>
        <w:ind w:firstLine="480" w:firstLineChars="200"/>
        <w:rPr>
          <w:rFonts w:ascii="宋体" w:hAnsi="宋体" w:cs="宋体"/>
          <w:sz w:val="24"/>
          <w:szCs w:val="24"/>
        </w:rPr>
      </w:pPr>
      <w:r>
        <w:rPr>
          <w:rFonts w:hint="eastAsia" w:ascii="宋体" w:hAnsi="宋体" w:cs="宋体"/>
          <w:sz w:val="24"/>
          <w:szCs w:val="24"/>
        </w:rPr>
        <w:t>一、经济部分</w:t>
      </w:r>
    </w:p>
    <w:p>
      <w:pPr>
        <w:spacing w:line="360" w:lineRule="auto"/>
        <w:ind w:firstLine="480" w:firstLineChars="200"/>
        <w:rPr>
          <w:rFonts w:ascii="宋体" w:hAnsi="宋体" w:cs="宋体"/>
          <w:sz w:val="24"/>
          <w:szCs w:val="24"/>
        </w:rPr>
      </w:pPr>
      <w:r>
        <w:rPr>
          <w:rFonts w:hint="eastAsia" w:ascii="宋体" w:hAnsi="宋体" w:cs="宋体"/>
          <w:sz w:val="24"/>
          <w:szCs w:val="24"/>
        </w:rPr>
        <w:t>（一）竞争性磋商报价函</w:t>
      </w:r>
    </w:p>
    <w:p>
      <w:pPr>
        <w:spacing w:line="360" w:lineRule="auto"/>
        <w:ind w:firstLine="480" w:firstLineChars="200"/>
        <w:rPr>
          <w:rFonts w:ascii="宋体" w:hAnsi="宋体" w:cs="宋体"/>
          <w:sz w:val="24"/>
          <w:szCs w:val="24"/>
        </w:rPr>
      </w:pPr>
      <w:r>
        <w:rPr>
          <w:rFonts w:hint="eastAsia" w:ascii="宋体" w:hAnsi="宋体" w:cs="宋体"/>
          <w:sz w:val="24"/>
          <w:szCs w:val="24"/>
        </w:rPr>
        <w:t>二、服务部分</w:t>
      </w:r>
    </w:p>
    <w:p>
      <w:pPr>
        <w:spacing w:line="360" w:lineRule="auto"/>
        <w:ind w:firstLine="480" w:firstLineChars="200"/>
        <w:rPr>
          <w:rFonts w:ascii="宋体" w:hAnsi="宋体" w:cs="宋体"/>
          <w:sz w:val="24"/>
          <w:szCs w:val="24"/>
        </w:rPr>
      </w:pPr>
      <w:r>
        <w:rPr>
          <w:rFonts w:hint="eastAsia" w:ascii="宋体" w:hAnsi="宋体" w:cs="宋体"/>
          <w:sz w:val="24"/>
          <w:szCs w:val="24"/>
        </w:rPr>
        <w:t>（一）设计方案</w:t>
      </w:r>
    </w:p>
    <w:p>
      <w:pPr>
        <w:spacing w:line="360" w:lineRule="auto"/>
        <w:ind w:firstLine="480" w:firstLineChars="200"/>
        <w:rPr>
          <w:rFonts w:ascii="宋体" w:hAnsi="宋体" w:cs="宋体"/>
          <w:sz w:val="24"/>
          <w:szCs w:val="24"/>
        </w:rPr>
      </w:pPr>
      <w:r>
        <w:rPr>
          <w:rFonts w:hint="eastAsia" w:ascii="宋体" w:hAnsi="宋体" w:cs="宋体"/>
          <w:sz w:val="24"/>
          <w:szCs w:val="24"/>
        </w:rPr>
        <w:t>（二）服务响应偏离表</w:t>
      </w:r>
    </w:p>
    <w:p>
      <w:pPr>
        <w:spacing w:line="360" w:lineRule="auto"/>
        <w:ind w:firstLine="480" w:firstLineChars="200"/>
        <w:rPr>
          <w:rFonts w:ascii="宋体" w:hAnsi="宋体" w:cs="宋体"/>
          <w:sz w:val="24"/>
          <w:szCs w:val="24"/>
        </w:rPr>
      </w:pPr>
      <w:r>
        <w:rPr>
          <w:rFonts w:hint="eastAsia" w:ascii="宋体" w:hAnsi="宋体" w:cs="宋体"/>
          <w:sz w:val="24"/>
          <w:szCs w:val="24"/>
        </w:rPr>
        <w:t>三、商务部分</w:t>
      </w:r>
    </w:p>
    <w:p>
      <w:pPr>
        <w:spacing w:line="360" w:lineRule="auto"/>
        <w:ind w:firstLine="480" w:firstLineChars="200"/>
        <w:rPr>
          <w:rFonts w:ascii="宋体" w:hAnsi="宋体" w:cs="宋体"/>
          <w:sz w:val="24"/>
          <w:szCs w:val="24"/>
        </w:rPr>
      </w:pPr>
      <w:r>
        <w:rPr>
          <w:rFonts w:hint="eastAsia" w:ascii="宋体" w:hAnsi="宋体" w:cs="宋体"/>
          <w:sz w:val="24"/>
          <w:szCs w:val="24"/>
        </w:rPr>
        <w:t>（一）商务响应偏离表</w:t>
      </w:r>
    </w:p>
    <w:p>
      <w:pPr>
        <w:spacing w:line="360" w:lineRule="auto"/>
        <w:ind w:firstLine="480" w:firstLineChars="200"/>
        <w:rPr>
          <w:rFonts w:ascii="宋体" w:hAnsi="宋体" w:cs="宋体"/>
          <w:sz w:val="24"/>
          <w:szCs w:val="24"/>
        </w:rPr>
      </w:pPr>
      <w:r>
        <w:rPr>
          <w:rFonts w:hint="eastAsia" w:ascii="宋体" w:hAnsi="宋体" w:cs="宋体"/>
          <w:sz w:val="24"/>
          <w:szCs w:val="24"/>
        </w:rPr>
        <w:t>（二）其它优惠服务承诺</w:t>
      </w:r>
    </w:p>
    <w:p>
      <w:pPr>
        <w:spacing w:line="360" w:lineRule="auto"/>
        <w:ind w:firstLine="480" w:firstLineChars="200"/>
        <w:rPr>
          <w:rFonts w:ascii="宋体" w:hAnsi="宋体" w:cs="宋体"/>
          <w:sz w:val="24"/>
          <w:szCs w:val="24"/>
        </w:rPr>
      </w:pPr>
      <w:r>
        <w:rPr>
          <w:rFonts w:hint="eastAsia" w:ascii="宋体" w:hAnsi="宋体" w:cs="宋体"/>
          <w:sz w:val="24"/>
          <w:szCs w:val="24"/>
        </w:rPr>
        <w:t>（三）根据商务部分评分细则自行准备资料。</w:t>
      </w:r>
    </w:p>
    <w:p>
      <w:pPr>
        <w:spacing w:line="360" w:lineRule="auto"/>
        <w:ind w:firstLine="480" w:firstLineChars="200"/>
        <w:rPr>
          <w:rFonts w:ascii="宋体" w:hAnsi="宋体" w:cs="宋体"/>
          <w:sz w:val="24"/>
          <w:szCs w:val="24"/>
        </w:rPr>
      </w:pPr>
      <w:r>
        <w:rPr>
          <w:rFonts w:hint="eastAsia" w:ascii="宋体" w:hAnsi="宋体" w:cs="宋体"/>
          <w:sz w:val="24"/>
          <w:szCs w:val="24"/>
        </w:rPr>
        <w:t>四、资格条件及其他</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（一）法人营业执照（副本）或事业单位法人证书（副本）或个体工商户营业执照或有效的自然人身份证明或社会团体法人登记证书复印件</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（二）法定代表人身份证明书（格式）</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（三）法定代表人授权委托书（格式）（被授权代表须为竞标单位人员，提供社保机构出具的2022年1月至2022年3月社保证明）</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（四）2020年或2021年度财务状况报告（表）或其基本开户银行出具的资信证明复印件，本年度新成立或成立不满一年的组织和自然人无法提供财务状况报告（表）的，可提供银行出具的资信证明复印件。</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（五）书面声明（格式）</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（六）税务登记证（副本）复印件和社会保险缴纳证明材料</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（七）特定资格条件证书或证明文件</w:t>
      </w:r>
    </w:p>
    <w:p>
      <w:pPr>
        <w:spacing w:line="360" w:lineRule="auto"/>
        <w:ind w:firstLine="480" w:firstLineChars="200"/>
        <w:rPr>
          <w:rFonts w:ascii="宋体" w:hAnsi="宋体" w:cs="宋体"/>
          <w:sz w:val="24"/>
          <w:szCs w:val="24"/>
        </w:rPr>
      </w:pPr>
      <w:r>
        <w:rPr>
          <w:rFonts w:hint="eastAsia" w:ascii="宋体" w:hAnsi="宋体" w:cs="宋体"/>
          <w:sz w:val="24"/>
          <w:szCs w:val="24"/>
        </w:rPr>
        <w:t>说明：供应商按“多证合一”登记制度办理营业执照的，税务登记证（副本）和社会保险登记证以供应商所提供的营业执照（副本）复印件为准。</w:t>
      </w:r>
    </w:p>
    <w:p>
      <w:pPr>
        <w:spacing w:line="360" w:lineRule="auto"/>
        <w:ind w:firstLine="480" w:firstLineChars="200"/>
        <w:rPr>
          <w:rFonts w:ascii="宋体" w:hAnsi="宋体" w:cs="宋体"/>
          <w:sz w:val="24"/>
          <w:szCs w:val="24"/>
        </w:rPr>
      </w:pPr>
      <w:r>
        <w:rPr>
          <w:rFonts w:hint="eastAsia" w:ascii="宋体" w:hAnsi="宋体" w:cs="宋体"/>
          <w:sz w:val="24"/>
          <w:szCs w:val="24"/>
        </w:rPr>
        <w:t>五、其他资料</w:t>
      </w:r>
    </w:p>
    <w:p>
      <w:pPr>
        <w:spacing w:line="360" w:lineRule="auto"/>
        <w:ind w:firstLine="480" w:firstLineChars="200"/>
        <w:rPr>
          <w:rFonts w:ascii="宋体" w:hAnsi="宋体" w:cs="宋体"/>
          <w:b/>
          <w:sz w:val="24"/>
          <w:szCs w:val="24"/>
        </w:rPr>
      </w:pPr>
      <w:r>
        <w:rPr>
          <w:rFonts w:hint="eastAsia" w:ascii="宋体" w:hAnsi="宋体" w:cs="宋体"/>
          <w:sz w:val="24"/>
          <w:szCs w:val="24"/>
        </w:rPr>
        <w:t>（一）中小微企业声明函、监狱企业证明文件、残疾人福利性单位声明函</w:t>
      </w:r>
    </w:p>
    <w:p>
      <w:pPr>
        <w:spacing w:line="360" w:lineRule="auto"/>
        <w:ind w:firstLine="480" w:firstLineChars="200"/>
        <w:rPr>
          <w:rFonts w:ascii="宋体" w:hAnsi="宋体" w:cs="宋体"/>
          <w:sz w:val="24"/>
          <w:szCs w:val="24"/>
        </w:rPr>
      </w:pPr>
      <w:r>
        <w:rPr>
          <w:rFonts w:hint="eastAsia" w:ascii="宋体" w:hAnsi="宋体" w:cs="宋体"/>
          <w:sz w:val="24"/>
          <w:szCs w:val="24"/>
        </w:rPr>
        <w:t>（二）其他与项目有关的资料</w:t>
      </w:r>
    </w:p>
    <w:p>
      <w:pPr>
        <w:snapToGrid w:val="0"/>
        <w:spacing w:line="360" w:lineRule="auto"/>
        <w:rPr>
          <w:rFonts w:ascii="宋体" w:hAnsi="宋体" w:cs="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4"/>
        <w:spacing w:line="360" w:lineRule="auto"/>
        <w:rPr>
          <w:rFonts w:ascii="宋体" w:hAnsi="宋体" w:cs="宋体"/>
          <w:sz w:val="24"/>
          <w:szCs w:val="24"/>
        </w:rPr>
      </w:pPr>
      <w:bookmarkStart w:id="67" w:name="_Toc54279012"/>
      <w:bookmarkStart w:id="68" w:name="_Toc342913419"/>
      <w:bookmarkStart w:id="69" w:name="_Toc313008356"/>
      <w:bookmarkStart w:id="70" w:name="_Toc313888360"/>
      <w:bookmarkStart w:id="71" w:name="_Toc283382454"/>
      <w:bookmarkStart w:id="72" w:name="_Toc12789073"/>
      <w:r>
        <w:rPr>
          <w:rFonts w:hint="eastAsia" w:ascii="宋体" w:hAnsi="宋体" w:cs="宋体"/>
          <w:sz w:val="24"/>
          <w:szCs w:val="24"/>
        </w:rPr>
        <w:t>一、经济部分</w:t>
      </w:r>
      <w:bookmarkEnd w:id="67"/>
      <w:bookmarkEnd w:id="68"/>
      <w:bookmarkEnd w:id="69"/>
      <w:bookmarkEnd w:id="70"/>
    </w:p>
    <w:bookmarkEnd w:id="71"/>
    <w:bookmarkEnd w:id="72"/>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（一）竞争性磋商报价函</w:t>
      </w:r>
    </w:p>
    <w:p>
      <w:pPr>
        <w:jc w:val="center"/>
        <w:rPr>
          <w:rFonts w:ascii="宋体" w:hAnsi="宋体" w:cs="宋体"/>
          <w:b/>
          <w:szCs w:val="28"/>
        </w:rPr>
      </w:pPr>
      <w:r>
        <w:rPr>
          <w:rFonts w:hint="eastAsia" w:ascii="宋体" w:hAnsi="宋体" w:cs="宋体"/>
          <w:b/>
          <w:szCs w:val="28"/>
        </w:rPr>
        <w:t>竞争性磋商报价函</w:t>
      </w:r>
    </w:p>
    <w:p>
      <w:pPr>
        <w:tabs>
          <w:tab w:val="left" w:pos="6300"/>
        </w:tabs>
        <w:snapToGrid w:val="0"/>
        <w:spacing w:line="312" w:lineRule="auto"/>
        <w:rPr>
          <w:rFonts w:ascii="宋体" w:hAnsi="宋体" w:cs="宋体"/>
          <w:sz w:val="24"/>
          <w:szCs w:val="24"/>
        </w:rPr>
      </w:pPr>
      <w:r>
        <w:rPr>
          <w:rFonts w:hint="eastAsia" w:ascii="宋体" w:hAnsi="宋体" w:cs="宋体"/>
          <w:sz w:val="24"/>
          <w:szCs w:val="24"/>
          <w:u w:val="single"/>
        </w:rPr>
        <w:t>（采购人名称）</w:t>
      </w:r>
      <w:r>
        <w:rPr>
          <w:rFonts w:hint="eastAsia" w:ascii="宋体" w:hAnsi="宋体" w:cs="宋体"/>
          <w:sz w:val="24"/>
          <w:szCs w:val="24"/>
        </w:rPr>
        <w:t>：</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我方收到____________________________（磋商项目名称）的竞争性磋商文件，经详细研究，决定参加该项目的磋商。</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1、愿意按照竞争性磋商文件中的一切要求，提供本项目的服务设计费</w:t>
      </w:r>
      <w:r>
        <w:rPr>
          <w:rFonts w:hint="eastAsia" w:ascii="宋体" w:hAnsi="宋体" w:cs="宋体"/>
          <w:sz w:val="24"/>
          <w:szCs w:val="24"/>
          <w:lang w:eastAsia="zh-CN"/>
        </w:rPr>
        <w:t>折扣率</w:t>
      </w:r>
      <w:r>
        <w:rPr>
          <w:rFonts w:hint="eastAsia" w:ascii="宋体" w:hAnsi="宋体" w:cs="宋体"/>
          <w:sz w:val="24"/>
          <w:szCs w:val="24"/>
        </w:rPr>
        <w:t>初始报价为</w:t>
      </w:r>
      <w:r>
        <w:rPr>
          <w:rFonts w:hint="eastAsia" w:ascii="宋体" w:hAnsi="宋体" w:cs="宋体"/>
          <w:sz w:val="24"/>
          <w:szCs w:val="24"/>
          <w:u w:val="single"/>
        </w:rPr>
        <w:t>       </w:t>
      </w:r>
      <w:r>
        <w:rPr>
          <w:rFonts w:hint="eastAsia" w:ascii="宋体" w:hAnsi="宋体" w:cs="宋体"/>
          <w:sz w:val="24"/>
          <w:szCs w:val="24"/>
        </w:rPr>
        <w:t>%</w:t>
      </w:r>
      <w:r>
        <w:rPr>
          <w:rFonts w:hint="eastAsia" w:ascii="宋体" w:hAnsi="宋体" w:cs="宋体"/>
          <w:sz w:val="24"/>
          <w:szCs w:val="24"/>
          <w:lang w:eastAsia="zh-CN"/>
        </w:rPr>
        <w:t>，</w:t>
      </w:r>
      <w:r>
        <w:rPr>
          <w:rFonts w:hint="eastAsia" w:ascii="宋体" w:hAnsi="宋体" w:cs="宋体"/>
          <w:sz w:val="24"/>
          <w:szCs w:val="24"/>
        </w:rPr>
        <w:t>设计费报价为人民币：</w:t>
      </w:r>
      <w:r>
        <w:rPr>
          <w:rFonts w:hint="eastAsia" w:ascii="宋体" w:hAnsi="宋体" w:cs="宋体"/>
          <w:sz w:val="24"/>
          <w:szCs w:val="24"/>
          <w:u w:val="single"/>
        </w:rPr>
        <w:t>       元</w:t>
      </w:r>
      <w:r>
        <w:rPr>
          <w:rFonts w:hint="eastAsia" w:ascii="宋体" w:hAnsi="宋体" w:cs="宋体"/>
          <w:sz w:val="24"/>
          <w:szCs w:val="24"/>
        </w:rPr>
        <w:t>。以我公司最后报价为准。</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2.我方现提交的响应文件为：响应文件正本1份，副本1份。</w:t>
      </w:r>
    </w:p>
    <w:p>
      <w:pPr>
        <w:tabs>
          <w:tab w:val="left" w:pos="6300"/>
        </w:tabs>
        <w:snapToGrid w:val="0"/>
        <w:spacing w:line="480" w:lineRule="exact"/>
        <w:ind w:firstLine="480" w:firstLineChars="200"/>
        <w:rPr>
          <w:rFonts w:ascii="宋体" w:hAnsi="宋体" w:cs="宋体"/>
          <w:sz w:val="24"/>
          <w:szCs w:val="24"/>
        </w:rPr>
      </w:pPr>
      <w:r>
        <w:rPr>
          <w:rFonts w:hint="eastAsia" w:ascii="宋体" w:hAnsi="宋体" w:cs="宋体"/>
          <w:sz w:val="24"/>
          <w:szCs w:val="24"/>
        </w:rPr>
        <w:t>3、我方承诺：本次磋商的有效期为</w:t>
      </w:r>
      <w:r>
        <w:rPr>
          <w:rFonts w:hint="eastAsia" w:ascii="宋体" w:hAnsi="宋体" w:cs="宋体"/>
          <w:sz w:val="24"/>
          <w:szCs w:val="24"/>
          <w:u w:val="single"/>
        </w:rPr>
        <w:t>90</w:t>
      </w:r>
      <w:r>
        <w:rPr>
          <w:rFonts w:hint="eastAsia" w:ascii="宋体" w:hAnsi="宋体" w:cs="宋体"/>
          <w:sz w:val="24"/>
          <w:szCs w:val="24"/>
        </w:rPr>
        <w:t>天。</w:t>
      </w:r>
    </w:p>
    <w:p>
      <w:pPr>
        <w:tabs>
          <w:tab w:val="left" w:pos="6300"/>
        </w:tabs>
        <w:snapToGrid w:val="0"/>
        <w:spacing w:line="480" w:lineRule="exact"/>
        <w:ind w:firstLine="480" w:firstLineChars="200"/>
        <w:rPr>
          <w:rFonts w:ascii="宋体" w:hAnsi="宋体" w:cs="宋体"/>
          <w:sz w:val="24"/>
          <w:szCs w:val="24"/>
        </w:rPr>
      </w:pPr>
      <w:r>
        <w:rPr>
          <w:rFonts w:hint="eastAsia" w:ascii="宋体" w:hAnsi="宋体" w:cs="宋体"/>
          <w:sz w:val="24"/>
          <w:szCs w:val="24"/>
        </w:rPr>
        <w:t>4、我方完全理解和接受贵方竞争性磋商文件的一切规定和要求及评审办法。</w:t>
      </w:r>
    </w:p>
    <w:p>
      <w:pPr>
        <w:tabs>
          <w:tab w:val="left" w:pos="6300"/>
        </w:tabs>
        <w:snapToGrid w:val="0"/>
        <w:spacing w:line="480" w:lineRule="exact"/>
        <w:ind w:firstLine="480" w:firstLineChars="200"/>
        <w:rPr>
          <w:rFonts w:ascii="宋体" w:hAnsi="宋体" w:cs="宋体"/>
          <w:sz w:val="24"/>
          <w:szCs w:val="24"/>
        </w:rPr>
      </w:pPr>
      <w:r>
        <w:rPr>
          <w:rFonts w:hint="eastAsia" w:ascii="宋体" w:hAnsi="宋体" w:cs="宋体"/>
          <w:sz w:val="24"/>
          <w:szCs w:val="24"/>
        </w:rPr>
        <w:t>5、在整个竞争性磋商过程中，我方若有违规行为，接受按照《中华人民共和国政府采购法》及其实施条例等规定给予惩罚。</w:t>
      </w:r>
    </w:p>
    <w:p>
      <w:pPr>
        <w:tabs>
          <w:tab w:val="left" w:pos="6300"/>
        </w:tabs>
        <w:snapToGrid w:val="0"/>
        <w:spacing w:line="480" w:lineRule="exact"/>
        <w:ind w:firstLine="480" w:firstLineChars="200"/>
        <w:rPr>
          <w:rFonts w:ascii="宋体" w:hAnsi="宋体" w:cs="宋体"/>
          <w:sz w:val="24"/>
          <w:szCs w:val="24"/>
        </w:rPr>
      </w:pPr>
      <w:r>
        <w:rPr>
          <w:rFonts w:hint="eastAsia" w:ascii="宋体" w:hAnsi="宋体" w:cs="宋体"/>
          <w:sz w:val="24"/>
          <w:szCs w:val="24"/>
        </w:rPr>
        <w:t>6、我方若成为成交竞标人，将按照最终磋商结果签订合同，并且严格履行合同义务。本承诺函将成为合同不可分割的一部分，与合同具有同等的法律效力。</w:t>
      </w:r>
    </w:p>
    <w:p>
      <w:pPr>
        <w:tabs>
          <w:tab w:val="left" w:pos="6300"/>
        </w:tabs>
        <w:snapToGrid w:val="0"/>
        <w:spacing w:line="480" w:lineRule="exact"/>
        <w:ind w:firstLine="480" w:firstLineChars="200"/>
        <w:rPr>
          <w:rFonts w:ascii="宋体" w:hAnsi="宋体" w:cs="宋体"/>
          <w:sz w:val="24"/>
          <w:szCs w:val="24"/>
        </w:rPr>
      </w:pPr>
      <w:r>
        <w:rPr>
          <w:rFonts w:hint="eastAsia" w:ascii="宋体" w:hAnsi="宋体" w:cs="宋体"/>
          <w:sz w:val="24"/>
          <w:szCs w:val="24"/>
        </w:rPr>
        <w:t>7、</w:t>
      </w:r>
      <w:r>
        <w:rPr>
          <w:rFonts w:hint="eastAsia" w:ascii="宋体" w:hAnsi="宋体" w:cs="宋体"/>
          <w:sz w:val="24"/>
          <w:szCs w:val="28"/>
        </w:rPr>
        <w:t>我方理解，最低报价不是成交的唯一条件。</w:t>
      </w:r>
    </w:p>
    <w:p>
      <w:pPr>
        <w:tabs>
          <w:tab w:val="left" w:pos="6300"/>
        </w:tabs>
        <w:snapToGrid w:val="0"/>
        <w:spacing w:line="480" w:lineRule="exact"/>
        <w:ind w:firstLine="480" w:firstLineChars="200"/>
        <w:rPr>
          <w:rFonts w:ascii="宋体" w:hAnsi="宋体" w:cs="宋体"/>
          <w:sz w:val="24"/>
          <w:szCs w:val="24"/>
        </w:rPr>
      </w:pPr>
      <w:r>
        <w:rPr>
          <w:rFonts w:hint="eastAsia" w:ascii="宋体" w:hAnsi="宋体" w:cs="宋体"/>
          <w:sz w:val="24"/>
          <w:szCs w:val="24"/>
        </w:rPr>
        <w:t>8、我方同意按竞争性磋商文件规定，交纳竞争性磋商文件要求的磋商保证金。</w:t>
      </w:r>
    </w:p>
    <w:p>
      <w:pPr>
        <w:tabs>
          <w:tab w:val="left" w:pos="6300"/>
        </w:tabs>
        <w:snapToGrid w:val="0"/>
        <w:spacing w:line="480" w:lineRule="exact"/>
        <w:ind w:firstLine="480" w:firstLineChars="200"/>
        <w:rPr>
          <w:rFonts w:hint="eastAsia" w:ascii="宋体" w:hAnsi="宋体" w:cs="宋体"/>
          <w:sz w:val="24"/>
          <w:szCs w:val="24"/>
        </w:rPr>
      </w:pPr>
      <w:r>
        <w:rPr>
          <w:rFonts w:hint="eastAsia" w:ascii="宋体" w:hAnsi="宋体" w:cs="宋体"/>
          <w:sz w:val="24"/>
          <w:szCs w:val="24"/>
        </w:rPr>
        <w:t>9、我方未</w:t>
      </w:r>
      <w:r>
        <w:rPr>
          <w:rFonts w:hint="eastAsia" w:ascii="宋体" w:hAnsi="宋体" w:cs="宋体"/>
          <w:sz w:val="24"/>
          <w:szCs w:val="24"/>
        </w:rPr>
        <w:t>为采购项目提供整体设计、规范编制或者项目管理、监理、检测等服务。</w:t>
      </w:r>
    </w:p>
    <w:p>
      <w:pPr>
        <w:tabs>
          <w:tab w:val="left" w:pos="6300"/>
        </w:tabs>
        <w:snapToGrid w:val="0"/>
        <w:spacing w:line="480" w:lineRule="exact"/>
        <w:ind w:firstLine="480" w:firstLineChars="200"/>
        <w:rPr>
          <w:rFonts w:hint="default" w:ascii="宋体" w:hAnsi="宋体" w:cs="宋体"/>
          <w:sz w:val="24"/>
          <w:szCs w:val="24"/>
          <w:lang w:val="en-US" w:eastAsia="zh-CN"/>
        </w:rPr>
      </w:pPr>
      <w:r>
        <w:rPr>
          <w:rFonts w:hint="eastAsia" w:ascii="宋体" w:hAnsi="宋体" w:cs="宋体"/>
          <w:sz w:val="24"/>
          <w:szCs w:val="24"/>
          <w:lang w:val="en-US" w:eastAsia="zh-CN"/>
        </w:rPr>
        <w:t>10、设计费计算方式：</w:t>
      </w:r>
      <w:r>
        <w:rPr>
          <w:rFonts w:hint="eastAsia" w:ascii="宋体" w:hAnsi="宋体" w:cs="宋体"/>
          <w:sz w:val="24"/>
          <w:szCs w:val="24"/>
        </w:rPr>
        <w:t>以1500万元为计费基数，按照《工程勘察设计收费管理规定》（计价格[2002]10号）的附件《2002年修订本工程勘察设计收费标准》中“附表一：工程设计收费基价表”规定的收费基价计算出的金额（专业调整系数1.1，复杂程度系数1.0，附加调整系数1.0）*</w:t>
      </w:r>
      <w:r>
        <w:rPr>
          <w:rFonts w:hint="eastAsia" w:ascii="宋体" w:hAnsi="宋体" w:cs="宋体"/>
          <w:sz w:val="24"/>
          <w:szCs w:val="24"/>
          <w:lang w:eastAsia="zh-CN"/>
        </w:rPr>
        <w:t>报价</w:t>
      </w:r>
      <w:r>
        <w:rPr>
          <w:rFonts w:hint="eastAsia" w:ascii="宋体" w:hAnsi="宋体" w:cs="宋体"/>
          <w:sz w:val="24"/>
          <w:szCs w:val="24"/>
        </w:rPr>
        <w:t>折扣率百分比。</w:t>
      </w: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 xml:space="preserve">                                                竞标人（公章）：</w:t>
      </w:r>
    </w:p>
    <w:p>
      <w:pPr>
        <w:snapToGrid w:val="0"/>
        <w:spacing w:line="312" w:lineRule="auto"/>
        <w:ind w:firstLine="480" w:firstLineChars="200"/>
        <w:rPr>
          <w:rFonts w:ascii="宋体" w:hAnsi="宋体" w:cs="宋体"/>
          <w:sz w:val="24"/>
          <w:szCs w:val="24"/>
        </w:rPr>
        <w:sectPr>
          <w:pgSz w:w="11907" w:h="16840"/>
          <w:pgMar w:top="1134" w:right="1191" w:bottom="1134" w:left="1304" w:header="851" w:footer="992" w:gutter="0"/>
          <w:pgNumType w:fmt="numberInDash"/>
          <w:cols w:space="720" w:num="1"/>
          <w:docGrid w:linePitch="380" w:charSpace="-5735"/>
        </w:sectPr>
      </w:pPr>
      <w:r>
        <w:rPr>
          <w:rFonts w:hint="eastAsia" w:ascii="宋体" w:hAnsi="宋体" w:cs="宋体"/>
          <w:sz w:val="24"/>
          <w:szCs w:val="24"/>
        </w:rPr>
        <w:t xml:space="preserve">                                                  年   月  日</w:t>
      </w:r>
    </w:p>
    <w:p>
      <w:pPr>
        <w:pStyle w:val="4"/>
        <w:spacing w:line="360" w:lineRule="auto"/>
        <w:rPr>
          <w:rFonts w:ascii="宋体" w:hAnsi="宋体" w:cs="宋体"/>
          <w:sz w:val="24"/>
          <w:szCs w:val="24"/>
        </w:rPr>
      </w:pPr>
      <w:bookmarkStart w:id="73" w:name="_Toc342913420"/>
      <w:bookmarkStart w:id="74" w:name="_Toc54279013"/>
      <w:bookmarkStart w:id="75" w:name="_Toc313008357"/>
      <w:bookmarkStart w:id="76" w:name="_Toc313888361"/>
      <w:r>
        <w:rPr>
          <w:rFonts w:hint="eastAsia" w:ascii="宋体" w:hAnsi="宋体" w:cs="宋体"/>
          <w:sz w:val="24"/>
          <w:szCs w:val="24"/>
        </w:rPr>
        <w:t>二、服务部分</w:t>
      </w:r>
      <w:bookmarkEnd w:id="73"/>
      <w:bookmarkEnd w:id="74"/>
      <w:bookmarkEnd w:id="75"/>
      <w:bookmarkEnd w:id="76"/>
    </w:p>
    <w:p>
      <w:pPr>
        <w:tabs>
          <w:tab w:val="left" w:pos="6300"/>
        </w:tabs>
        <w:snapToGrid w:val="0"/>
        <w:spacing w:line="500" w:lineRule="exact"/>
        <w:ind w:firstLine="570"/>
        <w:jc w:val="center"/>
        <w:rPr>
          <w:rFonts w:ascii="宋体" w:hAnsi="宋体" w:cs="宋体"/>
          <w:sz w:val="24"/>
          <w:szCs w:val="24"/>
        </w:rPr>
      </w:pPr>
      <w:r>
        <w:rPr>
          <w:rFonts w:hint="eastAsia" w:ascii="宋体" w:hAnsi="宋体" w:cs="宋体"/>
          <w:sz w:val="24"/>
          <w:szCs w:val="24"/>
        </w:rPr>
        <w:t>（一）设计方案（格式自定）</w:t>
      </w:r>
      <w:r>
        <w:rPr>
          <w:rFonts w:hint="eastAsia" w:ascii="宋体" w:hAnsi="宋体" w:cs="宋体"/>
          <w:szCs w:val="24"/>
        </w:rPr>
        <w:br w:type="page"/>
      </w:r>
      <w:r>
        <w:rPr>
          <w:rFonts w:hint="eastAsia" w:ascii="宋体" w:hAnsi="宋体" w:cs="宋体"/>
          <w:sz w:val="24"/>
          <w:szCs w:val="24"/>
        </w:rPr>
        <w:t>（二）服务响应偏离表</w:t>
      </w:r>
    </w:p>
    <w:p>
      <w:pPr>
        <w:spacing w:line="400" w:lineRule="exact"/>
        <w:ind w:firstLine="480" w:firstLineChars="200"/>
        <w:rPr>
          <w:rFonts w:ascii="宋体" w:hAnsi="宋体" w:cs="宋体"/>
          <w:sz w:val="24"/>
          <w:szCs w:val="24"/>
        </w:rPr>
      </w:pPr>
      <w:r>
        <w:rPr>
          <w:rFonts w:hint="eastAsia" w:ascii="宋体" w:hAnsi="宋体" w:cs="宋体"/>
          <w:sz w:val="24"/>
          <w:szCs w:val="24"/>
        </w:rPr>
        <w:t>磋商项目名称：</w:t>
      </w:r>
    </w:p>
    <w:tbl>
      <w:tblPr>
        <w:tblStyle w:val="11"/>
        <w:tblW w:w="86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138" w:type="dxa"/>
            <w:noWrap/>
            <w:vAlign w:val="center"/>
          </w:tcPr>
          <w:p>
            <w:pPr>
              <w:tabs>
                <w:tab w:val="left" w:pos="6300"/>
              </w:tabs>
              <w:snapToGrid w:val="0"/>
              <w:spacing w:line="500" w:lineRule="exact"/>
              <w:jc w:val="center"/>
              <w:outlineLvl w:val="0"/>
              <w:rPr>
                <w:rFonts w:ascii="宋体" w:hAnsi="宋体" w:cs="宋体"/>
                <w:sz w:val="21"/>
                <w:szCs w:val="21"/>
              </w:rPr>
            </w:pPr>
            <w:r>
              <w:rPr>
                <w:rFonts w:hint="eastAsia" w:ascii="宋体" w:hAnsi="宋体" w:cs="宋体"/>
                <w:sz w:val="21"/>
                <w:szCs w:val="21"/>
              </w:rPr>
              <w:t>序号</w:t>
            </w:r>
          </w:p>
        </w:tc>
        <w:tc>
          <w:tcPr>
            <w:tcW w:w="2658" w:type="dxa"/>
            <w:noWrap/>
            <w:vAlign w:val="center"/>
          </w:tcPr>
          <w:p>
            <w:pPr>
              <w:tabs>
                <w:tab w:val="left" w:pos="6300"/>
              </w:tabs>
              <w:snapToGrid w:val="0"/>
              <w:spacing w:line="500" w:lineRule="exact"/>
              <w:jc w:val="center"/>
              <w:outlineLvl w:val="0"/>
              <w:rPr>
                <w:rFonts w:ascii="宋体" w:hAnsi="宋体" w:cs="宋体"/>
                <w:sz w:val="21"/>
                <w:szCs w:val="21"/>
              </w:rPr>
            </w:pPr>
            <w:r>
              <w:rPr>
                <w:rFonts w:hint="eastAsia" w:ascii="宋体" w:hAnsi="宋体" w:cs="宋体"/>
                <w:sz w:val="21"/>
                <w:szCs w:val="21"/>
              </w:rPr>
              <w:t>采购需求</w:t>
            </w:r>
          </w:p>
        </w:tc>
        <w:tc>
          <w:tcPr>
            <w:tcW w:w="2759" w:type="dxa"/>
            <w:noWrap/>
            <w:vAlign w:val="center"/>
          </w:tcPr>
          <w:p>
            <w:pPr>
              <w:tabs>
                <w:tab w:val="left" w:pos="6300"/>
              </w:tabs>
              <w:snapToGrid w:val="0"/>
              <w:spacing w:line="500" w:lineRule="exact"/>
              <w:jc w:val="center"/>
              <w:outlineLvl w:val="0"/>
              <w:rPr>
                <w:rFonts w:ascii="宋体" w:hAnsi="宋体" w:cs="宋体"/>
                <w:sz w:val="21"/>
                <w:szCs w:val="21"/>
              </w:rPr>
            </w:pPr>
            <w:r>
              <w:rPr>
                <w:rFonts w:hint="eastAsia" w:ascii="宋体" w:hAnsi="宋体" w:cs="宋体"/>
                <w:sz w:val="21"/>
                <w:szCs w:val="21"/>
              </w:rPr>
              <w:t>响应情况</w:t>
            </w:r>
          </w:p>
        </w:tc>
        <w:tc>
          <w:tcPr>
            <w:tcW w:w="2067" w:type="dxa"/>
            <w:noWrap/>
            <w:vAlign w:val="center"/>
          </w:tcPr>
          <w:p>
            <w:pPr>
              <w:tabs>
                <w:tab w:val="left" w:pos="6300"/>
              </w:tabs>
              <w:snapToGrid w:val="0"/>
              <w:spacing w:line="500" w:lineRule="exact"/>
              <w:jc w:val="center"/>
              <w:outlineLvl w:val="0"/>
              <w:rPr>
                <w:rFonts w:ascii="宋体" w:hAnsi="宋体" w:cs="宋体"/>
                <w:sz w:val="21"/>
                <w:szCs w:val="21"/>
              </w:rPr>
            </w:pPr>
            <w:r>
              <w:rPr>
                <w:rFonts w:hint="eastAsia" w:ascii="宋体" w:hAnsi="宋体" w:cs="宋体"/>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noWrap/>
            <w:vAlign w:val="center"/>
          </w:tcPr>
          <w:p>
            <w:pPr>
              <w:tabs>
                <w:tab w:val="left" w:pos="6300"/>
              </w:tabs>
              <w:snapToGrid w:val="0"/>
              <w:spacing w:line="500" w:lineRule="exact"/>
              <w:jc w:val="center"/>
              <w:outlineLvl w:val="0"/>
              <w:rPr>
                <w:rFonts w:ascii="宋体" w:hAnsi="宋体" w:cs="宋体"/>
                <w:sz w:val="21"/>
                <w:szCs w:val="21"/>
              </w:rPr>
            </w:pPr>
          </w:p>
        </w:tc>
        <w:tc>
          <w:tcPr>
            <w:tcW w:w="2658" w:type="dxa"/>
            <w:noWrap/>
            <w:vAlign w:val="center"/>
          </w:tcPr>
          <w:p>
            <w:pPr>
              <w:tabs>
                <w:tab w:val="left" w:pos="6300"/>
              </w:tabs>
              <w:snapToGrid w:val="0"/>
              <w:spacing w:line="500" w:lineRule="exact"/>
              <w:jc w:val="center"/>
              <w:outlineLvl w:val="0"/>
              <w:rPr>
                <w:rFonts w:ascii="宋体" w:hAnsi="宋体" w:cs="宋体"/>
                <w:sz w:val="21"/>
                <w:szCs w:val="21"/>
              </w:rPr>
            </w:pPr>
          </w:p>
        </w:tc>
        <w:tc>
          <w:tcPr>
            <w:tcW w:w="2759" w:type="dxa"/>
            <w:noWrap/>
            <w:vAlign w:val="center"/>
          </w:tcPr>
          <w:p>
            <w:pPr>
              <w:tabs>
                <w:tab w:val="left" w:pos="6300"/>
              </w:tabs>
              <w:snapToGrid w:val="0"/>
              <w:spacing w:line="500" w:lineRule="exact"/>
              <w:jc w:val="center"/>
              <w:outlineLvl w:val="0"/>
              <w:rPr>
                <w:rFonts w:ascii="宋体" w:hAnsi="宋体" w:cs="宋体"/>
                <w:sz w:val="21"/>
                <w:szCs w:val="21"/>
              </w:rPr>
            </w:pPr>
          </w:p>
        </w:tc>
        <w:tc>
          <w:tcPr>
            <w:tcW w:w="2067" w:type="dxa"/>
            <w:noWrap/>
            <w:vAlign w:val="center"/>
          </w:tcPr>
          <w:p>
            <w:pPr>
              <w:tabs>
                <w:tab w:val="left" w:pos="6300"/>
              </w:tabs>
              <w:snapToGrid w:val="0"/>
              <w:spacing w:line="500" w:lineRule="exact"/>
              <w:jc w:val="center"/>
              <w:outlineLvl w:val="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noWrap/>
            <w:vAlign w:val="center"/>
          </w:tcPr>
          <w:p>
            <w:pPr>
              <w:tabs>
                <w:tab w:val="left" w:pos="6300"/>
              </w:tabs>
              <w:snapToGrid w:val="0"/>
              <w:spacing w:line="500" w:lineRule="exact"/>
              <w:jc w:val="center"/>
              <w:outlineLvl w:val="0"/>
              <w:rPr>
                <w:rFonts w:ascii="宋体" w:hAnsi="宋体" w:cs="宋体"/>
                <w:sz w:val="21"/>
                <w:szCs w:val="21"/>
              </w:rPr>
            </w:pPr>
          </w:p>
        </w:tc>
        <w:tc>
          <w:tcPr>
            <w:tcW w:w="2658" w:type="dxa"/>
            <w:noWrap/>
            <w:vAlign w:val="center"/>
          </w:tcPr>
          <w:p>
            <w:pPr>
              <w:tabs>
                <w:tab w:val="left" w:pos="6300"/>
              </w:tabs>
              <w:snapToGrid w:val="0"/>
              <w:spacing w:line="500" w:lineRule="exact"/>
              <w:jc w:val="center"/>
              <w:outlineLvl w:val="0"/>
              <w:rPr>
                <w:rFonts w:ascii="宋体" w:hAnsi="宋体" w:cs="宋体"/>
                <w:sz w:val="21"/>
                <w:szCs w:val="21"/>
              </w:rPr>
            </w:pPr>
          </w:p>
        </w:tc>
        <w:tc>
          <w:tcPr>
            <w:tcW w:w="2759" w:type="dxa"/>
            <w:noWrap/>
            <w:vAlign w:val="center"/>
          </w:tcPr>
          <w:p>
            <w:pPr>
              <w:tabs>
                <w:tab w:val="left" w:pos="6300"/>
              </w:tabs>
              <w:snapToGrid w:val="0"/>
              <w:spacing w:line="500" w:lineRule="exact"/>
              <w:jc w:val="center"/>
              <w:outlineLvl w:val="0"/>
              <w:rPr>
                <w:rFonts w:ascii="宋体" w:hAnsi="宋体" w:cs="宋体"/>
                <w:sz w:val="21"/>
                <w:szCs w:val="21"/>
              </w:rPr>
            </w:pPr>
          </w:p>
        </w:tc>
        <w:tc>
          <w:tcPr>
            <w:tcW w:w="2067" w:type="dxa"/>
            <w:noWrap/>
            <w:vAlign w:val="center"/>
          </w:tcPr>
          <w:p>
            <w:pPr>
              <w:tabs>
                <w:tab w:val="left" w:pos="6300"/>
              </w:tabs>
              <w:snapToGrid w:val="0"/>
              <w:spacing w:line="500" w:lineRule="exact"/>
              <w:jc w:val="center"/>
              <w:outlineLvl w:val="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noWrap/>
            <w:vAlign w:val="center"/>
          </w:tcPr>
          <w:p>
            <w:pPr>
              <w:tabs>
                <w:tab w:val="left" w:pos="6300"/>
              </w:tabs>
              <w:snapToGrid w:val="0"/>
              <w:spacing w:line="500" w:lineRule="exact"/>
              <w:jc w:val="center"/>
              <w:outlineLvl w:val="0"/>
              <w:rPr>
                <w:rFonts w:ascii="宋体" w:hAnsi="宋体" w:cs="宋体"/>
                <w:sz w:val="21"/>
                <w:szCs w:val="21"/>
              </w:rPr>
            </w:pPr>
          </w:p>
        </w:tc>
        <w:tc>
          <w:tcPr>
            <w:tcW w:w="2658" w:type="dxa"/>
            <w:noWrap/>
            <w:vAlign w:val="center"/>
          </w:tcPr>
          <w:p>
            <w:pPr>
              <w:tabs>
                <w:tab w:val="left" w:pos="6300"/>
              </w:tabs>
              <w:snapToGrid w:val="0"/>
              <w:spacing w:line="500" w:lineRule="exact"/>
              <w:jc w:val="center"/>
              <w:outlineLvl w:val="0"/>
              <w:rPr>
                <w:rFonts w:ascii="宋体" w:hAnsi="宋体" w:cs="宋体"/>
                <w:sz w:val="21"/>
                <w:szCs w:val="21"/>
              </w:rPr>
            </w:pPr>
          </w:p>
        </w:tc>
        <w:tc>
          <w:tcPr>
            <w:tcW w:w="2759" w:type="dxa"/>
            <w:noWrap/>
            <w:vAlign w:val="center"/>
          </w:tcPr>
          <w:p>
            <w:pPr>
              <w:tabs>
                <w:tab w:val="left" w:pos="6300"/>
              </w:tabs>
              <w:snapToGrid w:val="0"/>
              <w:spacing w:line="500" w:lineRule="exact"/>
              <w:jc w:val="center"/>
              <w:outlineLvl w:val="0"/>
              <w:rPr>
                <w:rFonts w:ascii="宋体" w:hAnsi="宋体" w:cs="宋体"/>
                <w:sz w:val="21"/>
                <w:szCs w:val="21"/>
              </w:rPr>
            </w:pPr>
          </w:p>
        </w:tc>
        <w:tc>
          <w:tcPr>
            <w:tcW w:w="2067" w:type="dxa"/>
            <w:noWrap/>
            <w:vAlign w:val="center"/>
          </w:tcPr>
          <w:p>
            <w:pPr>
              <w:tabs>
                <w:tab w:val="left" w:pos="6300"/>
              </w:tabs>
              <w:snapToGrid w:val="0"/>
              <w:spacing w:line="500" w:lineRule="exact"/>
              <w:jc w:val="center"/>
              <w:outlineLvl w:val="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noWrap/>
            <w:vAlign w:val="center"/>
          </w:tcPr>
          <w:p>
            <w:pPr>
              <w:tabs>
                <w:tab w:val="left" w:pos="6300"/>
              </w:tabs>
              <w:snapToGrid w:val="0"/>
              <w:spacing w:line="500" w:lineRule="exact"/>
              <w:jc w:val="center"/>
              <w:outlineLvl w:val="0"/>
              <w:rPr>
                <w:rFonts w:ascii="宋体" w:hAnsi="宋体" w:cs="宋体"/>
                <w:sz w:val="21"/>
                <w:szCs w:val="21"/>
              </w:rPr>
            </w:pPr>
          </w:p>
        </w:tc>
        <w:tc>
          <w:tcPr>
            <w:tcW w:w="2658" w:type="dxa"/>
            <w:noWrap/>
            <w:vAlign w:val="center"/>
          </w:tcPr>
          <w:p>
            <w:pPr>
              <w:tabs>
                <w:tab w:val="left" w:pos="6300"/>
              </w:tabs>
              <w:snapToGrid w:val="0"/>
              <w:spacing w:line="500" w:lineRule="exact"/>
              <w:jc w:val="center"/>
              <w:outlineLvl w:val="0"/>
              <w:rPr>
                <w:rFonts w:ascii="宋体" w:hAnsi="宋体" w:cs="宋体"/>
                <w:sz w:val="21"/>
                <w:szCs w:val="21"/>
              </w:rPr>
            </w:pPr>
          </w:p>
        </w:tc>
        <w:tc>
          <w:tcPr>
            <w:tcW w:w="2759" w:type="dxa"/>
            <w:noWrap/>
            <w:vAlign w:val="center"/>
          </w:tcPr>
          <w:p>
            <w:pPr>
              <w:tabs>
                <w:tab w:val="left" w:pos="6300"/>
              </w:tabs>
              <w:snapToGrid w:val="0"/>
              <w:spacing w:line="500" w:lineRule="exact"/>
              <w:jc w:val="center"/>
              <w:outlineLvl w:val="0"/>
              <w:rPr>
                <w:rFonts w:ascii="宋体" w:hAnsi="宋体" w:cs="宋体"/>
                <w:sz w:val="21"/>
                <w:szCs w:val="21"/>
              </w:rPr>
            </w:pPr>
          </w:p>
        </w:tc>
        <w:tc>
          <w:tcPr>
            <w:tcW w:w="2067" w:type="dxa"/>
            <w:noWrap/>
            <w:vAlign w:val="center"/>
          </w:tcPr>
          <w:p>
            <w:pPr>
              <w:tabs>
                <w:tab w:val="left" w:pos="6300"/>
              </w:tabs>
              <w:snapToGrid w:val="0"/>
              <w:spacing w:line="500" w:lineRule="exact"/>
              <w:jc w:val="center"/>
              <w:outlineLvl w:val="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noWrap/>
            <w:vAlign w:val="center"/>
          </w:tcPr>
          <w:p>
            <w:pPr>
              <w:tabs>
                <w:tab w:val="left" w:pos="6300"/>
              </w:tabs>
              <w:snapToGrid w:val="0"/>
              <w:spacing w:line="500" w:lineRule="exact"/>
              <w:jc w:val="center"/>
              <w:outlineLvl w:val="0"/>
              <w:rPr>
                <w:rFonts w:ascii="宋体" w:hAnsi="宋体" w:cs="宋体"/>
                <w:sz w:val="21"/>
                <w:szCs w:val="21"/>
              </w:rPr>
            </w:pPr>
          </w:p>
        </w:tc>
        <w:tc>
          <w:tcPr>
            <w:tcW w:w="2658" w:type="dxa"/>
            <w:noWrap/>
            <w:vAlign w:val="center"/>
          </w:tcPr>
          <w:p>
            <w:pPr>
              <w:tabs>
                <w:tab w:val="left" w:pos="6300"/>
              </w:tabs>
              <w:snapToGrid w:val="0"/>
              <w:spacing w:line="500" w:lineRule="exact"/>
              <w:jc w:val="center"/>
              <w:outlineLvl w:val="0"/>
              <w:rPr>
                <w:rFonts w:ascii="宋体" w:hAnsi="宋体" w:cs="宋体"/>
                <w:sz w:val="21"/>
                <w:szCs w:val="21"/>
              </w:rPr>
            </w:pPr>
          </w:p>
        </w:tc>
        <w:tc>
          <w:tcPr>
            <w:tcW w:w="2759" w:type="dxa"/>
            <w:noWrap/>
            <w:vAlign w:val="center"/>
          </w:tcPr>
          <w:p>
            <w:pPr>
              <w:tabs>
                <w:tab w:val="left" w:pos="6300"/>
              </w:tabs>
              <w:snapToGrid w:val="0"/>
              <w:spacing w:line="500" w:lineRule="exact"/>
              <w:jc w:val="center"/>
              <w:outlineLvl w:val="0"/>
              <w:rPr>
                <w:rFonts w:ascii="宋体" w:hAnsi="宋体" w:cs="宋体"/>
                <w:sz w:val="21"/>
                <w:szCs w:val="21"/>
              </w:rPr>
            </w:pPr>
          </w:p>
        </w:tc>
        <w:tc>
          <w:tcPr>
            <w:tcW w:w="2067" w:type="dxa"/>
            <w:noWrap/>
            <w:vAlign w:val="center"/>
          </w:tcPr>
          <w:p>
            <w:pPr>
              <w:tabs>
                <w:tab w:val="left" w:pos="6300"/>
              </w:tabs>
              <w:snapToGrid w:val="0"/>
              <w:spacing w:line="500" w:lineRule="exact"/>
              <w:jc w:val="center"/>
              <w:outlineLvl w:val="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noWrap/>
            <w:vAlign w:val="center"/>
          </w:tcPr>
          <w:p>
            <w:pPr>
              <w:tabs>
                <w:tab w:val="left" w:pos="6300"/>
              </w:tabs>
              <w:snapToGrid w:val="0"/>
              <w:spacing w:line="500" w:lineRule="exact"/>
              <w:jc w:val="center"/>
              <w:outlineLvl w:val="0"/>
              <w:rPr>
                <w:rFonts w:ascii="宋体" w:hAnsi="宋体" w:cs="宋体"/>
                <w:sz w:val="21"/>
                <w:szCs w:val="21"/>
              </w:rPr>
            </w:pPr>
          </w:p>
        </w:tc>
        <w:tc>
          <w:tcPr>
            <w:tcW w:w="2658" w:type="dxa"/>
            <w:noWrap/>
            <w:vAlign w:val="center"/>
          </w:tcPr>
          <w:p>
            <w:pPr>
              <w:tabs>
                <w:tab w:val="left" w:pos="6300"/>
              </w:tabs>
              <w:snapToGrid w:val="0"/>
              <w:spacing w:line="500" w:lineRule="exact"/>
              <w:jc w:val="center"/>
              <w:outlineLvl w:val="0"/>
              <w:rPr>
                <w:rFonts w:ascii="宋体" w:hAnsi="宋体" w:cs="宋体"/>
                <w:sz w:val="21"/>
                <w:szCs w:val="21"/>
              </w:rPr>
            </w:pPr>
          </w:p>
        </w:tc>
        <w:tc>
          <w:tcPr>
            <w:tcW w:w="2759" w:type="dxa"/>
            <w:noWrap/>
            <w:vAlign w:val="center"/>
          </w:tcPr>
          <w:p>
            <w:pPr>
              <w:tabs>
                <w:tab w:val="left" w:pos="6300"/>
              </w:tabs>
              <w:snapToGrid w:val="0"/>
              <w:spacing w:line="500" w:lineRule="exact"/>
              <w:jc w:val="center"/>
              <w:outlineLvl w:val="0"/>
              <w:rPr>
                <w:rFonts w:ascii="宋体" w:hAnsi="宋体" w:cs="宋体"/>
                <w:sz w:val="21"/>
                <w:szCs w:val="21"/>
              </w:rPr>
            </w:pPr>
          </w:p>
        </w:tc>
        <w:tc>
          <w:tcPr>
            <w:tcW w:w="2067" w:type="dxa"/>
            <w:noWrap/>
            <w:vAlign w:val="center"/>
          </w:tcPr>
          <w:p>
            <w:pPr>
              <w:tabs>
                <w:tab w:val="left" w:pos="6300"/>
              </w:tabs>
              <w:snapToGrid w:val="0"/>
              <w:spacing w:line="500" w:lineRule="exact"/>
              <w:jc w:val="center"/>
              <w:outlineLvl w:val="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noWrap/>
            <w:vAlign w:val="center"/>
          </w:tcPr>
          <w:p>
            <w:pPr>
              <w:tabs>
                <w:tab w:val="left" w:pos="6300"/>
              </w:tabs>
              <w:snapToGrid w:val="0"/>
              <w:spacing w:line="500" w:lineRule="exact"/>
              <w:jc w:val="center"/>
              <w:outlineLvl w:val="0"/>
              <w:rPr>
                <w:rFonts w:ascii="宋体" w:hAnsi="宋体" w:cs="宋体"/>
                <w:sz w:val="21"/>
                <w:szCs w:val="21"/>
              </w:rPr>
            </w:pPr>
          </w:p>
        </w:tc>
        <w:tc>
          <w:tcPr>
            <w:tcW w:w="2658" w:type="dxa"/>
            <w:noWrap/>
            <w:vAlign w:val="center"/>
          </w:tcPr>
          <w:p>
            <w:pPr>
              <w:tabs>
                <w:tab w:val="left" w:pos="6300"/>
              </w:tabs>
              <w:snapToGrid w:val="0"/>
              <w:spacing w:line="500" w:lineRule="exact"/>
              <w:jc w:val="center"/>
              <w:outlineLvl w:val="0"/>
              <w:rPr>
                <w:rFonts w:ascii="宋体" w:hAnsi="宋体" w:cs="宋体"/>
                <w:sz w:val="21"/>
                <w:szCs w:val="21"/>
              </w:rPr>
            </w:pPr>
          </w:p>
        </w:tc>
        <w:tc>
          <w:tcPr>
            <w:tcW w:w="2759" w:type="dxa"/>
            <w:noWrap/>
            <w:vAlign w:val="center"/>
          </w:tcPr>
          <w:p>
            <w:pPr>
              <w:tabs>
                <w:tab w:val="left" w:pos="6300"/>
              </w:tabs>
              <w:snapToGrid w:val="0"/>
              <w:spacing w:line="500" w:lineRule="exact"/>
              <w:jc w:val="center"/>
              <w:outlineLvl w:val="0"/>
              <w:rPr>
                <w:rFonts w:ascii="宋体" w:hAnsi="宋体" w:cs="宋体"/>
                <w:sz w:val="21"/>
                <w:szCs w:val="21"/>
              </w:rPr>
            </w:pPr>
          </w:p>
        </w:tc>
        <w:tc>
          <w:tcPr>
            <w:tcW w:w="2067" w:type="dxa"/>
            <w:noWrap/>
            <w:vAlign w:val="center"/>
          </w:tcPr>
          <w:p>
            <w:pPr>
              <w:tabs>
                <w:tab w:val="left" w:pos="6300"/>
              </w:tabs>
              <w:snapToGrid w:val="0"/>
              <w:spacing w:line="500" w:lineRule="exact"/>
              <w:jc w:val="center"/>
              <w:outlineLvl w:val="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noWrap/>
            <w:vAlign w:val="center"/>
          </w:tcPr>
          <w:p>
            <w:pPr>
              <w:tabs>
                <w:tab w:val="left" w:pos="6300"/>
              </w:tabs>
              <w:snapToGrid w:val="0"/>
              <w:spacing w:line="500" w:lineRule="exact"/>
              <w:jc w:val="center"/>
              <w:outlineLvl w:val="0"/>
              <w:rPr>
                <w:rFonts w:ascii="宋体" w:hAnsi="宋体" w:cs="宋体"/>
                <w:sz w:val="21"/>
                <w:szCs w:val="21"/>
              </w:rPr>
            </w:pPr>
          </w:p>
        </w:tc>
        <w:tc>
          <w:tcPr>
            <w:tcW w:w="2658" w:type="dxa"/>
            <w:noWrap/>
            <w:vAlign w:val="center"/>
          </w:tcPr>
          <w:p>
            <w:pPr>
              <w:tabs>
                <w:tab w:val="left" w:pos="6300"/>
              </w:tabs>
              <w:snapToGrid w:val="0"/>
              <w:spacing w:line="500" w:lineRule="exact"/>
              <w:jc w:val="center"/>
              <w:outlineLvl w:val="0"/>
              <w:rPr>
                <w:rFonts w:ascii="宋体" w:hAnsi="宋体" w:cs="宋体"/>
                <w:sz w:val="21"/>
                <w:szCs w:val="21"/>
              </w:rPr>
            </w:pPr>
          </w:p>
        </w:tc>
        <w:tc>
          <w:tcPr>
            <w:tcW w:w="2759" w:type="dxa"/>
            <w:noWrap/>
            <w:vAlign w:val="center"/>
          </w:tcPr>
          <w:p>
            <w:pPr>
              <w:tabs>
                <w:tab w:val="left" w:pos="6300"/>
              </w:tabs>
              <w:snapToGrid w:val="0"/>
              <w:spacing w:line="500" w:lineRule="exact"/>
              <w:jc w:val="center"/>
              <w:outlineLvl w:val="0"/>
              <w:rPr>
                <w:rFonts w:ascii="宋体" w:hAnsi="宋体" w:cs="宋体"/>
                <w:sz w:val="21"/>
                <w:szCs w:val="21"/>
              </w:rPr>
            </w:pPr>
          </w:p>
        </w:tc>
        <w:tc>
          <w:tcPr>
            <w:tcW w:w="2067" w:type="dxa"/>
            <w:noWrap/>
            <w:vAlign w:val="center"/>
          </w:tcPr>
          <w:p>
            <w:pPr>
              <w:tabs>
                <w:tab w:val="left" w:pos="6300"/>
              </w:tabs>
              <w:snapToGrid w:val="0"/>
              <w:spacing w:line="500" w:lineRule="exact"/>
              <w:jc w:val="center"/>
              <w:outlineLvl w:val="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noWrap/>
            <w:vAlign w:val="center"/>
          </w:tcPr>
          <w:p>
            <w:pPr>
              <w:tabs>
                <w:tab w:val="left" w:pos="6300"/>
              </w:tabs>
              <w:snapToGrid w:val="0"/>
              <w:spacing w:line="500" w:lineRule="exact"/>
              <w:jc w:val="center"/>
              <w:outlineLvl w:val="0"/>
              <w:rPr>
                <w:rFonts w:ascii="宋体" w:hAnsi="宋体" w:cs="宋体"/>
                <w:sz w:val="21"/>
                <w:szCs w:val="21"/>
              </w:rPr>
            </w:pPr>
          </w:p>
        </w:tc>
        <w:tc>
          <w:tcPr>
            <w:tcW w:w="2658" w:type="dxa"/>
            <w:noWrap/>
            <w:vAlign w:val="center"/>
          </w:tcPr>
          <w:p>
            <w:pPr>
              <w:tabs>
                <w:tab w:val="left" w:pos="6300"/>
              </w:tabs>
              <w:snapToGrid w:val="0"/>
              <w:spacing w:line="500" w:lineRule="exact"/>
              <w:jc w:val="center"/>
              <w:outlineLvl w:val="0"/>
              <w:rPr>
                <w:rFonts w:ascii="宋体" w:hAnsi="宋体" w:cs="宋体"/>
                <w:sz w:val="21"/>
                <w:szCs w:val="21"/>
              </w:rPr>
            </w:pPr>
          </w:p>
        </w:tc>
        <w:tc>
          <w:tcPr>
            <w:tcW w:w="2759" w:type="dxa"/>
            <w:noWrap/>
            <w:vAlign w:val="center"/>
          </w:tcPr>
          <w:p>
            <w:pPr>
              <w:tabs>
                <w:tab w:val="left" w:pos="6300"/>
              </w:tabs>
              <w:snapToGrid w:val="0"/>
              <w:spacing w:line="500" w:lineRule="exact"/>
              <w:jc w:val="center"/>
              <w:outlineLvl w:val="0"/>
              <w:rPr>
                <w:rFonts w:ascii="宋体" w:hAnsi="宋体" w:cs="宋体"/>
                <w:sz w:val="21"/>
                <w:szCs w:val="21"/>
              </w:rPr>
            </w:pPr>
          </w:p>
        </w:tc>
        <w:tc>
          <w:tcPr>
            <w:tcW w:w="2067" w:type="dxa"/>
            <w:noWrap/>
            <w:vAlign w:val="center"/>
          </w:tcPr>
          <w:p>
            <w:pPr>
              <w:tabs>
                <w:tab w:val="left" w:pos="6300"/>
              </w:tabs>
              <w:snapToGrid w:val="0"/>
              <w:spacing w:line="500" w:lineRule="exact"/>
              <w:jc w:val="center"/>
              <w:outlineLvl w:val="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noWrap/>
            <w:vAlign w:val="center"/>
          </w:tcPr>
          <w:p>
            <w:pPr>
              <w:tabs>
                <w:tab w:val="left" w:pos="6300"/>
              </w:tabs>
              <w:snapToGrid w:val="0"/>
              <w:spacing w:line="500" w:lineRule="exact"/>
              <w:jc w:val="center"/>
              <w:outlineLvl w:val="0"/>
              <w:rPr>
                <w:rFonts w:ascii="宋体" w:hAnsi="宋体" w:cs="宋体"/>
                <w:sz w:val="21"/>
                <w:szCs w:val="21"/>
              </w:rPr>
            </w:pPr>
          </w:p>
        </w:tc>
        <w:tc>
          <w:tcPr>
            <w:tcW w:w="2658" w:type="dxa"/>
            <w:noWrap/>
            <w:vAlign w:val="center"/>
          </w:tcPr>
          <w:p>
            <w:pPr>
              <w:tabs>
                <w:tab w:val="left" w:pos="6300"/>
              </w:tabs>
              <w:snapToGrid w:val="0"/>
              <w:spacing w:line="500" w:lineRule="exact"/>
              <w:jc w:val="center"/>
              <w:outlineLvl w:val="0"/>
              <w:rPr>
                <w:rFonts w:ascii="宋体" w:hAnsi="宋体" w:cs="宋体"/>
                <w:sz w:val="21"/>
                <w:szCs w:val="21"/>
              </w:rPr>
            </w:pPr>
          </w:p>
        </w:tc>
        <w:tc>
          <w:tcPr>
            <w:tcW w:w="2759" w:type="dxa"/>
            <w:noWrap/>
            <w:vAlign w:val="center"/>
          </w:tcPr>
          <w:p>
            <w:pPr>
              <w:tabs>
                <w:tab w:val="left" w:pos="6300"/>
              </w:tabs>
              <w:snapToGrid w:val="0"/>
              <w:spacing w:line="500" w:lineRule="exact"/>
              <w:jc w:val="center"/>
              <w:outlineLvl w:val="0"/>
              <w:rPr>
                <w:rFonts w:ascii="宋体" w:hAnsi="宋体" w:cs="宋体"/>
                <w:sz w:val="21"/>
                <w:szCs w:val="21"/>
              </w:rPr>
            </w:pPr>
          </w:p>
        </w:tc>
        <w:tc>
          <w:tcPr>
            <w:tcW w:w="2067" w:type="dxa"/>
            <w:noWrap/>
            <w:vAlign w:val="center"/>
          </w:tcPr>
          <w:p>
            <w:pPr>
              <w:tabs>
                <w:tab w:val="left" w:pos="6300"/>
              </w:tabs>
              <w:snapToGrid w:val="0"/>
              <w:spacing w:line="500" w:lineRule="exact"/>
              <w:jc w:val="center"/>
              <w:outlineLvl w:val="0"/>
              <w:rPr>
                <w:rFonts w:ascii="宋体" w:hAnsi="宋体" w:cs="宋体"/>
                <w:sz w:val="21"/>
                <w:szCs w:val="21"/>
              </w:rPr>
            </w:pPr>
          </w:p>
        </w:tc>
      </w:tr>
    </w:tbl>
    <w:p>
      <w:pPr>
        <w:spacing w:line="500" w:lineRule="exact"/>
        <w:ind w:firstLine="600" w:firstLineChars="250"/>
        <w:rPr>
          <w:rFonts w:ascii="宋体" w:hAnsi="宋体" w:cs="宋体"/>
          <w:sz w:val="24"/>
          <w:szCs w:val="28"/>
        </w:rPr>
      </w:pPr>
      <w:r>
        <w:rPr>
          <w:rFonts w:hint="eastAsia" w:ascii="宋体" w:hAnsi="宋体" w:cs="宋体"/>
          <w:sz w:val="24"/>
          <w:szCs w:val="28"/>
        </w:rPr>
        <w:t>供应商：                                      法定代表人授权代表：</w:t>
      </w:r>
    </w:p>
    <w:p>
      <w:pPr>
        <w:spacing w:line="500" w:lineRule="exact"/>
        <w:rPr>
          <w:rFonts w:ascii="宋体" w:hAnsi="宋体" w:cs="宋体"/>
          <w:sz w:val="24"/>
          <w:szCs w:val="28"/>
        </w:rPr>
      </w:pPr>
    </w:p>
    <w:p>
      <w:pPr>
        <w:spacing w:line="500" w:lineRule="exact"/>
        <w:ind w:firstLine="720" w:firstLineChars="300"/>
        <w:rPr>
          <w:rFonts w:ascii="宋体" w:hAnsi="宋体" w:cs="宋体"/>
          <w:sz w:val="24"/>
          <w:szCs w:val="28"/>
        </w:rPr>
      </w:pPr>
      <w:r>
        <w:rPr>
          <w:rFonts w:hint="eastAsia" w:ascii="宋体" w:hAnsi="宋体" w:cs="宋体"/>
          <w:sz w:val="24"/>
          <w:szCs w:val="28"/>
        </w:rPr>
        <w:t>（供应商公章）                               （签字或盖章）</w:t>
      </w:r>
    </w:p>
    <w:p>
      <w:pPr>
        <w:tabs>
          <w:tab w:val="left" w:pos="6300"/>
        </w:tabs>
        <w:snapToGrid w:val="0"/>
        <w:spacing w:line="500" w:lineRule="exact"/>
        <w:ind w:firstLine="570"/>
        <w:rPr>
          <w:rFonts w:ascii="宋体" w:hAnsi="宋体" w:cs="宋体"/>
          <w:sz w:val="24"/>
        </w:rPr>
      </w:pPr>
      <w:r>
        <w:rPr>
          <w:rFonts w:hint="eastAsia" w:ascii="宋体" w:hAnsi="宋体" w:cs="宋体"/>
          <w:sz w:val="24"/>
          <w:szCs w:val="28"/>
        </w:rPr>
        <w:t xml:space="preserve">                                              年     月     日</w:t>
      </w: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注：</w:t>
      </w: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szCs w:val="24"/>
        </w:rPr>
        <w:t>1</w:t>
      </w:r>
      <w:r>
        <w:rPr>
          <w:rFonts w:hint="eastAsia" w:ascii="宋体" w:hAnsi="宋体" w:cs="宋体"/>
          <w:sz w:val="24"/>
        </w:rPr>
        <w:t>.本表即为对本项目“第二篇  项目服务需求”中所列服务要求进行比较和响应；</w:t>
      </w: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2.该表必须按照竞争性磋商要求逐条如实填写，根据响应情况在“差异说明”项填写正偏离或负偏离及原因，完全符合的填写“无差异”；</w:t>
      </w: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3.该表可扩展</w:t>
      </w:r>
      <w:r>
        <w:rPr>
          <w:rFonts w:hint="eastAsia" w:ascii="宋体" w:hAnsi="宋体" w:cs="宋体"/>
          <w:sz w:val="24"/>
          <w:szCs w:val="28"/>
        </w:rPr>
        <w:t>，并逐页签字或盖章</w:t>
      </w:r>
      <w:r>
        <w:rPr>
          <w:rFonts w:hint="eastAsia" w:ascii="宋体" w:hAnsi="宋体" w:cs="宋体"/>
          <w:sz w:val="24"/>
        </w:rPr>
        <w:t>；</w:t>
      </w: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4.可附相关支撑材料。（格式自定）</w:t>
      </w:r>
    </w:p>
    <w:p>
      <w:pPr>
        <w:pStyle w:val="4"/>
        <w:spacing w:line="360" w:lineRule="auto"/>
        <w:rPr>
          <w:rFonts w:ascii="宋体" w:hAnsi="宋体" w:cs="宋体"/>
          <w:sz w:val="24"/>
          <w:szCs w:val="24"/>
        </w:rPr>
      </w:pPr>
      <w:r>
        <w:rPr>
          <w:rFonts w:hint="eastAsia" w:ascii="宋体" w:hAnsi="宋体" w:cs="宋体"/>
          <w:b w:val="0"/>
        </w:rPr>
        <w:br w:type="page"/>
      </w:r>
      <w:bookmarkStart w:id="77" w:name="_Toc54279014"/>
      <w:bookmarkStart w:id="78" w:name="_Toc313888362"/>
      <w:bookmarkStart w:id="79" w:name="_Toc342913421"/>
      <w:bookmarkStart w:id="80" w:name="_Toc313008358"/>
      <w:r>
        <w:rPr>
          <w:rFonts w:hint="eastAsia" w:ascii="宋体" w:hAnsi="宋体" w:cs="宋体"/>
          <w:sz w:val="24"/>
          <w:szCs w:val="24"/>
        </w:rPr>
        <w:t>三、商务部分</w:t>
      </w:r>
      <w:bookmarkEnd w:id="77"/>
      <w:bookmarkEnd w:id="78"/>
      <w:bookmarkEnd w:id="79"/>
      <w:bookmarkEnd w:id="80"/>
    </w:p>
    <w:p>
      <w:pPr>
        <w:spacing w:line="360" w:lineRule="auto"/>
        <w:ind w:firstLine="480" w:firstLineChars="200"/>
        <w:rPr>
          <w:rFonts w:ascii="宋体" w:hAnsi="宋体" w:cs="宋体"/>
          <w:sz w:val="24"/>
          <w:szCs w:val="24"/>
        </w:rPr>
      </w:pPr>
      <w:r>
        <w:rPr>
          <w:rFonts w:hint="eastAsia" w:ascii="宋体" w:hAnsi="宋体" w:cs="宋体"/>
          <w:sz w:val="24"/>
          <w:szCs w:val="24"/>
        </w:rPr>
        <w:t>（一</w:t>
      </w:r>
      <w:bookmarkStart w:id="81" w:name="_Toc283382459"/>
      <w:r>
        <w:rPr>
          <w:rFonts w:hint="eastAsia" w:ascii="宋体" w:hAnsi="宋体" w:cs="宋体"/>
          <w:sz w:val="24"/>
          <w:szCs w:val="24"/>
        </w:rPr>
        <w:t>）商务响应偏离表</w:t>
      </w:r>
    </w:p>
    <w:p>
      <w:pPr>
        <w:snapToGrid w:val="0"/>
        <w:spacing w:line="360" w:lineRule="auto"/>
        <w:jc w:val="center"/>
        <w:rPr>
          <w:rFonts w:ascii="宋体" w:hAnsi="宋体" w:cs="宋体"/>
          <w:b/>
          <w:szCs w:val="28"/>
        </w:rPr>
      </w:pPr>
      <w:r>
        <w:rPr>
          <w:rFonts w:hint="eastAsia" w:ascii="宋体" w:hAnsi="宋体" w:cs="宋体"/>
          <w:b/>
          <w:szCs w:val="28"/>
        </w:rPr>
        <w:t>商务响应偏离表</w:t>
      </w:r>
    </w:p>
    <w:p>
      <w:pPr>
        <w:spacing w:line="400" w:lineRule="exact"/>
        <w:ind w:firstLine="360" w:firstLineChars="150"/>
        <w:rPr>
          <w:rFonts w:ascii="宋体" w:hAnsi="宋体" w:cs="宋体"/>
          <w:sz w:val="24"/>
          <w:szCs w:val="24"/>
        </w:rPr>
      </w:pPr>
      <w:r>
        <w:rPr>
          <w:rFonts w:hint="eastAsia" w:ascii="宋体" w:hAnsi="宋体" w:cs="宋体"/>
          <w:sz w:val="24"/>
          <w:szCs w:val="24"/>
        </w:rPr>
        <w:t>项目号：                                磋商项目编号：</w:t>
      </w:r>
    </w:p>
    <w:p>
      <w:pPr>
        <w:snapToGrid w:val="0"/>
        <w:spacing w:line="400" w:lineRule="exact"/>
        <w:ind w:firstLine="360" w:firstLineChars="150"/>
        <w:rPr>
          <w:rFonts w:ascii="宋体" w:hAnsi="宋体" w:cs="宋体"/>
          <w:sz w:val="24"/>
          <w:szCs w:val="24"/>
        </w:rPr>
      </w:pPr>
      <w:r>
        <w:rPr>
          <w:rFonts w:hint="eastAsia" w:ascii="宋体" w:hAnsi="宋体" w:cs="宋体"/>
          <w:sz w:val="24"/>
          <w:szCs w:val="24"/>
        </w:rPr>
        <w:t xml:space="preserve">磋商项目名称： </w:t>
      </w:r>
    </w:p>
    <w:tbl>
      <w:tblPr>
        <w:tblStyle w:val="11"/>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1510" w:type="dxa"/>
            <w:noWrap/>
            <w:vAlign w:val="center"/>
          </w:tcPr>
          <w:p>
            <w:pPr>
              <w:snapToGrid w:val="0"/>
              <w:spacing w:line="360" w:lineRule="auto"/>
              <w:ind w:firstLine="465"/>
              <w:rPr>
                <w:rFonts w:ascii="宋体" w:hAnsi="宋体" w:cs="宋体"/>
                <w:sz w:val="21"/>
                <w:szCs w:val="24"/>
              </w:rPr>
            </w:pPr>
            <w:r>
              <w:rPr>
                <w:rFonts w:hint="eastAsia" w:ascii="宋体" w:hAnsi="宋体" w:cs="宋体"/>
                <w:sz w:val="21"/>
                <w:szCs w:val="24"/>
              </w:rPr>
              <w:t>序号</w:t>
            </w:r>
          </w:p>
        </w:tc>
        <w:tc>
          <w:tcPr>
            <w:tcW w:w="3179" w:type="dxa"/>
            <w:noWrap/>
            <w:vAlign w:val="center"/>
          </w:tcPr>
          <w:p>
            <w:pPr>
              <w:tabs>
                <w:tab w:val="left" w:pos="6300"/>
              </w:tabs>
              <w:snapToGrid w:val="0"/>
              <w:spacing w:line="360" w:lineRule="auto"/>
              <w:jc w:val="center"/>
              <w:outlineLvl w:val="0"/>
              <w:rPr>
                <w:rFonts w:ascii="宋体" w:hAnsi="宋体" w:cs="宋体"/>
                <w:sz w:val="21"/>
                <w:szCs w:val="24"/>
              </w:rPr>
            </w:pPr>
            <w:r>
              <w:rPr>
                <w:rFonts w:hint="eastAsia" w:ascii="宋体" w:hAnsi="宋体" w:cs="宋体"/>
                <w:sz w:val="21"/>
                <w:szCs w:val="24"/>
              </w:rPr>
              <w:t>磋商项目商务需求</w:t>
            </w:r>
          </w:p>
        </w:tc>
        <w:tc>
          <w:tcPr>
            <w:tcW w:w="2434" w:type="dxa"/>
            <w:noWrap/>
            <w:vAlign w:val="center"/>
          </w:tcPr>
          <w:p>
            <w:pPr>
              <w:tabs>
                <w:tab w:val="left" w:pos="6300"/>
              </w:tabs>
              <w:snapToGrid w:val="0"/>
              <w:spacing w:line="360" w:lineRule="auto"/>
              <w:jc w:val="center"/>
              <w:outlineLvl w:val="0"/>
              <w:rPr>
                <w:rFonts w:ascii="宋体" w:hAnsi="宋体" w:cs="宋体"/>
                <w:sz w:val="21"/>
                <w:szCs w:val="24"/>
              </w:rPr>
            </w:pPr>
            <w:r>
              <w:rPr>
                <w:rFonts w:hint="eastAsia" w:ascii="宋体" w:hAnsi="宋体" w:cs="宋体"/>
                <w:sz w:val="21"/>
                <w:szCs w:val="24"/>
              </w:rPr>
              <w:t>响应情况</w:t>
            </w:r>
          </w:p>
        </w:tc>
        <w:tc>
          <w:tcPr>
            <w:tcW w:w="2355" w:type="dxa"/>
            <w:noWrap/>
            <w:vAlign w:val="center"/>
          </w:tcPr>
          <w:p>
            <w:pPr>
              <w:tabs>
                <w:tab w:val="left" w:pos="6300"/>
              </w:tabs>
              <w:snapToGrid w:val="0"/>
              <w:spacing w:line="360" w:lineRule="auto"/>
              <w:jc w:val="center"/>
              <w:outlineLvl w:val="0"/>
              <w:rPr>
                <w:rFonts w:ascii="宋体" w:hAnsi="宋体" w:cs="宋体"/>
                <w:sz w:val="21"/>
                <w:szCs w:val="24"/>
              </w:rPr>
            </w:pPr>
            <w:r>
              <w:rPr>
                <w:rFonts w:hint="eastAsia" w:ascii="宋体" w:hAnsi="宋体" w:cs="宋体"/>
                <w:sz w:val="21"/>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noWrap/>
            <w:vAlign w:val="center"/>
          </w:tcPr>
          <w:p>
            <w:pPr>
              <w:tabs>
                <w:tab w:val="left" w:pos="6300"/>
              </w:tabs>
              <w:snapToGrid w:val="0"/>
              <w:spacing w:line="360" w:lineRule="auto"/>
              <w:jc w:val="center"/>
              <w:outlineLvl w:val="0"/>
              <w:rPr>
                <w:rFonts w:ascii="宋体" w:hAnsi="宋体" w:cs="宋体"/>
                <w:sz w:val="21"/>
                <w:szCs w:val="24"/>
              </w:rPr>
            </w:pPr>
          </w:p>
        </w:tc>
        <w:tc>
          <w:tcPr>
            <w:tcW w:w="3179" w:type="dxa"/>
            <w:noWrap/>
            <w:vAlign w:val="center"/>
          </w:tcPr>
          <w:p>
            <w:pPr>
              <w:tabs>
                <w:tab w:val="left" w:pos="6300"/>
              </w:tabs>
              <w:snapToGrid w:val="0"/>
              <w:spacing w:line="360" w:lineRule="auto"/>
              <w:jc w:val="center"/>
              <w:outlineLvl w:val="0"/>
              <w:rPr>
                <w:rFonts w:ascii="宋体" w:hAnsi="宋体" w:cs="宋体"/>
                <w:sz w:val="21"/>
                <w:szCs w:val="24"/>
              </w:rPr>
            </w:pPr>
          </w:p>
        </w:tc>
        <w:tc>
          <w:tcPr>
            <w:tcW w:w="2434" w:type="dxa"/>
            <w:noWrap/>
            <w:vAlign w:val="center"/>
          </w:tcPr>
          <w:p>
            <w:pPr>
              <w:tabs>
                <w:tab w:val="left" w:pos="6300"/>
              </w:tabs>
              <w:snapToGrid w:val="0"/>
              <w:spacing w:line="360" w:lineRule="auto"/>
              <w:jc w:val="center"/>
              <w:outlineLvl w:val="0"/>
              <w:rPr>
                <w:rFonts w:ascii="宋体" w:hAnsi="宋体" w:cs="宋体"/>
                <w:sz w:val="21"/>
                <w:szCs w:val="24"/>
              </w:rPr>
            </w:pPr>
          </w:p>
        </w:tc>
        <w:tc>
          <w:tcPr>
            <w:tcW w:w="2355" w:type="dxa"/>
            <w:noWrap/>
            <w:vAlign w:val="center"/>
          </w:tcPr>
          <w:p>
            <w:pPr>
              <w:tabs>
                <w:tab w:val="left" w:pos="6300"/>
              </w:tabs>
              <w:snapToGrid w:val="0"/>
              <w:spacing w:line="360" w:lineRule="auto"/>
              <w:jc w:val="center"/>
              <w:outlineLvl w:val="0"/>
              <w:rPr>
                <w:rFonts w:ascii="宋体" w:hAnsi="宋体" w:cs="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noWrap/>
            <w:vAlign w:val="center"/>
          </w:tcPr>
          <w:p>
            <w:pPr>
              <w:tabs>
                <w:tab w:val="left" w:pos="6300"/>
              </w:tabs>
              <w:snapToGrid w:val="0"/>
              <w:spacing w:line="360" w:lineRule="auto"/>
              <w:jc w:val="center"/>
              <w:outlineLvl w:val="0"/>
              <w:rPr>
                <w:rFonts w:ascii="宋体" w:hAnsi="宋体" w:cs="宋体"/>
                <w:sz w:val="21"/>
                <w:szCs w:val="24"/>
              </w:rPr>
            </w:pPr>
          </w:p>
        </w:tc>
        <w:tc>
          <w:tcPr>
            <w:tcW w:w="3179" w:type="dxa"/>
            <w:noWrap/>
            <w:vAlign w:val="center"/>
          </w:tcPr>
          <w:p>
            <w:pPr>
              <w:tabs>
                <w:tab w:val="left" w:pos="6300"/>
              </w:tabs>
              <w:snapToGrid w:val="0"/>
              <w:spacing w:line="360" w:lineRule="auto"/>
              <w:jc w:val="center"/>
              <w:outlineLvl w:val="0"/>
              <w:rPr>
                <w:rFonts w:ascii="宋体" w:hAnsi="宋体" w:cs="宋体"/>
                <w:sz w:val="21"/>
                <w:szCs w:val="24"/>
              </w:rPr>
            </w:pPr>
          </w:p>
        </w:tc>
        <w:tc>
          <w:tcPr>
            <w:tcW w:w="2434" w:type="dxa"/>
            <w:noWrap/>
            <w:vAlign w:val="center"/>
          </w:tcPr>
          <w:p>
            <w:pPr>
              <w:tabs>
                <w:tab w:val="left" w:pos="6300"/>
              </w:tabs>
              <w:snapToGrid w:val="0"/>
              <w:spacing w:line="360" w:lineRule="auto"/>
              <w:jc w:val="center"/>
              <w:outlineLvl w:val="0"/>
              <w:rPr>
                <w:rFonts w:ascii="宋体" w:hAnsi="宋体" w:cs="宋体"/>
                <w:sz w:val="21"/>
                <w:szCs w:val="24"/>
              </w:rPr>
            </w:pPr>
          </w:p>
        </w:tc>
        <w:tc>
          <w:tcPr>
            <w:tcW w:w="2355" w:type="dxa"/>
            <w:noWrap/>
            <w:vAlign w:val="center"/>
          </w:tcPr>
          <w:p>
            <w:pPr>
              <w:tabs>
                <w:tab w:val="left" w:pos="6300"/>
              </w:tabs>
              <w:snapToGrid w:val="0"/>
              <w:spacing w:line="360" w:lineRule="auto"/>
              <w:jc w:val="center"/>
              <w:outlineLvl w:val="0"/>
              <w:rPr>
                <w:rFonts w:ascii="宋体" w:hAnsi="宋体" w:cs="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noWrap/>
            <w:vAlign w:val="center"/>
          </w:tcPr>
          <w:p>
            <w:pPr>
              <w:tabs>
                <w:tab w:val="left" w:pos="6300"/>
              </w:tabs>
              <w:snapToGrid w:val="0"/>
              <w:spacing w:line="360" w:lineRule="auto"/>
              <w:jc w:val="center"/>
              <w:outlineLvl w:val="0"/>
              <w:rPr>
                <w:rFonts w:ascii="宋体" w:hAnsi="宋体" w:cs="宋体"/>
                <w:sz w:val="21"/>
                <w:szCs w:val="24"/>
              </w:rPr>
            </w:pPr>
          </w:p>
        </w:tc>
        <w:tc>
          <w:tcPr>
            <w:tcW w:w="3179" w:type="dxa"/>
            <w:noWrap/>
            <w:vAlign w:val="center"/>
          </w:tcPr>
          <w:p>
            <w:pPr>
              <w:tabs>
                <w:tab w:val="left" w:pos="6300"/>
              </w:tabs>
              <w:snapToGrid w:val="0"/>
              <w:spacing w:line="360" w:lineRule="auto"/>
              <w:jc w:val="center"/>
              <w:outlineLvl w:val="0"/>
              <w:rPr>
                <w:rFonts w:ascii="宋体" w:hAnsi="宋体" w:cs="宋体"/>
                <w:sz w:val="21"/>
                <w:szCs w:val="24"/>
              </w:rPr>
            </w:pPr>
          </w:p>
        </w:tc>
        <w:tc>
          <w:tcPr>
            <w:tcW w:w="2434" w:type="dxa"/>
            <w:noWrap/>
            <w:vAlign w:val="center"/>
          </w:tcPr>
          <w:p>
            <w:pPr>
              <w:tabs>
                <w:tab w:val="left" w:pos="6300"/>
              </w:tabs>
              <w:snapToGrid w:val="0"/>
              <w:spacing w:line="360" w:lineRule="auto"/>
              <w:jc w:val="center"/>
              <w:outlineLvl w:val="0"/>
              <w:rPr>
                <w:rFonts w:ascii="宋体" w:hAnsi="宋体" w:cs="宋体"/>
                <w:sz w:val="21"/>
                <w:szCs w:val="24"/>
              </w:rPr>
            </w:pPr>
          </w:p>
        </w:tc>
        <w:tc>
          <w:tcPr>
            <w:tcW w:w="2355" w:type="dxa"/>
            <w:noWrap/>
            <w:vAlign w:val="center"/>
          </w:tcPr>
          <w:p>
            <w:pPr>
              <w:tabs>
                <w:tab w:val="left" w:pos="6300"/>
              </w:tabs>
              <w:snapToGrid w:val="0"/>
              <w:spacing w:line="360" w:lineRule="auto"/>
              <w:jc w:val="center"/>
              <w:outlineLvl w:val="0"/>
              <w:rPr>
                <w:rFonts w:ascii="宋体" w:hAnsi="宋体" w:cs="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noWrap/>
            <w:vAlign w:val="center"/>
          </w:tcPr>
          <w:p>
            <w:pPr>
              <w:tabs>
                <w:tab w:val="left" w:pos="6300"/>
              </w:tabs>
              <w:snapToGrid w:val="0"/>
              <w:spacing w:line="360" w:lineRule="auto"/>
              <w:jc w:val="center"/>
              <w:outlineLvl w:val="0"/>
              <w:rPr>
                <w:rFonts w:ascii="宋体" w:hAnsi="宋体" w:cs="宋体"/>
                <w:sz w:val="21"/>
                <w:szCs w:val="24"/>
              </w:rPr>
            </w:pPr>
          </w:p>
        </w:tc>
        <w:tc>
          <w:tcPr>
            <w:tcW w:w="3179" w:type="dxa"/>
            <w:noWrap/>
            <w:vAlign w:val="center"/>
          </w:tcPr>
          <w:p>
            <w:pPr>
              <w:tabs>
                <w:tab w:val="left" w:pos="6300"/>
              </w:tabs>
              <w:snapToGrid w:val="0"/>
              <w:spacing w:line="360" w:lineRule="auto"/>
              <w:jc w:val="center"/>
              <w:outlineLvl w:val="0"/>
              <w:rPr>
                <w:rFonts w:ascii="宋体" w:hAnsi="宋体" w:cs="宋体"/>
                <w:sz w:val="21"/>
                <w:szCs w:val="24"/>
              </w:rPr>
            </w:pPr>
          </w:p>
        </w:tc>
        <w:tc>
          <w:tcPr>
            <w:tcW w:w="2434" w:type="dxa"/>
            <w:noWrap/>
            <w:vAlign w:val="center"/>
          </w:tcPr>
          <w:p>
            <w:pPr>
              <w:tabs>
                <w:tab w:val="left" w:pos="6300"/>
              </w:tabs>
              <w:snapToGrid w:val="0"/>
              <w:spacing w:line="360" w:lineRule="auto"/>
              <w:jc w:val="center"/>
              <w:outlineLvl w:val="0"/>
              <w:rPr>
                <w:rFonts w:ascii="宋体" w:hAnsi="宋体" w:cs="宋体"/>
                <w:sz w:val="21"/>
                <w:szCs w:val="24"/>
              </w:rPr>
            </w:pPr>
          </w:p>
        </w:tc>
        <w:tc>
          <w:tcPr>
            <w:tcW w:w="2355" w:type="dxa"/>
            <w:noWrap/>
            <w:vAlign w:val="center"/>
          </w:tcPr>
          <w:p>
            <w:pPr>
              <w:tabs>
                <w:tab w:val="left" w:pos="6300"/>
              </w:tabs>
              <w:snapToGrid w:val="0"/>
              <w:spacing w:line="360" w:lineRule="auto"/>
              <w:jc w:val="center"/>
              <w:outlineLvl w:val="0"/>
              <w:rPr>
                <w:rFonts w:ascii="宋体" w:hAnsi="宋体" w:cs="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noWrap/>
            <w:vAlign w:val="center"/>
          </w:tcPr>
          <w:p>
            <w:pPr>
              <w:tabs>
                <w:tab w:val="left" w:pos="6300"/>
              </w:tabs>
              <w:snapToGrid w:val="0"/>
              <w:spacing w:line="360" w:lineRule="auto"/>
              <w:jc w:val="center"/>
              <w:outlineLvl w:val="0"/>
              <w:rPr>
                <w:rFonts w:ascii="宋体" w:hAnsi="宋体" w:cs="宋体"/>
                <w:sz w:val="21"/>
                <w:szCs w:val="24"/>
              </w:rPr>
            </w:pPr>
          </w:p>
        </w:tc>
        <w:tc>
          <w:tcPr>
            <w:tcW w:w="3179" w:type="dxa"/>
            <w:noWrap/>
            <w:vAlign w:val="center"/>
          </w:tcPr>
          <w:p>
            <w:pPr>
              <w:tabs>
                <w:tab w:val="left" w:pos="6300"/>
              </w:tabs>
              <w:snapToGrid w:val="0"/>
              <w:spacing w:line="360" w:lineRule="auto"/>
              <w:jc w:val="center"/>
              <w:outlineLvl w:val="0"/>
              <w:rPr>
                <w:rFonts w:ascii="宋体" w:hAnsi="宋体" w:cs="宋体"/>
                <w:sz w:val="21"/>
                <w:szCs w:val="24"/>
              </w:rPr>
            </w:pPr>
          </w:p>
        </w:tc>
        <w:tc>
          <w:tcPr>
            <w:tcW w:w="2434" w:type="dxa"/>
            <w:noWrap/>
            <w:vAlign w:val="center"/>
          </w:tcPr>
          <w:p>
            <w:pPr>
              <w:tabs>
                <w:tab w:val="left" w:pos="6300"/>
              </w:tabs>
              <w:snapToGrid w:val="0"/>
              <w:spacing w:line="360" w:lineRule="auto"/>
              <w:jc w:val="center"/>
              <w:outlineLvl w:val="0"/>
              <w:rPr>
                <w:rFonts w:ascii="宋体" w:hAnsi="宋体" w:cs="宋体"/>
                <w:sz w:val="21"/>
                <w:szCs w:val="24"/>
              </w:rPr>
            </w:pPr>
          </w:p>
        </w:tc>
        <w:tc>
          <w:tcPr>
            <w:tcW w:w="2355" w:type="dxa"/>
            <w:noWrap/>
            <w:vAlign w:val="center"/>
          </w:tcPr>
          <w:p>
            <w:pPr>
              <w:tabs>
                <w:tab w:val="left" w:pos="6300"/>
              </w:tabs>
              <w:snapToGrid w:val="0"/>
              <w:spacing w:line="360" w:lineRule="auto"/>
              <w:jc w:val="center"/>
              <w:outlineLvl w:val="0"/>
              <w:rPr>
                <w:rFonts w:ascii="宋体" w:hAnsi="宋体" w:cs="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noWrap/>
            <w:vAlign w:val="center"/>
          </w:tcPr>
          <w:p>
            <w:pPr>
              <w:tabs>
                <w:tab w:val="left" w:pos="6300"/>
              </w:tabs>
              <w:snapToGrid w:val="0"/>
              <w:spacing w:line="360" w:lineRule="auto"/>
              <w:jc w:val="center"/>
              <w:outlineLvl w:val="0"/>
              <w:rPr>
                <w:rFonts w:ascii="宋体" w:hAnsi="宋体" w:cs="宋体"/>
                <w:sz w:val="21"/>
                <w:szCs w:val="24"/>
              </w:rPr>
            </w:pPr>
          </w:p>
        </w:tc>
        <w:tc>
          <w:tcPr>
            <w:tcW w:w="3179" w:type="dxa"/>
            <w:noWrap/>
            <w:vAlign w:val="center"/>
          </w:tcPr>
          <w:p>
            <w:pPr>
              <w:tabs>
                <w:tab w:val="left" w:pos="6300"/>
              </w:tabs>
              <w:snapToGrid w:val="0"/>
              <w:spacing w:line="360" w:lineRule="auto"/>
              <w:jc w:val="center"/>
              <w:outlineLvl w:val="0"/>
              <w:rPr>
                <w:rFonts w:ascii="宋体" w:hAnsi="宋体" w:cs="宋体"/>
                <w:sz w:val="21"/>
                <w:szCs w:val="24"/>
              </w:rPr>
            </w:pPr>
          </w:p>
        </w:tc>
        <w:tc>
          <w:tcPr>
            <w:tcW w:w="2434" w:type="dxa"/>
            <w:noWrap/>
            <w:vAlign w:val="center"/>
          </w:tcPr>
          <w:p>
            <w:pPr>
              <w:tabs>
                <w:tab w:val="left" w:pos="6300"/>
              </w:tabs>
              <w:snapToGrid w:val="0"/>
              <w:spacing w:line="360" w:lineRule="auto"/>
              <w:jc w:val="center"/>
              <w:outlineLvl w:val="0"/>
              <w:rPr>
                <w:rFonts w:ascii="宋体" w:hAnsi="宋体" w:cs="宋体"/>
                <w:sz w:val="21"/>
                <w:szCs w:val="24"/>
              </w:rPr>
            </w:pPr>
          </w:p>
        </w:tc>
        <w:tc>
          <w:tcPr>
            <w:tcW w:w="2355" w:type="dxa"/>
            <w:noWrap/>
            <w:vAlign w:val="center"/>
          </w:tcPr>
          <w:p>
            <w:pPr>
              <w:tabs>
                <w:tab w:val="left" w:pos="6300"/>
              </w:tabs>
              <w:snapToGrid w:val="0"/>
              <w:spacing w:line="360" w:lineRule="auto"/>
              <w:jc w:val="center"/>
              <w:outlineLvl w:val="0"/>
              <w:rPr>
                <w:rFonts w:ascii="宋体" w:hAnsi="宋体" w:cs="宋体"/>
                <w:sz w:val="21"/>
                <w:szCs w:val="24"/>
              </w:rPr>
            </w:pPr>
          </w:p>
        </w:tc>
      </w:tr>
    </w:tbl>
    <w:p>
      <w:pPr>
        <w:snapToGrid w:val="0"/>
        <w:spacing w:line="360" w:lineRule="auto"/>
        <w:ind w:firstLine="465"/>
        <w:rPr>
          <w:rFonts w:ascii="宋体" w:hAnsi="宋体" w:cs="宋体"/>
          <w:sz w:val="24"/>
          <w:szCs w:val="24"/>
        </w:rPr>
      </w:pPr>
    </w:p>
    <w:p>
      <w:pPr>
        <w:spacing w:line="500" w:lineRule="exact"/>
        <w:ind w:firstLine="600" w:firstLineChars="250"/>
        <w:rPr>
          <w:rFonts w:ascii="宋体" w:hAnsi="宋体" w:cs="宋体"/>
          <w:sz w:val="24"/>
          <w:szCs w:val="28"/>
        </w:rPr>
      </w:pPr>
      <w:r>
        <w:rPr>
          <w:rFonts w:hint="eastAsia" w:ascii="宋体" w:hAnsi="宋体" w:cs="宋体"/>
          <w:sz w:val="24"/>
          <w:szCs w:val="28"/>
        </w:rPr>
        <w:t>供应商：                                      法定代表人授权代表：</w:t>
      </w:r>
    </w:p>
    <w:p>
      <w:pPr>
        <w:spacing w:line="500" w:lineRule="exact"/>
        <w:rPr>
          <w:rFonts w:ascii="宋体" w:hAnsi="宋体" w:cs="宋体"/>
          <w:sz w:val="24"/>
          <w:szCs w:val="28"/>
        </w:rPr>
      </w:pPr>
    </w:p>
    <w:p>
      <w:pPr>
        <w:spacing w:line="500" w:lineRule="exact"/>
        <w:ind w:firstLine="360" w:firstLineChars="150"/>
        <w:rPr>
          <w:rFonts w:ascii="宋体" w:hAnsi="宋体" w:cs="宋体"/>
          <w:sz w:val="24"/>
          <w:szCs w:val="28"/>
        </w:rPr>
      </w:pPr>
      <w:r>
        <w:rPr>
          <w:rFonts w:hint="eastAsia" w:ascii="宋体" w:hAnsi="宋体" w:cs="宋体"/>
          <w:sz w:val="24"/>
          <w:szCs w:val="28"/>
        </w:rPr>
        <w:t>（供应商公章）                                 （签字或盖章）</w:t>
      </w:r>
    </w:p>
    <w:p>
      <w:pPr>
        <w:tabs>
          <w:tab w:val="left" w:pos="6300"/>
        </w:tabs>
        <w:snapToGrid w:val="0"/>
        <w:spacing w:line="500" w:lineRule="exact"/>
        <w:ind w:firstLine="570"/>
        <w:rPr>
          <w:rFonts w:ascii="宋体" w:hAnsi="宋体" w:cs="宋体"/>
          <w:sz w:val="24"/>
        </w:rPr>
      </w:pPr>
      <w:r>
        <w:rPr>
          <w:rFonts w:hint="eastAsia" w:ascii="宋体" w:hAnsi="宋体" w:cs="宋体"/>
          <w:sz w:val="24"/>
          <w:szCs w:val="28"/>
        </w:rPr>
        <w:t xml:space="preserve">                                            年     月     日</w:t>
      </w: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注：</w:t>
      </w: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szCs w:val="24"/>
        </w:rPr>
        <w:t>1</w:t>
      </w:r>
      <w:r>
        <w:rPr>
          <w:rFonts w:hint="eastAsia" w:ascii="宋体" w:hAnsi="宋体" w:cs="宋体"/>
          <w:sz w:val="24"/>
        </w:rPr>
        <w:t>.本表即为对本项目“第三篇 项目商务需求”中所列服务要求进行比较和响应；</w:t>
      </w: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2.该表必须按照竞争性磋商要求逐条如实填写，根据响应情况在“差异说明”项填写正偏离或负偏离及原因，完全符合的填写“无差异”；</w:t>
      </w: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3.该表可扩展</w:t>
      </w:r>
      <w:r>
        <w:rPr>
          <w:rFonts w:hint="eastAsia" w:ascii="宋体" w:hAnsi="宋体" w:cs="宋体"/>
          <w:sz w:val="24"/>
          <w:szCs w:val="28"/>
        </w:rPr>
        <w:t>，并逐页签字或盖章</w:t>
      </w:r>
      <w:r>
        <w:rPr>
          <w:rFonts w:hint="eastAsia" w:ascii="宋体" w:hAnsi="宋体" w:cs="宋体"/>
          <w:sz w:val="24"/>
        </w:rPr>
        <w:t>。</w:t>
      </w:r>
    </w:p>
    <w:p>
      <w:pPr>
        <w:spacing w:line="360" w:lineRule="auto"/>
        <w:rPr>
          <w:rFonts w:ascii="宋体" w:hAnsi="宋体" w:cs="宋体"/>
          <w:sz w:val="24"/>
          <w:szCs w:val="24"/>
        </w:rPr>
      </w:pPr>
      <w:r>
        <w:rPr>
          <w:rFonts w:hint="eastAsia" w:ascii="宋体" w:hAnsi="宋体" w:cs="宋体"/>
        </w:rPr>
        <w:br w:type="page"/>
      </w:r>
      <w:r>
        <w:rPr>
          <w:rFonts w:hint="eastAsia" w:ascii="宋体" w:hAnsi="宋体" w:cs="宋体"/>
          <w:sz w:val="24"/>
          <w:szCs w:val="24"/>
        </w:rPr>
        <w:t>（二）其它优惠承诺（格式自定）</w:t>
      </w:r>
    </w:p>
    <w:p>
      <w:pPr>
        <w:spacing w:line="360" w:lineRule="auto"/>
        <w:rPr>
          <w:rFonts w:ascii="宋体" w:hAnsi="宋体" w:cs="宋体"/>
          <w:sz w:val="24"/>
          <w:szCs w:val="24"/>
        </w:rPr>
      </w:pPr>
      <w:r>
        <w:rPr>
          <w:rFonts w:hint="eastAsia" w:ascii="宋体" w:hAnsi="宋体" w:cs="宋体"/>
          <w:sz w:val="24"/>
          <w:szCs w:val="24"/>
        </w:rPr>
        <w:t>（三）根据商务部分评分细则自行准备资料。</w:t>
      </w:r>
    </w:p>
    <w:p>
      <w:pPr>
        <w:pStyle w:val="4"/>
        <w:spacing w:line="360" w:lineRule="auto"/>
        <w:rPr>
          <w:rFonts w:ascii="宋体" w:hAnsi="宋体" w:cs="宋体"/>
        </w:rPr>
      </w:pPr>
      <w:r>
        <w:rPr>
          <w:rFonts w:hint="eastAsia" w:ascii="宋体" w:hAnsi="宋体" w:cs="宋体"/>
          <w:sz w:val="24"/>
          <w:szCs w:val="24"/>
        </w:rPr>
        <w:br w:type="page"/>
      </w:r>
      <w:bookmarkEnd w:id="81"/>
      <w:bookmarkStart w:id="82" w:name="_Toc313888363"/>
      <w:bookmarkStart w:id="83" w:name="_Toc313008359"/>
      <w:bookmarkStart w:id="84" w:name="_Toc54279015"/>
      <w:bookmarkStart w:id="85" w:name="_Toc342913422"/>
      <w:r>
        <w:rPr>
          <w:rFonts w:hint="eastAsia" w:ascii="宋体" w:hAnsi="宋体" w:cs="宋体"/>
          <w:sz w:val="24"/>
          <w:szCs w:val="24"/>
        </w:rPr>
        <w:t>四、资格条件及其他</w:t>
      </w:r>
      <w:bookmarkEnd w:id="82"/>
      <w:bookmarkEnd w:id="83"/>
      <w:bookmarkEnd w:id="84"/>
      <w:bookmarkEnd w:id="85"/>
    </w:p>
    <w:p>
      <w:pPr>
        <w:spacing w:line="360" w:lineRule="auto"/>
        <w:ind w:firstLine="480" w:firstLineChars="200"/>
        <w:rPr>
          <w:rFonts w:ascii="宋体" w:hAnsi="宋体" w:cs="宋体"/>
          <w:sz w:val="24"/>
          <w:szCs w:val="24"/>
        </w:rPr>
      </w:pPr>
      <w:r>
        <w:rPr>
          <w:rFonts w:hint="eastAsia" w:ascii="宋体" w:hAnsi="宋体" w:cs="宋体"/>
          <w:sz w:val="24"/>
          <w:szCs w:val="24"/>
        </w:rPr>
        <w:t>（一）法人营业执照（副本）或事业单位法人证书（副本）或个体工商户营业执照或有效的自然人身份证明或社会团体法人登记证书复印件</w:t>
      </w:r>
    </w:p>
    <w:p>
      <w:pPr>
        <w:tabs>
          <w:tab w:val="left" w:pos="6300"/>
        </w:tabs>
        <w:snapToGrid w:val="0"/>
        <w:spacing w:line="500" w:lineRule="exact"/>
        <w:ind w:firstLine="570"/>
        <w:rPr>
          <w:rFonts w:ascii="宋体" w:hAnsi="宋体" w:cs="宋体"/>
        </w:rPr>
      </w:pPr>
    </w:p>
    <w:p>
      <w:pPr>
        <w:tabs>
          <w:tab w:val="left" w:pos="6300"/>
        </w:tabs>
        <w:snapToGrid w:val="0"/>
        <w:spacing w:line="500" w:lineRule="exact"/>
        <w:ind w:firstLine="570"/>
        <w:rPr>
          <w:rFonts w:ascii="宋体" w:hAnsi="宋体" w:cs="宋体"/>
        </w:rPr>
      </w:pPr>
    </w:p>
    <w:p>
      <w:pPr>
        <w:tabs>
          <w:tab w:val="left" w:pos="6300"/>
        </w:tabs>
        <w:snapToGrid w:val="0"/>
        <w:spacing w:line="500" w:lineRule="exact"/>
        <w:ind w:firstLine="570"/>
        <w:rPr>
          <w:rFonts w:ascii="宋体" w:hAnsi="宋体" w:cs="宋体"/>
        </w:rPr>
      </w:pPr>
    </w:p>
    <w:p>
      <w:pPr>
        <w:tabs>
          <w:tab w:val="left" w:pos="6300"/>
        </w:tabs>
        <w:snapToGrid w:val="0"/>
        <w:spacing w:line="500" w:lineRule="exact"/>
        <w:ind w:firstLine="570"/>
        <w:rPr>
          <w:rFonts w:ascii="宋体" w:hAnsi="宋体" w:cs="宋体"/>
        </w:rPr>
      </w:pPr>
    </w:p>
    <w:p>
      <w:pPr>
        <w:tabs>
          <w:tab w:val="left" w:pos="6300"/>
        </w:tabs>
        <w:snapToGrid w:val="0"/>
        <w:spacing w:line="500" w:lineRule="exact"/>
        <w:ind w:firstLine="570"/>
        <w:rPr>
          <w:rFonts w:ascii="宋体" w:hAnsi="宋体" w:cs="宋体"/>
        </w:rPr>
      </w:pPr>
    </w:p>
    <w:p>
      <w:pPr>
        <w:widowControl/>
        <w:ind w:firstLine="560" w:firstLineChars="200"/>
        <w:jc w:val="left"/>
        <w:rPr>
          <w:rFonts w:ascii="宋体" w:hAnsi="宋体" w:cs="宋体"/>
          <w:sz w:val="24"/>
          <w:szCs w:val="24"/>
        </w:rPr>
      </w:pPr>
      <w:r>
        <w:rPr>
          <w:rFonts w:hint="eastAsia" w:ascii="宋体" w:hAnsi="宋体" w:cs="宋体"/>
        </w:rPr>
        <w:br w:type="page"/>
      </w:r>
      <w:r>
        <w:rPr>
          <w:rFonts w:hint="eastAsia" w:ascii="宋体" w:hAnsi="宋体" w:cs="宋体"/>
          <w:sz w:val="24"/>
          <w:szCs w:val="24"/>
        </w:rPr>
        <w:t>（二）法定代表人身份证明书（格式）</w:t>
      </w: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u w:val="single"/>
        </w:rPr>
      </w:pPr>
      <w:r>
        <w:rPr>
          <w:rFonts w:hint="eastAsia" w:ascii="宋体" w:hAnsi="宋体" w:cs="宋体"/>
          <w:sz w:val="24"/>
        </w:rPr>
        <w:t>磋商项目名称：</w:t>
      </w: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r>
        <w:rPr>
          <w:rFonts w:hint="eastAsia" w:ascii="宋体" w:hAnsi="宋体" w:cs="宋体"/>
          <w:sz w:val="24"/>
        </w:rPr>
        <w:t>致：（采购人名称）：</w:t>
      </w:r>
    </w:p>
    <w:p>
      <w:pPr>
        <w:tabs>
          <w:tab w:val="left" w:pos="6300"/>
        </w:tabs>
        <w:snapToGrid w:val="0"/>
        <w:spacing w:line="500" w:lineRule="exact"/>
        <w:ind w:firstLine="570"/>
        <w:rPr>
          <w:rFonts w:ascii="宋体" w:hAnsi="宋体" w:cs="宋体"/>
          <w:sz w:val="24"/>
        </w:rPr>
      </w:pPr>
      <w:r>
        <w:rPr>
          <w:rFonts w:hint="eastAsia" w:ascii="宋体" w:hAnsi="宋体" w:cs="宋体"/>
          <w:sz w:val="24"/>
        </w:rPr>
        <w:t>（法定代表人姓名）在（竞标人名称）任（职务名称）职务，是（竞标人名称）的法定代表人。</w:t>
      </w: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r>
        <w:rPr>
          <w:rFonts w:hint="eastAsia" w:ascii="宋体" w:hAnsi="宋体" w:cs="宋体"/>
          <w:sz w:val="24"/>
        </w:rPr>
        <w:t>特此证明。</w:t>
      </w: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r>
        <w:rPr>
          <w:rFonts w:hint="eastAsia" w:ascii="宋体" w:hAnsi="宋体" w:cs="宋体"/>
          <w:sz w:val="24"/>
        </w:rPr>
        <w:t xml:space="preserve">                                             （竞标人公章）</w:t>
      </w: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r>
        <w:rPr>
          <w:rFonts w:hint="eastAsia" w:ascii="宋体" w:hAnsi="宋体" w:cs="宋体"/>
          <w:sz w:val="24"/>
        </w:rPr>
        <w:t xml:space="preserve">                                             年   月   日</w:t>
      </w: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r>
        <w:rPr>
          <w:rFonts w:hint="eastAsia" w:ascii="宋体" w:hAnsi="宋体" w:cs="宋体"/>
          <w:sz w:val="24"/>
        </w:rPr>
        <w:t>（附：法定代表人身份证正反面复印件）</w:t>
      </w: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rPr>
      </w:pPr>
      <w:r>
        <w:rPr>
          <w:rFonts w:hint="eastAsia" w:ascii="宋体" w:hAnsi="宋体" w:cs="宋体"/>
        </w:rPr>
        <w:br w:type="column"/>
      </w:r>
      <w:r>
        <w:rPr>
          <w:rFonts w:hint="eastAsia" w:ascii="宋体" w:hAnsi="宋体" w:cs="宋体"/>
          <w:sz w:val="24"/>
          <w:szCs w:val="24"/>
        </w:rPr>
        <w:t>（三）法定代表人授权委托书（格式）</w:t>
      </w: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480" w:firstLineChars="200"/>
        <w:rPr>
          <w:rFonts w:ascii="宋体" w:hAnsi="宋体" w:cs="宋体"/>
          <w:sz w:val="24"/>
          <w:u w:val="single"/>
        </w:rPr>
      </w:pPr>
      <w:r>
        <w:rPr>
          <w:rFonts w:hint="eastAsia" w:ascii="宋体" w:hAnsi="宋体" w:cs="宋体"/>
          <w:sz w:val="24"/>
          <w:szCs w:val="28"/>
        </w:rPr>
        <w:t>磋商项目名称</w:t>
      </w:r>
      <w:r>
        <w:rPr>
          <w:rFonts w:hint="eastAsia" w:ascii="宋体" w:hAnsi="宋体" w:cs="宋体"/>
          <w:sz w:val="24"/>
        </w:rPr>
        <w:t>：</w:t>
      </w: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致：（采购人名称）：</w:t>
      </w:r>
    </w:p>
    <w:p>
      <w:pPr>
        <w:tabs>
          <w:tab w:val="left" w:pos="6300"/>
        </w:tabs>
        <w:snapToGrid w:val="0"/>
        <w:spacing w:line="500" w:lineRule="exact"/>
        <w:ind w:firstLine="720" w:firstLineChars="300"/>
        <w:rPr>
          <w:rFonts w:ascii="宋体" w:hAnsi="宋体" w:cs="宋体"/>
          <w:sz w:val="24"/>
        </w:rPr>
      </w:pPr>
      <w:r>
        <w:rPr>
          <w:rFonts w:hint="eastAsia" w:ascii="宋体" w:hAnsi="宋体" w:cs="宋体"/>
          <w:sz w:val="24"/>
        </w:rPr>
        <w:t>（竞标人法定代表人名称）是（竞标人名称）的法定代表人，特授权（被授权人姓名、身份证号码）代表我单位全权办理上述项目的磋商、签约等具体工作，并签署全部有关文件、协议及合同。</w:t>
      </w: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我单位对被授权人的签字负全部责任。</w:t>
      </w: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r>
        <w:rPr>
          <w:rFonts w:hint="eastAsia" w:ascii="宋体" w:hAnsi="宋体" w:cs="宋体"/>
          <w:sz w:val="24"/>
        </w:rPr>
        <w:t>被授权人：                                 竞标人法定代表人：</w:t>
      </w:r>
    </w:p>
    <w:p>
      <w:pPr>
        <w:tabs>
          <w:tab w:val="left" w:pos="6300"/>
        </w:tabs>
        <w:snapToGrid w:val="0"/>
        <w:spacing w:line="500" w:lineRule="exact"/>
        <w:ind w:firstLine="570"/>
        <w:rPr>
          <w:rFonts w:ascii="宋体" w:hAnsi="宋体" w:cs="宋体"/>
          <w:sz w:val="24"/>
          <w:szCs w:val="28"/>
        </w:rPr>
      </w:pPr>
      <w:r>
        <w:rPr>
          <w:rFonts w:hint="eastAsia" w:ascii="宋体" w:hAnsi="宋体" w:cs="宋体"/>
          <w:sz w:val="24"/>
          <w:szCs w:val="28"/>
        </w:rPr>
        <w:t>（签字或盖章）                                （签字或盖章）</w:t>
      </w:r>
    </w:p>
    <w:p>
      <w:pPr>
        <w:tabs>
          <w:tab w:val="left" w:pos="6300"/>
        </w:tabs>
        <w:snapToGrid w:val="0"/>
        <w:spacing w:line="500" w:lineRule="exact"/>
        <w:ind w:firstLine="570"/>
        <w:rPr>
          <w:rFonts w:ascii="宋体" w:hAnsi="宋体" w:cs="宋体"/>
          <w:sz w:val="24"/>
          <w:szCs w:val="28"/>
        </w:rPr>
      </w:pP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r>
        <w:rPr>
          <w:rFonts w:hint="eastAsia" w:ascii="宋体" w:hAnsi="宋体" w:cs="宋体"/>
          <w:sz w:val="24"/>
        </w:rPr>
        <w:t>（附：被授权人身份证正反面复印件）</w:t>
      </w: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right="480" w:firstLine="570"/>
        <w:jc w:val="right"/>
        <w:rPr>
          <w:rFonts w:ascii="宋体" w:hAnsi="宋体" w:cs="宋体"/>
          <w:sz w:val="24"/>
        </w:rPr>
      </w:pPr>
      <w:r>
        <w:rPr>
          <w:rFonts w:hint="eastAsia" w:ascii="宋体" w:hAnsi="宋体" w:cs="宋体"/>
          <w:sz w:val="24"/>
        </w:rPr>
        <w:t>（竞标人公章）</w:t>
      </w:r>
    </w:p>
    <w:p>
      <w:pPr>
        <w:tabs>
          <w:tab w:val="left" w:pos="6300"/>
        </w:tabs>
        <w:snapToGrid w:val="0"/>
        <w:spacing w:line="500" w:lineRule="exact"/>
        <w:ind w:right="480" w:firstLine="570"/>
        <w:jc w:val="right"/>
        <w:rPr>
          <w:rFonts w:ascii="宋体" w:hAnsi="宋体" w:cs="宋体"/>
          <w:sz w:val="24"/>
        </w:rPr>
      </w:pPr>
      <w:r>
        <w:rPr>
          <w:rFonts w:hint="eastAsia" w:ascii="宋体" w:hAnsi="宋体" w:cs="宋体"/>
          <w:sz w:val="24"/>
        </w:rPr>
        <w:t>年   月   日</w:t>
      </w:r>
    </w:p>
    <w:p>
      <w:pPr>
        <w:tabs>
          <w:tab w:val="left" w:pos="6300"/>
        </w:tabs>
        <w:snapToGrid w:val="0"/>
        <w:spacing w:line="500" w:lineRule="exact"/>
        <w:ind w:right="480" w:firstLine="570"/>
        <w:jc w:val="right"/>
        <w:rPr>
          <w:rFonts w:ascii="宋体" w:hAnsi="宋体" w:cs="宋体"/>
          <w:sz w:val="24"/>
        </w:rPr>
      </w:pPr>
    </w:p>
    <w:p>
      <w:pPr>
        <w:tabs>
          <w:tab w:val="left" w:pos="6300"/>
        </w:tabs>
        <w:snapToGrid w:val="0"/>
        <w:spacing w:line="500" w:lineRule="exact"/>
        <w:ind w:right="480" w:firstLine="570"/>
        <w:jc w:val="left"/>
        <w:rPr>
          <w:rFonts w:ascii="宋体" w:hAnsi="宋体" w:cs="宋体"/>
          <w:sz w:val="24"/>
        </w:rPr>
      </w:pPr>
      <w:r>
        <w:rPr>
          <w:rFonts w:hint="eastAsia" w:ascii="宋体" w:hAnsi="宋体" w:cs="宋体"/>
          <w:sz w:val="24"/>
        </w:rPr>
        <w:t>注：</w:t>
      </w:r>
    </w:p>
    <w:p>
      <w:pPr>
        <w:tabs>
          <w:tab w:val="left" w:pos="6300"/>
        </w:tabs>
        <w:snapToGrid w:val="0"/>
        <w:spacing w:line="500" w:lineRule="exact"/>
        <w:ind w:right="480" w:firstLine="570"/>
        <w:jc w:val="left"/>
        <w:rPr>
          <w:rFonts w:ascii="宋体" w:hAnsi="宋体" w:cs="宋体"/>
          <w:sz w:val="24"/>
        </w:rPr>
      </w:pPr>
      <w:r>
        <w:rPr>
          <w:rFonts w:hint="eastAsia" w:ascii="宋体" w:hAnsi="宋体" w:cs="宋体"/>
          <w:sz w:val="24"/>
        </w:rPr>
        <w:t>若为法定代表人办理并签署响应文件的，不提供此文件。</w:t>
      </w:r>
    </w:p>
    <w:p>
      <w:pPr>
        <w:tabs>
          <w:tab w:val="left" w:pos="6300"/>
        </w:tabs>
        <w:snapToGrid w:val="0"/>
        <w:spacing w:line="500" w:lineRule="exact"/>
        <w:ind w:firstLine="570"/>
        <w:rPr>
          <w:rFonts w:ascii="宋体" w:hAnsi="宋体" w:cs="宋体"/>
          <w:sz w:val="24"/>
          <w:szCs w:val="22"/>
        </w:rPr>
      </w:pPr>
      <w:r>
        <w:rPr>
          <w:rFonts w:hint="eastAsia" w:ascii="宋体" w:hAnsi="宋体" w:cs="宋体"/>
        </w:rPr>
        <w:br w:type="column"/>
      </w:r>
      <w:r>
        <w:rPr>
          <w:rFonts w:hint="eastAsia" w:ascii="宋体" w:hAnsi="宋体" w:cs="宋体"/>
          <w:sz w:val="24"/>
          <w:szCs w:val="22"/>
        </w:rPr>
        <w:t>（四）2020年或2021年度财务状况报告（表）或其基本开户银行出具的资信证明复印件，本年度新成立或成立不满一年的组织和自然人无法提供财务状况报告（表）的，可提供银行出具的资信证明复印件。</w:t>
      </w:r>
    </w:p>
    <w:p>
      <w:pPr>
        <w:tabs>
          <w:tab w:val="left" w:pos="6300"/>
        </w:tabs>
        <w:snapToGrid w:val="0"/>
        <w:spacing w:line="500" w:lineRule="exact"/>
        <w:ind w:firstLine="3220" w:firstLineChars="1150"/>
        <w:rPr>
          <w:rFonts w:ascii="宋体" w:hAnsi="宋体" w:cs="宋体"/>
          <w:sz w:val="24"/>
          <w:szCs w:val="24"/>
        </w:rPr>
      </w:pPr>
      <w:r>
        <w:rPr>
          <w:rFonts w:hint="eastAsia" w:ascii="宋体" w:hAnsi="宋体" w:cs="宋体"/>
        </w:rPr>
        <w:br w:type="page"/>
      </w:r>
      <w:r>
        <w:rPr>
          <w:rFonts w:hint="eastAsia" w:ascii="宋体" w:hAnsi="宋体" w:cs="宋体"/>
          <w:sz w:val="24"/>
          <w:szCs w:val="24"/>
        </w:rPr>
        <w:t>（五）书面声明</w:t>
      </w: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480" w:firstLineChars="200"/>
        <w:rPr>
          <w:rFonts w:ascii="宋体" w:hAnsi="宋体" w:cs="宋体"/>
          <w:sz w:val="24"/>
          <w:u w:val="single"/>
        </w:rPr>
      </w:pPr>
      <w:r>
        <w:rPr>
          <w:rFonts w:hint="eastAsia" w:ascii="宋体" w:hAnsi="宋体" w:cs="宋体"/>
          <w:sz w:val="24"/>
          <w:szCs w:val="28"/>
        </w:rPr>
        <w:t>磋商项目名称</w:t>
      </w:r>
      <w:r>
        <w:rPr>
          <w:rFonts w:hint="eastAsia" w:ascii="宋体" w:hAnsi="宋体" w:cs="宋体"/>
          <w:sz w:val="24"/>
        </w:rPr>
        <w:t>：</w:t>
      </w: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致：（采购人名称）：</w:t>
      </w: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供应商名称）郑重声明，我公司具有良好的商业信誉，具有履行合同所必需的设备和专业技术能力，在合同签订前后随时愿意提供相关证明材料；我公司还同时声明参加本项目采购活动前三年内无重大违法活动记录，我公司还同时声明未列入在信用中国网站（www.creditchina.gov.cn）  “失信被执行人”、 “重大税收违法案件当事人名单”、中，也未列入中国政府采购网（www.ccgp.gov.cn）“政府采购严重违法失信行为记录名单”中，并随时接受采购人的检查验证，我方对以上声明负全部法律责任。</w:t>
      </w: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特此声明。</w:t>
      </w: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r>
        <w:rPr>
          <w:rFonts w:hint="eastAsia" w:ascii="宋体" w:hAnsi="宋体" w:cs="宋体"/>
          <w:sz w:val="24"/>
        </w:rPr>
        <w:t>供应商可以将信用中国网站及中国政府采购网查询结果附后（查询时间为本项目采购公告发布之日起至提交响应文件截止时间前）。</w:t>
      </w:r>
    </w:p>
    <w:p>
      <w:pPr>
        <w:tabs>
          <w:tab w:val="left" w:pos="6300"/>
        </w:tabs>
        <w:snapToGrid w:val="0"/>
        <w:spacing w:line="500" w:lineRule="exact"/>
        <w:ind w:firstLine="570"/>
        <w:rPr>
          <w:rFonts w:ascii="宋体" w:hAnsi="宋体" w:cs="宋体"/>
          <w:sz w:val="24"/>
        </w:rPr>
      </w:pPr>
      <w:r>
        <w:rPr>
          <w:rFonts w:hint="eastAsia" w:ascii="宋体" w:hAnsi="宋体" w:cs="宋体"/>
          <w:sz w:val="24"/>
        </w:rPr>
        <w:t>1. 信用中国网站（www.creditchina.gov.cn）查询结果（提供查询结果网页打印件或截图，并加盖供应商公章）</w:t>
      </w:r>
    </w:p>
    <w:p>
      <w:pPr>
        <w:tabs>
          <w:tab w:val="left" w:pos="6300"/>
        </w:tabs>
        <w:snapToGrid w:val="0"/>
        <w:spacing w:line="500" w:lineRule="exact"/>
        <w:ind w:firstLine="570"/>
        <w:rPr>
          <w:rFonts w:ascii="宋体" w:hAnsi="宋体" w:cs="宋体"/>
          <w:sz w:val="24"/>
        </w:rPr>
      </w:pPr>
      <w:r>
        <w:rPr>
          <w:rFonts w:hint="eastAsia" w:ascii="宋体" w:hAnsi="宋体" w:cs="宋体"/>
          <w:sz w:val="24"/>
        </w:rPr>
        <w:t>1.1“失信被执行人”查询结果；</w:t>
      </w:r>
    </w:p>
    <w:p>
      <w:pPr>
        <w:tabs>
          <w:tab w:val="left" w:pos="6300"/>
        </w:tabs>
        <w:snapToGrid w:val="0"/>
        <w:spacing w:line="500" w:lineRule="exact"/>
        <w:ind w:firstLine="570"/>
        <w:rPr>
          <w:rFonts w:ascii="宋体" w:hAnsi="宋体" w:cs="宋体"/>
          <w:sz w:val="24"/>
        </w:rPr>
      </w:pPr>
      <w:r>
        <w:rPr>
          <w:rFonts w:hint="eastAsia" w:ascii="宋体" w:hAnsi="宋体" w:cs="宋体"/>
          <w:sz w:val="24"/>
        </w:rPr>
        <w:t>1.2“重大税收违法案件当事人名单”查询结果；</w:t>
      </w:r>
    </w:p>
    <w:p>
      <w:pPr>
        <w:tabs>
          <w:tab w:val="left" w:pos="6300"/>
        </w:tabs>
        <w:snapToGrid w:val="0"/>
        <w:spacing w:line="500" w:lineRule="exact"/>
        <w:ind w:firstLine="570"/>
        <w:rPr>
          <w:rFonts w:ascii="宋体" w:hAnsi="宋体" w:cs="宋体"/>
          <w:sz w:val="24"/>
        </w:rPr>
      </w:pPr>
      <w:r>
        <w:rPr>
          <w:rFonts w:hint="eastAsia" w:ascii="宋体" w:hAnsi="宋体" w:cs="宋体"/>
          <w:sz w:val="24"/>
        </w:rPr>
        <w:t>2. 中国政府采购网（www.ccgp.gov.cn）（提供查询结果网页打印件或截图，并加盖供应商公章）</w:t>
      </w:r>
    </w:p>
    <w:p>
      <w:pPr>
        <w:tabs>
          <w:tab w:val="left" w:pos="6300"/>
        </w:tabs>
        <w:snapToGrid w:val="0"/>
        <w:spacing w:line="500" w:lineRule="exact"/>
        <w:ind w:firstLine="570"/>
        <w:rPr>
          <w:rFonts w:ascii="宋体" w:hAnsi="宋体" w:cs="宋体"/>
          <w:sz w:val="24"/>
        </w:rPr>
      </w:pPr>
      <w:r>
        <w:rPr>
          <w:rFonts w:hint="eastAsia" w:ascii="宋体" w:hAnsi="宋体" w:cs="宋体"/>
          <w:sz w:val="24"/>
        </w:rPr>
        <w:t>“政府采购严重违法失信行为记录名单”查询结果。</w:t>
      </w: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right="424" w:firstLine="570"/>
        <w:jc w:val="right"/>
        <w:rPr>
          <w:rFonts w:ascii="宋体" w:hAnsi="宋体" w:cs="宋体"/>
          <w:sz w:val="24"/>
        </w:rPr>
      </w:pPr>
      <w:r>
        <w:rPr>
          <w:rFonts w:hint="eastAsia" w:ascii="宋体" w:hAnsi="宋体" w:cs="宋体"/>
          <w:sz w:val="24"/>
        </w:rPr>
        <w:t>（供应商公章）</w:t>
      </w:r>
    </w:p>
    <w:p>
      <w:pPr>
        <w:tabs>
          <w:tab w:val="left" w:pos="6300"/>
        </w:tabs>
        <w:snapToGrid w:val="0"/>
        <w:spacing w:line="500" w:lineRule="exact"/>
        <w:ind w:right="480" w:firstLine="570"/>
        <w:jc w:val="right"/>
        <w:rPr>
          <w:rFonts w:ascii="宋体" w:hAnsi="宋体" w:cs="宋体"/>
          <w:sz w:val="24"/>
        </w:rPr>
      </w:pPr>
      <w:r>
        <w:rPr>
          <w:rFonts w:hint="eastAsia" w:ascii="宋体" w:hAnsi="宋体" w:cs="宋体"/>
          <w:sz w:val="24"/>
        </w:rPr>
        <w:t>年   月   日</w:t>
      </w:r>
    </w:p>
    <w:p>
      <w:pPr>
        <w:tabs>
          <w:tab w:val="left" w:pos="6300"/>
        </w:tabs>
        <w:snapToGrid w:val="0"/>
        <w:spacing w:line="500" w:lineRule="exact"/>
        <w:ind w:right="1680"/>
        <w:rPr>
          <w:rFonts w:ascii="宋体" w:hAnsi="宋体" w:cs="宋体"/>
          <w:sz w:val="24"/>
        </w:rPr>
      </w:pPr>
    </w:p>
    <w:p>
      <w:pPr>
        <w:tabs>
          <w:tab w:val="left" w:pos="6300"/>
        </w:tabs>
        <w:snapToGrid w:val="0"/>
        <w:spacing w:line="500" w:lineRule="exact"/>
        <w:ind w:firstLine="570"/>
        <w:rPr>
          <w:rFonts w:ascii="宋体" w:hAnsi="宋体" w:cs="宋体"/>
          <w:sz w:val="24"/>
          <w:szCs w:val="22"/>
        </w:rPr>
      </w:pPr>
      <w:r>
        <w:rPr>
          <w:rFonts w:hint="eastAsia" w:ascii="宋体" w:hAnsi="宋体" w:cs="宋体"/>
        </w:rPr>
        <w:br w:type="page"/>
      </w:r>
      <w:r>
        <w:rPr>
          <w:rFonts w:hint="eastAsia" w:ascii="宋体" w:hAnsi="宋体" w:cs="宋体"/>
          <w:sz w:val="24"/>
          <w:szCs w:val="22"/>
        </w:rPr>
        <w:t>（六）税务登记证（副本）复印件和社会保险缴纳证明材料</w:t>
      </w:r>
    </w:p>
    <w:p>
      <w:pPr>
        <w:tabs>
          <w:tab w:val="left" w:pos="6300"/>
        </w:tabs>
        <w:snapToGrid w:val="0"/>
        <w:spacing w:line="500" w:lineRule="exact"/>
        <w:ind w:firstLine="570"/>
        <w:rPr>
          <w:rFonts w:ascii="宋体" w:hAnsi="宋体" w:cs="宋体"/>
          <w:sz w:val="24"/>
          <w:szCs w:val="22"/>
        </w:rPr>
      </w:pPr>
      <w:r>
        <w:rPr>
          <w:rFonts w:hint="eastAsia" w:ascii="宋体" w:hAnsi="宋体" w:cs="宋体"/>
          <w:sz w:val="24"/>
          <w:szCs w:val="22"/>
        </w:rPr>
        <w:t>（七）特定资格条件证书或证明文件</w:t>
      </w:r>
    </w:p>
    <w:p>
      <w:pPr>
        <w:tabs>
          <w:tab w:val="left" w:pos="6300"/>
        </w:tabs>
        <w:snapToGrid w:val="0"/>
        <w:spacing w:line="500" w:lineRule="exact"/>
        <w:ind w:firstLine="570"/>
        <w:rPr>
          <w:rFonts w:ascii="宋体" w:hAnsi="宋体" w:cs="宋体"/>
        </w:rPr>
      </w:pPr>
      <w:r>
        <w:rPr>
          <w:rFonts w:hint="eastAsia" w:ascii="宋体" w:hAnsi="宋体" w:cs="宋体"/>
          <w:sz w:val="24"/>
          <w:szCs w:val="22"/>
        </w:rPr>
        <w:t>说明：供应商按“多证合一”登记制度办理营业执照的，税务登记证（副本）和社会保险登记证以供应商所提供的营业执照（副本）复印件为准。</w:t>
      </w:r>
    </w:p>
    <w:p>
      <w:pPr>
        <w:pStyle w:val="4"/>
        <w:spacing w:line="360" w:lineRule="auto"/>
        <w:rPr>
          <w:rFonts w:ascii="宋体" w:hAnsi="宋体" w:cs="宋体"/>
          <w:sz w:val="24"/>
          <w:szCs w:val="24"/>
        </w:rPr>
      </w:pPr>
      <w:bookmarkStart w:id="86" w:name="_Toc14422"/>
      <w:r>
        <w:rPr>
          <w:rFonts w:hint="eastAsia" w:ascii="宋体" w:hAnsi="宋体" w:cs="宋体"/>
          <w:b w:val="0"/>
          <w:sz w:val="28"/>
        </w:rPr>
        <w:br w:type="page"/>
      </w:r>
      <w:bookmarkStart w:id="87" w:name="_Toc54279016"/>
      <w:r>
        <w:rPr>
          <w:rFonts w:hint="eastAsia" w:ascii="宋体" w:hAnsi="宋体" w:cs="宋体"/>
          <w:sz w:val="24"/>
          <w:szCs w:val="24"/>
        </w:rPr>
        <w:t>五、其他资料</w:t>
      </w:r>
      <w:bookmarkEnd w:id="86"/>
      <w:bookmarkEnd w:id="87"/>
    </w:p>
    <w:p>
      <w:pPr>
        <w:tabs>
          <w:tab w:val="left" w:pos="6300"/>
        </w:tabs>
        <w:snapToGrid w:val="0"/>
        <w:spacing w:line="360" w:lineRule="auto"/>
        <w:rPr>
          <w:rFonts w:ascii="宋体" w:hAnsi="宋体" w:cs="宋体"/>
          <w:sz w:val="24"/>
          <w:szCs w:val="24"/>
        </w:rPr>
      </w:pPr>
      <w:r>
        <w:rPr>
          <w:rFonts w:hint="eastAsia" w:ascii="宋体" w:hAnsi="宋体" w:cs="宋体"/>
          <w:sz w:val="24"/>
          <w:szCs w:val="24"/>
        </w:rPr>
        <w:t>（一）中小微企业声明函、监狱企业证明文件、残疾人福利性单位声明函</w:t>
      </w:r>
    </w:p>
    <w:p>
      <w:pPr>
        <w:tabs>
          <w:tab w:val="left" w:pos="6300"/>
        </w:tabs>
        <w:snapToGrid w:val="0"/>
        <w:spacing w:line="360" w:lineRule="auto"/>
        <w:ind w:firstLine="561"/>
        <w:rPr>
          <w:rFonts w:ascii="宋体" w:hAnsi="宋体" w:cs="宋体"/>
          <w:sz w:val="24"/>
          <w:szCs w:val="24"/>
        </w:rPr>
      </w:pPr>
      <w:r>
        <w:rPr>
          <w:rFonts w:hint="eastAsia" w:ascii="宋体" w:hAnsi="宋体" w:cs="宋体"/>
          <w:sz w:val="24"/>
          <w:szCs w:val="24"/>
        </w:rPr>
        <w:t>1.竞标人认为本企业符合《关于印发中小企业划型标准规定的通知》（工信部联企业〔2011〕300号）规定的中小企业划型标准，属于小型或微型企业，且提供的标的物为本企业制造的货物、承担的工程或者服务，须进行声明并提交中小微企业声明函（按附表格式填写，格式附后）。</w:t>
      </w:r>
    </w:p>
    <w:p>
      <w:pPr>
        <w:tabs>
          <w:tab w:val="left" w:pos="6300"/>
        </w:tabs>
        <w:snapToGrid w:val="0"/>
        <w:spacing w:line="360" w:lineRule="auto"/>
        <w:ind w:firstLine="561"/>
        <w:rPr>
          <w:rFonts w:ascii="宋体" w:hAnsi="宋体" w:cs="宋体"/>
          <w:szCs w:val="28"/>
        </w:rPr>
      </w:pPr>
      <w:r>
        <w:rPr>
          <w:rFonts w:hint="eastAsia" w:ascii="宋体" w:hAnsi="宋体" w:cs="宋体"/>
          <w:sz w:val="24"/>
          <w:szCs w:val="24"/>
        </w:rPr>
        <w:t>2.若竞标人提供了其他企业制造的货物，且该企业符合《关于印发中小企业划型标准规定的通知》（工信部联企业〔2011〕300号）规定的小型或微型企业的，还须提所涉及其它企业的中小微企业声明函（格式参照附表）（若涉及多个制造商的，每个制造商均须出具）。</w:t>
      </w:r>
    </w:p>
    <w:p>
      <w:pPr>
        <w:tabs>
          <w:tab w:val="left" w:pos="6300"/>
        </w:tabs>
        <w:snapToGrid w:val="0"/>
        <w:spacing w:line="360" w:lineRule="auto"/>
        <w:rPr>
          <w:rFonts w:ascii="宋体" w:hAnsi="宋体" w:cs="宋体"/>
          <w:sz w:val="24"/>
          <w:szCs w:val="24"/>
        </w:rPr>
      </w:pPr>
    </w:p>
    <w:p>
      <w:pPr>
        <w:tabs>
          <w:tab w:val="left" w:pos="6300"/>
        </w:tabs>
        <w:snapToGrid w:val="0"/>
        <w:spacing w:line="360" w:lineRule="auto"/>
        <w:rPr>
          <w:rFonts w:ascii="宋体" w:hAnsi="宋体" w:cs="宋体"/>
          <w:sz w:val="24"/>
          <w:szCs w:val="24"/>
        </w:rPr>
      </w:pPr>
    </w:p>
    <w:p>
      <w:pPr>
        <w:tabs>
          <w:tab w:val="left" w:pos="6300"/>
        </w:tabs>
        <w:snapToGrid w:val="0"/>
        <w:spacing w:line="360" w:lineRule="auto"/>
        <w:rPr>
          <w:rFonts w:ascii="宋体" w:hAnsi="宋体" w:cs="宋体"/>
          <w:sz w:val="24"/>
          <w:szCs w:val="24"/>
        </w:rPr>
      </w:pPr>
    </w:p>
    <w:p>
      <w:pPr>
        <w:tabs>
          <w:tab w:val="left" w:pos="6300"/>
        </w:tabs>
        <w:snapToGrid w:val="0"/>
        <w:spacing w:line="360" w:lineRule="auto"/>
        <w:rPr>
          <w:rFonts w:ascii="宋体" w:hAnsi="宋体" w:cs="宋体"/>
          <w:sz w:val="24"/>
          <w:szCs w:val="24"/>
        </w:rPr>
      </w:pPr>
    </w:p>
    <w:p>
      <w:pPr>
        <w:tabs>
          <w:tab w:val="left" w:pos="6300"/>
        </w:tabs>
        <w:snapToGrid w:val="0"/>
        <w:spacing w:line="360" w:lineRule="auto"/>
        <w:rPr>
          <w:rFonts w:ascii="宋体" w:hAnsi="宋体" w:cs="宋体"/>
          <w:sz w:val="24"/>
          <w:szCs w:val="24"/>
        </w:rPr>
      </w:pPr>
    </w:p>
    <w:p>
      <w:pPr>
        <w:tabs>
          <w:tab w:val="left" w:pos="6300"/>
        </w:tabs>
        <w:snapToGrid w:val="0"/>
        <w:spacing w:line="360" w:lineRule="auto"/>
        <w:rPr>
          <w:rFonts w:ascii="宋体" w:hAnsi="宋体" w:cs="宋体"/>
          <w:sz w:val="24"/>
          <w:szCs w:val="24"/>
        </w:rPr>
      </w:pPr>
    </w:p>
    <w:p>
      <w:pPr>
        <w:tabs>
          <w:tab w:val="left" w:pos="6300"/>
        </w:tabs>
        <w:snapToGrid w:val="0"/>
        <w:spacing w:line="360" w:lineRule="auto"/>
        <w:rPr>
          <w:rFonts w:ascii="宋体" w:hAnsi="宋体" w:cs="宋体"/>
          <w:sz w:val="24"/>
          <w:szCs w:val="24"/>
        </w:rPr>
      </w:pPr>
    </w:p>
    <w:p>
      <w:pPr>
        <w:tabs>
          <w:tab w:val="left" w:pos="6300"/>
        </w:tabs>
        <w:snapToGrid w:val="0"/>
        <w:spacing w:line="360" w:lineRule="auto"/>
        <w:rPr>
          <w:rFonts w:ascii="宋体" w:hAnsi="宋体" w:cs="宋体"/>
          <w:sz w:val="24"/>
          <w:szCs w:val="24"/>
        </w:rPr>
      </w:pPr>
    </w:p>
    <w:p>
      <w:pPr>
        <w:tabs>
          <w:tab w:val="left" w:pos="6300"/>
        </w:tabs>
        <w:snapToGrid w:val="0"/>
        <w:spacing w:line="360" w:lineRule="auto"/>
        <w:rPr>
          <w:rFonts w:ascii="宋体" w:hAnsi="宋体" w:cs="宋体"/>
          <w:sz w:val="24"/>
          <w:szCs w:val="24"/>
        </w:rPr>
      </w:pPr>
    </w:p>
    <w:p>
      <w:pPr>
        <w:tabs>
          <w:tab w:val="left" w:pos="6300"/>
        </w:tabs>
        <w:snapToGrid w:val="0"/>
        <w:spacing w:line="360" w:lineRule="auto"/>
        <w:rPr>
          <w:rFonts w:ascii="宋体" w:hAnsi="宋体" w:cs="宋体"/>
          <w:sz w:val="24"/>
          <w:szCs w:val="24"/>
        </w:rPr>
      </w:pPr>
    </w:p>
    <w:p>
      <w:pPr>
        <w:tabs>
          <w:tab w:val="left" w:pos="6300"/>
        </w:tabs>
        <w:snapToGrid w:val="0"/>
        <w:spacing w:line="360" w:lineRule="auto"/>
        <w:rPr>
          <w:rFonts w:ascii="宋体" w:hAnsi="宋体" w:cs="宋体"/>
          <w:sz w:val="24"/>
          <w:szCs w:val="24"/>
        </w:rPr>
      </w:pPr>
    </w:p>
    <w:p>
      <w:pPr>
        <w:tabs>
          <w:tab w:val="left" w:pos="6300"/>
        </w:tabs>
        <w:snapToGrid w:val="0"/>
        <w:spacing w:line="360" w:lineRule="auto"/>
        <w:rPr>
          <w:rFonts w:ascii="宋体" w:hAnsi="宋体" w:cs="宋体"/>
          <w:sz w:val="24"/>
          <w:szCs w:val="24"/>
        </w:rPr>
      </w:pPr>
    </w:p>
    <w:p>
      <w:pPr>
        <w:tabs>
          <w:tab w:val="left" w:pos="6300"/>
        </w:tabs>
        <w:snapToGrid w:val="0"/>
        <w:spacing w:line="360" w:lineRule="auto"/>
        <w:rPr>
          <w:rFonts w:ascii="宋体" w:hAnsi="宋体" w:cs="宋体"/>
          <w:sz w:val="24"/>
          <w:szCs w:val="24"/>
        </w:rPr>
      </w:pPr>
    </w:p>
    <w:p>
      <w:pPr>
        <w:tabs>
          <w:tab w:val="left" w:pos="6300"/>
        </w:tabs>
        <w:snapToGrid w:val="0"/>
        <w:spacing w:line="360" w:lineRule="auto"/>
        <w:rPr>
          <w:rFonts w:ascii="宋体" w:hAnsi="宋体" w:cs="宋体"/>
          <w:sz w:val="24"/>
          <w:szCs w:val="24"/>
        </w:rPr>
      </w:pPr>
    </w:p>
    <w:p>
      <w:pPr>
        <w:tabs>
          <w:tab w:val="left" w:pos="6300"/>
        </w:tabs>
        <w:snapToGrid w:val="0"/>
        <w:spacing w:line="360" w:lineRule="auto"/>
        <w:rPr>
          <w:rFonts w:ascii="宋体" w:hAnsi="宋体" w:cs="宋体"/>
          <w:sz w:val="24"/>
          <w:szCs w:val="24"/>
        </w:rPr>
      </w:pPr>
    </w:p>
    <w:p>
      <w:pPr>
        <w:tabs>
          <w:tab w:val="left" w:pos="6300"/>
        </w:tabs>
        <w:snapToGrid w:val="0"/>
        <w:spacing w:line="360" w:lineRule="auto"/>
        <w:rPr>
          <w:rFonts w:ascii="宋体" w:hAnsi="宋体" w:cs="宋体"/>
          <w:sz w:val="24"/>
          <w:szCs w:val="24"/>
        </w:rPr>
      </w:pPr>
    </w:p>
    <w:p>
      <w:pPr>
        <w:tabs>
          <w:tab w:val="left" w:pos="6300"/>
        </w:tabs>
        <w:snapToGrid w:val="0"/>
        <w:spacing w:line="360" w:lineRule="auto"/>
        <w:rPr>
          <w:rFonts w:ascii="宋体" w:hAnsi="宋体" w:cs="宋体"/>
          <w:sz w:val="24"/>
          <w:szCs w:val="24"/>
        </w:rPr>
      </w:pPr>
    </w:p>
    <w:p>
      <w:pPr>
        <w:tabs>
          <w:tab w:val="left" w:pos="6300"/>
        </w:tabs>
        <w:snapToGrid w:val="0"/>
        <w:spacing w:line="360" w:lineRule="auto"/>
        <w:rPr>
          <w:rFonts w:ascii="宋体" w:hAnsi="宋体" w:cs="宋体"/>
          <w:sz w:val="24"/>
          <w:szCs w:val="24"/>
        </w:rPr>
      </w:pPr>
    </w:p>
    <w:p>
      <w:pPr>
        <w:tabs>
          <w:tab w:val="left" w:pos="6300"/>
        </w:tabs>
        <w:snapToGrid w:val="0"/>
        <w:spacing w:line="360" w:lineRule="auto"/>
        <w:rPr>
          <w:rFonts w:ascii="宋体" w:hAnsi="宋体" w:cs="宋体"/>
          <w:sz w:val="24"/>
          <w:szCs w:val="24"/>
        </w:rPr>
      </w:pPr>
    </w:p>
    <w:p>
      <w:pPr>
        <w:tabs>
          <w:tab w:val="left" w:pos="6300"/>
        </w:tabs>
        <w:snapToGrid w:val="0"/>
        <w:spacing w:line="360" w:lineRule="auto"/>
        <w:rPr>
          <w:rFonts w:ascii="宋体" w:hAnsi="宋体" w:cs="宋体"/>
          <w:sz w:val="24"/>
          <w:szCs w:val="24"/>
        </w:rPr>
      </w:pPr>
    </w:p>
    <w:p>
      <w:pPr>
        <w:tabs>
          <w:tab w:val="left" w:pos="6300"/>
        </w:tabs>
        <w:snapToGrid w:val="0"/>
        <w:spacing w:line="360" w:lineRule="auto"/>
        <w:rPr>
          <w:rFonts w:ascii="宋体" w:hAnsi="宋体" w:cs="宋体"/>
          <w:sz w:val="24"/>
          <w:szCs w:val="24"/>
        </w:rPr>
      </w:pPr>
    </w:p>
    <w:p>
      <w:pPr>
        <w:tabs>
          <w:tab w:val="left" w:pos="6300"/>
        </w:tabs>
        <w:snapToGrid w:val="0"/>
        <w:spacing w:line="360" w:lineRule="auto"/>
        <w:rPr>
          <w:rFonts w:ascii="宋体" w:hAnsi="宋体" w:cs="宋体"/>
          <w:sz w:val="24"/>
          <w:szCs w:val="24"/>
        </w:rPr>
      </w:pPr>
    </w:p>
    <w:p>
      <w:pPr>
        <w:spacing w:line="540" w:lineRule="exact"/>
        <w:jc w:val="center"/>
        <w:rPr>
          <w:rFonts w:ascii="黑体" w:hAnsi="黑体" w:eastAsia="黑体"/>
          <w:sz w:val="30"/>
          <w:szCs w:val="30"/>
        </w:rPr>
      </w:pPr>
      <w:r>
        <w:rPr>
          <w:rFonts w:hint="eastAsia" w:ascii="黑体" w:hAnsi="黑体" w:eastAsia="黑体"/>
          <w:sz w:val="30"/>
          <w:szCs w:val="30"/>
        </w:rPr>
        <w:t xml:space="preserve">中小企业声明函 </w:t>
      </w:r>
    </w:p>
    <w:p>
      <w:pPr>
        <w:spacing w:line="540" w:lineRule="exact"/>
        <w:jc w:val="center"/>
        <w:rPr>
          <w:rFonts w:ascii="黑体" w:hAnsi="黑体" w:eastAsia="黑体"/>
          <w:sz w:val="30"/>
          <w:szCs w:val="30"/>
        </w:rPr>
      </w:pPr>
    </w:p>
    <w:p>
      <w:pPr>
        <w:spacing w:line="540" w:lineRule="exact"/>
        <w:ind w:firstLine="480" w:firstLineChars="200"/>
        <w:rPr>
          <w:rFonts w:ascii="方正仿宋_GBK" w:eastAsia="方正仿宋_GBK"/>
          <w:sz w:val="24"/>
          <w:szCs w:val="24"/>
        </w:rPr>
      </w:pPr>
      <w:r>
        <w:rPr>
          <w:rFonts w:hint="eastAsia" w:ascii="方正仿宋_GBK" w:eastAsia="方正仿宋_GBK"/>
          <w:sz w:val="24"/>
          <w:szCs w:val="24"/>
        </w:rPr>
        <w:t>本公司(联合体)郑重声明,根据《政府采购促进中小企业发展管理办法》(财库(2020)46号)的规定,本公司(联合体)参加</w:t>
      </w:r>
      <w:r>
        <w:rPr>
          <w:rFonts w:hint="eastAsia" w:ascii="方正仿宋_GBK" w:eastAsia="方正仿宋_GBK"/>
          <w:sz w:val="24"/>
          <w:szCs w:val="24"/>
          <w:u w:val="single"/>
        </w:rPr>
        <w:t>(单位名称)</w:t>
      </w:r>
      <w:r>
        <w:rPr>
          <w:rFonts w:hint="eastAsia" w:ascii="方正仿宋_GBK" w:eastAsia="方正仿宋_GBK"/>
          <w:sz w:val="24"/>
          <w:szCs w:val="24"/>
        </w:rPr>
        <w:t>的</w:t>
      </w:r>
      <w:r>
        <w:rPr>
          <w:rFonts w:hint="eastAsia" w:ascii="方正仿宋_GBK" w:eastAsia="方正仿宋_GBK"/>
          <w:sz w:val="24"/>
          <w:szCs w:val="24"/>
          <w:u w:val="single"/>
        </w:rPr>
        <w:t>(项目名称)</w:t>
      </w:r>
      <w:r>
        <w:rPr>
          <w:rFonts w:hint="eastAsia" w:ascii="方正仿宋_GBK" w:eastAsia="方正仿宋_GBK"/>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540" w:lineRule="exact"/>
        <w:ind w:firstLine="480" w:firstLineChars="200"/>
        <w:rPr>
          <w:rFonts w:ascii="方正仿宋_GBK" w:eastAsia="方正仿宋_GBK"/>
          <w:sz w:val="24"/>
          <w:szCs w:val="24"/>
        </w:rPr>
      </w:pPr>
      <w:r>
        <w:rPr>
          <w:rFonts w:hint="eastAsia" w:ascii="方正仿宋_GBK" w:eastAsia="方正仿宋_GBK"/>
          <w:sz w:val="24"/>
          <w:szCs w:val="24"/>
        </w:rPr>
        <w:t>1.</w:t>
      </w:r>
      <w:r>
        <w:rPr>
          <w:rFonts w:hint="eastAsia" w:ascii="方正仿宋_GBK" w:eastAsia="方正仿宋_GBK"/>
          <w:sz w:val="24"/>
          <w:szCs w:val="24"/>
          <w:u w:val="single"/>
        </w:rPr>
        <w:t>(标的名称)</w:t>
      </w:r>
      <w:r>
        <w:rPr>
          <w:rFonts w:hint="eastAsia" w:ascii="方正仿宋_GBK" w:eastAsia="方正仿宋_GBK"/>
          <w:sz w:val="24"/>
          <w:szCs w:val="24"/>
        </w:rPr>
        <w:t>,属于</w:t>
      </w:r>
      <w:r>
        <w:rPr>
          <w:rFonts w:hint="eastAsia" w:ascii="方正仿宋_GBK" w:eastAsia="方正仿宋_GBK"/>
          <w:sz w:val="24"/>
          <w:szCs w:val="24"/>
          <w:u w:val="single"/>
        </w:rPr>
        <w:t>(采购文件中明确的所属行业</w:t>
      </w:r>
      <w:r>
        <w:rPr>
          <w:rFonts w:hint="eastAsia" w:ascii="方正仿宋_GBK" w:eastAsia="方正仿宋_GBK"/>
          <w:sz w:val="24"/>
          <w:szCs w:val="24"/>
        </w:rPr>
        <w:t>)承建(承接)企业为（</w:t>
      </w:r>
      <w:r>
        <w:rPr>
          <w:rFonts w:hint="eastAsia" w:ascii="方正仿宋_GBK" w:eastAsia="方正仿宋_GBK"/>
          <w:sz w:val="24"/>
          <w:szCs w:val="24"/>
          <w:u w:val="single"/>
        </w:rPr>
        <w:t>企业名称),</w:t>
      </w:r>
      <w:r>
        <w:rPr>
          <w:rFonts w:hint="eastAsia" w:ascii="方正仿宋_GBK" w:eastAsia="方正仿宋_GBK"/>
          <w:sz w:val="24"/>
          <w:szCs w:val="24"/>
        </w:rPr>
        <w:t>从业人员人,营业收入为万元,资产总额为万元,属于(</w:t>
      </w:r>
      <w:r>
        <w:rPr>
          <w:rFonts w:hint="eastAsia" w:ascii="方正仿宋_GBK" w:eastAsia="方正仿宋_GBK"/>
          <w:sz w:val="24"/>
          <w:szCs w:val="24"/>
          <w:u w:val="single"/>
        </w:rPr>
        <w:t>中型企业,小型企业,微型企业</w:t>
      </w:r>
      <w:r>
        <w:rPr>
          <w:rFonts w:hint="eastAsia" w:ascii="方正仿宋_GBK" w:eastAsia="方正仿宋_GBK"/>
          <w:sz w:val="24"/>
          <w:szCs w:val="24"/>
        </w:rPr>
        <w:t>)</w:t>
      </w:r>
    </w:p>
    <w:p>
      <w:pPr>
        <w:spacing w:line="540" w:lineRule="exact"/>
        <w:ind w:firstLine="480" w:firstLineChars="200"/>
        <w:rPr>
          <w:rFonts w:ascii="方正仿宋_GBK" w:eastAsia="方正仿宋_GBK"/>
          <w:sz w:val="24"/>
          <w:szCs w:val="24"/>
        </w:rPr>
      </w:pPr>
      <w:r>
        <w:rPr>
          <w:rFonts w:hint="eastAsia" w:ascii="方正仿宋_GBK" w:eastAsia="方正仿宋_GBK"/>
          <w:sz w:val="24"/>
          <w:szCs w:val="24"/>
        </w:rPr>
        <w:t>2.</w:t>
      </w:r>
      <w:r>
        <w:rPr>
          <w:rFonts w:hint="eastAsia" w:ascii="方正仿宋_GBK" w:eastAsia="方正仿宋_GBK"/>
          <w:sz w:val="24"/>
          <w:szCs w:val="24"/>
          <w:u w:val="single"/>
        </w:rPr>
        <w:t>(标的名称)</w:t>
      </w:r>
      <w:r>
        <w:rPr>
          <w:rFonts w:hint="eastAsia" w:ascii="方正仿宋_GBK" w:eastAsia="方正仿宋_GBK"/>
          <w:sz w:val="24"/>
          <w:szCs w:val="24"/>
        </w:rPr>
        <w:t>,属于</w:t>
      </w:r>
      <w:r>
        <w:rPr>
          <w:rFonts w:hint="eastAsia" w:ascii="方正仿宋_GBK" w:eastAsia="方正仿宋_GBK"/>
          <w:sz w:val="24"/>
          <w:szCs w:val="24"/>
          <w:u w:val="single"/>
        </w:rPr>
        <w:t>(采购文件中明确的所属行业)；</w:t>
      </w:r>
      <w:r>
        <w:rPr>
          <w:rFonts w:hint="eastAsia" w:ascii="方正仿宋_GBK" w:eastAsia="方正仿宋_GBK"/>
          <w:sz w:val="24"/>
          <w:szCs w:val="24"/>
        </w:rPr>
        <w:t>承建(承接)企业为</w:t>
      </w:r>
      <w:r>
        <w:rPr>
          <w:rFonts w:hint="eastAsia" w:ascii="方正仿宋_GBK" w:eastAsia="方正仿宋_GBK"/>
          <w:sz w:val="24"/>
          <w:szCs w:val="24"/>
          <w:u w:val="single"/>
        </w:rPr>
        <w:t>（企业名称)</w:t>
      </w:r>
      <w:r>
        <w:rPr>
          <w:rFonts w:hint="eastAsia" w:ascii="方正仿宋_GBK" w:eastAsia="方正仿宋_GBK"/>
          <w:sz w:val="24"/>
          <w:szCs w:val="24"/>
        </w:rPr>
        <w:t>,从业人员人,营业收入为万元,资产总额为万元,属于(</w:t>
      </w:r>
      <w:r>
        <w:rPr>
          <w:rFonts w:hint="eastAsia" w:ascii="方正仿宋_GBK" w:eastAsia="方正仿宋_GBK"/>
          <w:sz w:val="24"/>
          <w:szCs w:val="24"/>
          <w:u w:val="single"/>
        </w:rPr>
        <w:t>中型企业小型企业、微型企业</w:t>
      </w:r>
      <w:r>
        <w:rPr>
          <w:rFonts w:hint="eastAsia" w:ascii="方正仿宋_GBK" w:eastAsia="方正仿宋_GBK"/>
          <w:sz w:val="24"/>
          <w:szCs w:val="24"/>
        </w:rPr>
        <w:t>)</w:t>
      </w:r>
    </w:p>
    <w:p>
      <w:pPr>
        <w:spacing w:line="540" w:lineRule="exact"/>
        <w:ind w:firstLine="480" w:firstLineChars="200"/>
        <w:rPr>
          <w:rFonts w:ascii="方正仿宋_GBK" w:eastAsia="方正仿宋_GBK"/>
          <w:sz w:val="24"/>
          <w:szCs w:val="24"/>
        </w:rPr>
      </w:pPr>
      <w:r>
        <w:rPr>
          <w:rFonts w:ascii="方正仿宋_GBK" w:eastAsia="方正仿宋_GBK"/>
          <w:sz w:val="24"/>
          <w:szCs w:val="24"/>
        </w:rPr>
        <w:t>……</w:t>
      </w:r>
    </w:p>
    <w:p>
      <w:pPr>
        <w:spacing w:line="540" w:lineRule="exact"/>
        <w:ind w:firstLine="480" w:firstLineChars="200"/>
        <w:rPr>
          <w:rFonts w:ascii="方正仿宋_GBK" w:eastAsia="方正仿宋_GBK"/>
          <w:sz w:val="24"/>
          <w:szCs w:val="24"/>
        </w:rPr>
      </w:pPr>
      <w:r>
        <w:rPr>
          <w:rFonts w:hint="eastAsia" w:ascii="方正仿宋_GBK" w:eastAsia="方正仿宋_GBK"/>
          <w:sz w:val="24"/>
          <w:szCs w:val="24"/>
        </w:rPr>
        <w:t>以上企业,不属于大企业的分支机构,不存在控股殷东为大企业的情形,也不存在与大企业的负责人为同一人的情形。</w:t>
      </w:r>
    </w:p>
    <w:p>
      <w:pPr>
        <w:spacing w:line="540" w:lineRule="exact"/>
        <w:ind w:firstLine="480" w:firstLineChars="200"/>
        <w:rPr>
          <w:rFonts w:ascii="方正仿宋_GBK" w:eastAsia="方正仿宋_GBK"/>
          <w:sz w:val="24"/>
          <w:szCs w:val="24"/>
        </w:rPr>
      </w:pPr>
      <w:r>
        <w:rPr>
          <w:rFonts w:hint="eastAsia" w:ascii="方正仿宋_GBK" w:eastAsia="方正仿宋_GBK"/>
          <w:sz w:val="24"/>
          <w:szCs w:val="24"/>
        </w:rPr>
        <w:t>本企业对上述声明内容的真实性负责。如有虚假,将依法承担相应责任</w:t>
      </w:r>
    </w:p>
    <w:p>
      <w:pPr>
        <w:spacing w:line="540" w:lineRule="exact"/>
        <w:ind w:firstLine="3960" w:firstLineChars="1650"/>
        <w:rPr>
          <w:rFonts w:ascii="方正仿宋_GBK" w:eastAsia="方正仿宋_GBK"/>
          <w:sz w:val="24"/>
          <w:szCs w:val="24"/>
        </w:rPr>
      </w:pPr>
    </w:p>
    <w:p>
      <w:pPr>
        <w:spacing w:line="540" w:lineRule="exact"/>
        <w:ind w:firstLine="3960" w:firstLineChars="1650"/>
        <w:rPr>
          <w:rFonts w:ascii="方正仿宋_GBK" w:eastAsia="方正仿宋_GBK"/>
          <w:sz w:val="24"/>
          <w:szCs w:val="24"/>
        </w:rPr>
      </w:pPr>
      <w:r>
        <w:rPr>
          <w:rFonts w:hint="eastAsia" w:ascii="方正仿宋_GBK" w:eastAsia="方正仿宋_GBK"/>
          <w:sz w:val="24"/>
          <w:szCs w:val="24"/>
        </w:rPr>
        <w:t>企业名称(盖章):</w:t>
      </w:r>
    </w:p>
    <w:p>
      <w:pPr>
        <w:spacing w:line="540" w:lineRule="exact"/>
        <w:ind w:firstLine="3960" w:firstLineChars="1650"/>
        <w:rPr>
          <w:rFonts w:ascii="方正仿宋_GBK" w:eastAsia="方正仿宋_GBK"/>
          <w:sz w:val="24"/>
          <w:szCs w:val="24"/>
        </w:rPr>
      </w:pPr>
      <w:r>
        <w:rPr>
          <w:rFonts w:hint="eastAsia" w:ascii="方正仿宋_GBK" w:eastAsia="方正仿宋_GBK"/>
          <w:sz w:val="24"/>
          <w:szCs w:val="24"/>
        </w:rPr>
        <w:t>日期：</w:t>
      </w:r>
    </w:p>
    <w:p>
      <w:pPr>
        <w:spacing w:line="540" w:lineRule="exact"/>
        <w:ind w:firstLine="480" w:firstLineChars="200"/>
        <w:rPr>
          <w:rFonts w:ascii="方正仿宋_GBK" w:eastAsia="方正仿宋_GBK"/>
          <w:sz w:val="24"/>
          <w:szCs w:val="24"/>
        </w:rPr>
      </w:pPr>
    </w:p>
    <w:p>
      <w:pPr>
        <w:spacing w:line="540" w:lineRule="exact"/>
        <w:ind w:firstLine="480" w:firstLineChars="200"/>
        <w:rPr>
          <w:rFonts w:ascii="方正仿宋_GBK" w:eastAsia="方正仿宋_GBK"/>
          <w:sz w:val="24"/>
          <w:szCs w:val="24"/>
        </w:rPr>
      </w:pPr>
    </w:p>
    <w:p>
      <w:pPr>
        <w:spacing w:line="540" w:lineRule="exact"/>
        <w:ind w:firstLine="480" w:firstLineChars="200"/>
        <w:rPr>
          <w:rFonts w:ascii="方正仿宋_GBK" w:eastAsia="方正仿宋_GBK"/>
          <w:sz w:val="24"/>
          <w:szCs w:val="24"/>
        </w:rPr>
      </w:pPr>
      <w:r>
        <w:rPr>
          <w:rFonts w:hint="eastAsia" w:ascii="方正仿宋_GBK" w:eastAsia="方正仿宋_GBK"/>
          <w:sz w:val="24"/>
          <w:szCs w:val="24"/>
        </w:rPr>
        <w:t>从业人员、背业收入，资产总额填报上一年度数据。无上一年度数据的新成立企业可不填报。</w:t>
      </w:r>
    </w:p>
    <w:p>
      <w:pPr>
        <w:tabs>
          <w:tab w:val="left" w:pos="6300"/>
        </w:tabs>
        <w:snapToGrid w:val="0"/>
        <w:rPr>
          <w:rFonts w:ascii="方正仿宋_GBK" w:hAnsi="宋体" w:eastAsia="方正仿宋_GBK"/>
          <w:sz w:val="24"/>
          <w:szCs w:val="24"/>
        </w:rPr>
      </w:pPr>
    </w:p>
    <w:p>
      <w:pPr>
        <w:tabs>
          <w:tab w:val="left" w:pos="6300"/>
        </w:tabs>
        <w:snapToGrid w:val="0"/>
        <w:rPr>
          <w:rFonts w:ascii="方正仿宋_GBK" w:hAnsi="宋体" w:eastAsia="方正仿宋_GBK"/>
          <w:sz w:val="24"/>
          <w:szCs w:val="24"/>
        </w:rPr>
      </w:pPr>
    </w:p>
    <w:p>
      <w:pPr>
        <w:tabs>
          <w:tab w:val="left" w:pos="6300"/>
        </w:tabs>
        <w:snapToGrid w:val="0"/>
        <w:rPr>
          <w:rFonts w:ascii="方正仿宋_GBK" w:hAnsi="宋体" w:eastAsia="方正仿宋_GBK"/>
          <w:sz w:val="24"/>
          <w:szCs w:val="24"/>
        </w:rPr>
      </w:pPr>
    </w:p>
    <w:p>
      <w:pPr>
        <w:tabs>
          <w:tab w:val="left" w:pos="6300"/>
        </w:tabs>
        <w:snapToGrid w:val="0"/>
        <w:rPr>
          <w:rFonts w:ascii="方正仿宋_GBK" w:hAnsi="宋体" w:eastAsia="方正仿宋_GBK"/>
          <w:sz w:val="24"/>
          <w:szCs w:val="24"/>
        </w:rPr>
      </w:pPr>
    </w:p>
    <w:p>
      <w:pPr>
        <w:tabs>
          <w:tab w:val="left" w:pos="6300"/>
        </w:tabs>
        <w:snapToGrid w:val="0"/>
        <w:rPr>
          <w:rFonts w:ascii="方正仿宋_GBK" w:hAnsi="宋体" w:eastAsia="方正仿宋_GBK"/>
          <w:sz w:val="24"/>
          <w:szCs w:val="24"/>
        </w:rPr>
      </w:pPr>
    </w:p>
    <w:p>
      <w:pPr>
        <w:tabs>
          <w:tab w:val="left" w:pos="6300"/>
        </w:tabs>
        <w:snapToGrid w:val="0"/>
        <w:rPr>
          <w:rFonts w:ascii="方正仿宋_GBK" w:hAnsi="宋体" w:eastAsia="方正仿宋_GBK"/>
          <w:sz w:val="24"/>
          <w:szCs w:val="24"/>
        </w:rPr>
      </w:pPr>
    </w:p>
    <w:p>
      <w:pPr>
        <w:tabs>
          <w:tab w:val="left" w:pos="6300"/>
        </w:tabs>
        <w:snapToGrid w:val="0"/>
        <w:rPr>
          <w:rFonts w:ascii="方正仿宋_GBK" w:hAnsi="宋体" w:eastAsia="方正仿宋_GBK"/>
          <w:sz w:val="24"/>
          <w:szCs w:val="24"/>
        </w:rPr>
      </w:pPr>
    </w:p>
    <w:p>
      <w:pPr>
        <w:tabs>
          <w:tab w:val="left" w:pos="6300"/>
        </w:tabs>
        <w:snapToGrid w:val="0"/>
        <w:rPr>
          <w:rFonts w:ascii="方正仿宋_GBK" w:hAnsi="宋体" w:eastAsia="方正仿宋_GBK"/>
          <w:sz w:val="24"/>
          <w:szCs w:val="24"/>
        </w:rPr>
      </w:pPr>
    </w:p>
    <w:p>
      <w:pPr>
        <w:tabs>
          <w:tab w:val="left" w:pos="6300"/>
        </w:tabs>
        <w:snapToGrid w:val="0"/>
        <w:rPr>
          <w:rFonts w:ascii="仿宋" w:hAnsi="仿宋" w:eastAsia="仿宋" w:cs="仿宋"/>
          <w:kern w:val="0"/>
          <w:sz w:val="24"/>
          <w:szCs w:val="24"/>
        </w:rPr>
      </w:pPr>
      <w:r>
        <w:rPr>
          <w:rFonts w:hint="eastAsia" w:ascii="仿宋" w:hAnsi="仿宋" w:eastAsia="仿宋" w:cs="仿宋"/>
          <w:kern w:val="0"/>
          <w:sz w:val="24"/>
          <w:szCs w:val="24"/>
        </w:rPr>
        <w:t>注：各行业划型标准：</w:t>
      </w:r>
    </w:p>
    <w:p>
      <w:pPr>
        <w:tabs>
          <w:tab w:val="left" w:pos="6300"/>
        </w:tabs>
        <w:snapToGrid w:val="0"/>
        <w:ind w:firstLine="480" w:firstLineChars="200"/>
        <w:rPr>
          <w:rFonts w:ascii="仿宋" w:hAnsi="仿宋" w:eastAsia="仿宋" w:cs="仿宋"/>
          <w:kern w:val="0"/>
          <w:sz w:val="24"/>
          <w:szCs w:val="24"/>
        </w:rPr>
      </w:pPr>
      <w:r>
        <w:rPr>
          <w:rFonts w:hint="eastAsia" w:ascii="仿宋" w:hAnsi="仿宋" w:eastAsia="仿宋" w:cs="仿宋"/>
          <w:kern w:val="0"/>
          <w:sz w:val="24"/>
          <w:szCs w:val="24"/>
        </w:rPr>
        <w:t>（一）农、林、牧、渔业。营业收入20000万元以下的为中小微型企业。其中，营业收入500万元及以上的为中型企业，营业收入50万元及以上的为小型企业，营业收入50万元以下的为微型企业。</w:t>
      </w:r>
    </w:p>
    <w:p>
      <w:pPr>
        <w:tabs>
          <w:tab w:val="left" w:pos="6300"/>
        </w:tabs>
        <w:snapToGrid w:val="0"/>
        <w:ind w:firstLine="480" w:firstLineChars="200"/>
        <w:rPr>
          <w:rFonts w:ascii="仿宋" w:hAnsi="仿宋" w:eastAsia="仿宋" w:cs="仿宋"/>
          <w:kern w:val="0"/>
          <w:sz w:val="24"/>
          <w:szCs w:val="24"/>
        </w:rPr>
      </w:pPr>
      <w:r>
        <w:rPr>
          <w:rFonts w:hint="eastAsia" w:ascii="仿宋" w:hAnsi="仿宋" w:eastAsia="仿宋" w:cs="仿宋"/>
          <w:kern w:val="0"/>
          <w:sz w:val="24"/>
          <w:szCs w:val="24"/>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tabs>
          <w:tab w:val="left" w:pos="6300"/>
        </w:tabs>
        <w:snapToGrid w:val="0"/>
        <w:ind w:firstLine="480" w:firstLineChars="200"/>
        <w:rPr>
          <w:rFonts w:ascii="仿宋" w:hAnsi="仿宋" w:eastAsia="仿宋" w:cs="仿宋"/>
          <w:kern w:val="0"/>
          <w:sz w:val="24"/>
          <w:szCs w:val="24"/>
        </w:rPr>
      </w:pPr>
      <w:r>
        <w:rPr>
          <w:rFonts w:hint="eastAsia" w:ascii="仿宋" w:hAnsi="仿宋" w:eastAsia="仿宋" w:cs="仿宋"/>
          <w:kern w:val="0"/>
          <w:sz w:val="24"/>
          <w:szCs w:val="24"/>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tabs>
          <w:tab w:val="left" w:pos="6300"/>
        </w:tabs>
        <w:snapToGrid w:val="0"/>
        <w:ind w:firstLine="480" w:firstLineChars="200"/>
        <w:rPr>
          <w:rFonts w:ascii="仿宋" w:hAnsi="仿宋" w:eastAsia="仿宋" w:cs="仿宋"/>
          <w:kern w:val="0"/>
          <w:sz w:val="24"/>
          <w:szCs w:val="24"/>
        </w:rPr>
      </w:pPr>
      <w:r>
        <w:rPr>
          <w:rFonts w:hint="eastAsia" w:ascii="仿宋" w:hAnsi="仿宋" w:eastAsia="仿宋" w:cs="仿宋"/>
          <w:kern w:val="0"/>
          <w:sz w:val="24"/>
          <w:szCs w:val="24"/>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tabs>
          <w:tab w:val="left" w:pos="6300"/>
        </w:tabs>
        <w:snapToGrid w:val="0"/>
        <w:ind w:firstLine="480" w:firstLineChars="200"/>
        <w:rPr>
          <w:rFonts w:ascii="仿宋" w:hAnsi="仿宋" w:eastAsia="仿宋" w:cs="仿宋"/>
          <w:kern w:val="0"/>
          <w:sz w:val="24"/>
          <w:szCs w:val="24"/>
        </w:rPr>
      </w:pPr>
      <w:r>
        <w:rPr>
          <w:rFonts w:hint="eastAsia" w:ascii="仿宋" w:hAnsi="仿宋" w:eastAsia="仿宋" w:cs="仿宋"/>
          <w:kern w:val="0"/>
          <w:sz w:val="24"/>
          <w:szCs w:val="24"/>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tabs>
          <w:tab w:val="left" w:pos="6300"/>
        </w:tabs>
        <w:snapToGrid w:val="0"/>
        <w:ind w:firstLine="480" w:firstLineChars="200"/>
        <w:rPr>
          <w:rFonts w:ascii="仿宋" w:hAnsi="仿宋" w:eastAsia="仿宋" w:cs="仿宋"/>
          <w:kern w:val="0"/>
          <w:sz w:val="24"/>
          <w:szCs w:val="24"/>
        </w:rPr>
      </w:pPr>
      <w:r>
        <w:rPr>
          <w:rFonts w:hint="eastAsia" w:ascii="仿宋" w:hAnsi="仿宋" w:eastAsia="仿宋" w:cs="仿宋"/>
          <w:kern w:val="0"/>
          <w:sz w:val="24"/>
          <w:szCs w:val="24"/>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tabs>
          <w:tab w:val="left" w:pos="6300"/>
        </w:tabs>
        <w:snapToGrid w:val="0"/>
        <w:ind w:firstLine="480" w:firstLineChars="200"/>
        <w:rPr>
          <w:rFonts w:ascii="仿宋" w:hAnsi="仿宋" w:eastAsia="仿宋" w:cs="仿宋"/>
          <w:kern w:val="0"/>
          <w:sz w:val="24"/>
          <w:szCs w:val="24"/>
        </w:rPr>
      </w:pPr>
      <w:r>
        <w:rPr>
          <w:rFonts w:hint="eastAsia" w:ascii="仿宋" w:hAnsi="仿宋" w:eastAsia="仿宋" w:cs="仿宋"/>
          <w:kern w:val="0"/>
          <w:sz w:val="24"/>
          <w:szCs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tabs>
          <w:tab w:val="left" w:pos="6300"/>
        </w:tabs>
        <w:snapToGrid w:val="0"/>
        <w:ind w:firstLine="480" w:firstLineChars="200"/>
        <w:rPr>
          <w:rFonts w:ascii="仿宋" w:hAnsi="仿宋" w:eastAsia="仿宋" w:cs="仿宋"/>
          <w:kern w:val="0"/>
          <w:sz w:val="24"/>
          <w:szCs w:val="24"/>
        </w:rPr>
      </w:pPr>
      <w:r>
        <w:rPr>
          <w:rFonts w:hint="eastAsia" w:ascii="仿宋" w:hAnsi="仿宋" w:eastAsia="仿宋" w:cs="仿宋"/>
          <w:kern w:val="0"/>
          <w:sz w:val="24"/>
          <w:szCs w:val="24"/>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tabs>
          <w:tab w:val="left" w:pos="6300"/>
        </w:tabs>
        <w:snapToGrid w:val="0"/>
        <w:ind w:firstLine="480" w:firstLineChars="200"/>
        <w:rPr>
          <w:rFonts w:ascii="仿宋" w:hAnsi="仿宋" w:eastAsia="仿宋" w:cs="仿宋"/>
          <w:kern w:val="0"/>
          <w:sz w:val="24"/>
          <w:szCs w:val="24"/>
        </w:rPr>
      </w:pPr>
      <w:r>
        <w:rPr>
          <w:rFonts w:hint="eastAsia" w:ascii="仿宋" w:hAnsi="仿宋" w:eastAsia="仿宋" w:cs="仿宋"/>
          <w:kern w:val="0"/>
          <w:sz w:val="24"/>
          <w:szCs w:val="24"/>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ind w:firstLine="480" w:firstLineChars="200"/>
        <w:rPr>
          <w:rFonts w:ascii="仿宋" w:hAnsi="仿宋" w:eastAsia="仿宋" w:cs="仿宋"/>
          <w:kern w:val="0"/>
          <w:sz w:val="24"/>
          <w:szCs w:val="24"/>
        </w:rPr>
      </w:pPr>
      <w:r>
        <w:rPr>
          <w:rFonts w:hint="eastAsia" w:ascii="仿宋" w:hAnsi="仿宋" w:eastAsia="仿宋" w:cs="仿宋"/>
          <w:kern w:val="0"/>
          <w:sz w:val="24"/>
          <w:szCs w:val="24"/>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ind w:firstLine="480" w:firstLineChars="200"/>
        <w:rPr>
          <w:rFonts w:ascii="仿宋" w:hAnsi="仿宋" w:eastAsia="仿宋" w:cs="仿宋"/>
          <w:kern w:val="0"/>
          <w:sz w:val="24"/>
          <w:szCs w:val="24"/>
        </w:rPr>
      </w:pPr>
      <w:r>
        <w:rPr>
          <w:rFonts w:hint="eastAsia" w:ascii="仿宋" w:hAnsi="仿宋" w:eastAsia="仿宋" w:cs="仿宋"/>
          <w:kern w:val="0"/>
          <w:sz w:val="24"/>
          <w:szCs w:val="24"/>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tabs>
          <w:tab w:val="left" w:pos="6300"/>
        </w:tabs>
        <w:snapToGrid w:val="0"/>
        <w:ind w:firstLine="480" w:firstLineChars="200"/>
        <w:rPr>
          <w:rFonts w:ascii="仿宋" w:hAnsi="仿宋" w:eastAsia="仿宋" w:cs="仿宋"/>
          <w:kern w:val="0"/>
          <w:sz w:val="24"/>
          <w:szCs w:val="24"/>
        </w:rPr>
      </w:pPr>
      <w:r>
        <w:rPr>
          <w:rFonts w:hint="eastAsia" w:ascii="仿宋" w:hAnsi="仿宋" w:eastAsia="仿宋" w:cs="仿宋"/>
          <w:kern w:val="0"/>
          <w:sz w:val="24"/>
          <w:szCs w:val="24"/>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tabs>
          <w:tab w:val="left" w:pos="6300"/>
        </w:tabs>
        <w:snapToGrid w:val="0"/>
        <w:ind w:firstLine="480" w:firstLineChars="200"/>
        <w:rPr>
          <w:rFonts w:ascii="仿宋" w:hAnsi="仿宋" w:eastAsia="仿宋" w:cs="仿宋"/>
          <w:kern w:val="0"/>
          <w:sz w:val="24"/>
          <w:szCs w:val="24"/>
        </w:rPr>
      </w:pPr>
      <w:r>
        <w:rPr>
          <w:rFonts w:hint="eastAsia" w:ascii="仿宋" w:hAnsi="仿宋" w:eastAsia="仿宋" w:cs="仿宋"/>
          <w:kern w:val="0"/>
          <w:sz w:val="24"/>
          <w:szCs w:val="24"/>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tabs>
          <w:tab w:val="left" w:pos="6300"/>
        </w:tabs>
        <w:snapToGrid w:val="0"/>
        <w:ind w:firstLine="480" w:firstLineChars="200"/>
        <w:rPr>
          <w:rFonts w:ascii="仿宋" w:hAnsi="仿宋" w:eastAsia="仿宋" w:cs="仿宋"/>
          <w:kern w:val="0"/>
          <w:sz w:val="24"/>
          <w:szCs w:val="24"/>
        </w:rPr>
      </w:pPr>
      <w:r>
        <w:rPr>
          <w:rFonts w:hint="eastAsia" w:ascii="仿宋" w:hAnsi="仿宋" w:eastAsia="仿宋" w:cs="仿宋"/>
          <w:kern w:val="0"/>
          <w:sz w:val="24"/>
          <w:szCs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tabs>
          <w:tab w:val="left" w:pos="6300"/>
        </w:tabs>
        <w:snapToGrid w:val="0"/>
        <w:ind w:firstLine="480" w:firstLineChars="200"/>
        <w:rPr>
          <w:rFonts w:ascii="仿宋" w:hAnsi="仿宋" w:eastAsia="仿宋" w:cs="仿宋"/>
          <w:kern w:val="0"/>
          <w:sz w:val="24"/>
          <w:szCs w:val="24"/>
        </w:rPr>
      </w:pPr>
      <w:r>
        <w:rPr>
          <w:rFonts w:hint="eastAsia" w:ascii="仿宋" w:hAnsi="仿宋" w:eastAsia="仿宋" w:cs="仿宋"/>
          <w:kern w:val="0"/>
          <w:sz w:val="24"/>
          <w:szCs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tabs>
          <w:tab w:val="left" w:pos="6300"/>
        </w:tabs>
        <w:snapToGrid w:val="0"/>
        <w:ind w:firstLine="480" w:firstLineChars="200"/>
        <w:rPr>
          <w:rFonts w:ascii="仿宋" w:hAnsi="仿宋" w:eastAsia="仿宋" w:cs="仿宋"/>
          <w:kern w:val="0"/>
          <w:sz w:val="24"/>
          <w:szCs w:val="24"/>
        </w:rPr>
      </w:pPr>
      <w:r>
        <w:rPr>
          <w:rFonts w:hint="eastAsia" w:ascii="仿宋" w:hAnsi="仿宋" w:eastAsia="仿宋" w:cs="仿宋"/>
          <w:kern w:val="0"/>
          <w:sz w:val="24"/>
          <w:szCs w:val="24"/>
        </w:rPr>
        <w:t>（十六）其他未列明行业。从业人员300人以下的为中小微型企业。其中，从业人员100人及以上的为中型企业；从业人员10人及以上的为小型企业；从业人员10人以下的为微型企业。</w:t>
      </w:r>
    </w:p>
    <w:p>
      <w:pPr>
        <w:spacing w:line="400" w:lineRule="exact"/>
        <w:ind w:left="-10"/>
        <w:rPr>
          <w:rFonts w:ascii="仿宋" w:hAnsi="仿宋" w:eastAsia="仿宋" w:cs="仿宋"/>
          <w:sz w:val="24"/>
          <w:szCs w:val="24"/>
        </w:rPr>
      </w:pPr>
    </w:p>
    <w:p>
      <w:pPr>
        <w:tabs>
          <w:tab w:val="left" w:pos="6300"/>
        </w:tabs>
        <w:snapToGrid w:val="0"/>
        <w:spacing w:line="500" w:lineRule="exact"/>
        <w:ind w:firstLine="480" w:firstLineChars="200"/>
        <w:jc w:val="center"/>
        <w:rPr>
          <w:rFonts w:ascii="宋体" w:hAnsi="宋体" w:cs="宋体"/>
        </w:rPr>
      </w:pPr>
      <w:r>
        <w:rPr>
          <w:rFonts w:hint="eastAsia" w:ascii="宋体" w:hAnsi="宋体" w:cs="宋体"/>
          <w:sz w:val="24"/>
          <w:szCs w:val="24"/>
        </w:rPr>
        <w:br w:type="page"/>
      </w:r>
      <w:r>
        <w:rPr>
          <w:rFonts w:hint="eastAsia" w:ascii="宋体" w:hAnsi="宋体" w:cs="宋体"/>
        </w:rPr>
        <w:t>监狱企业证明文件</w:t>
      </w: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以省级以上监狱管理局、戒毒管理局（含新疆生产建设兵团）出具的属于监狱企业的证明文件为准。</w:t>
      </w:r>
    </w:p>
    <w:p>
      <w:pPr>
        <w:tabs>
          <w:tab w:val="left" w:pos="6300"/>
        </w:tabs>
        <w:snapToGrid w:val="0"/>
        <w:spacing w:line="500" w:lineRule="exact"/>
        <w:ind w:firstLine="480" w:firstLineChars="200"/>
        <w:jc w:val="center"/>
        <w:rPr>
          <w:rFonts w:ascii="宋体" w:hAnsi="宋体" w:cs="宋体"/>
        </w:rPr>
      </w:pPr>
      <w:r>
        <w:rPr>
          <w:rFonts w:hint="eastAsia" w:ascii="宋体" w:hAnsi="宋体" w:cs="宋体"/>
          <w:sz w:val="24"/>
        </w:rPr>
        <w:br w:type="page"/>
      </w:r>
      <w:r>
        <w:rPr>
          <w:rFonts w:hint="eastAsia" w:ascii="宋体" w:hAnsi="宋体" w:cs="宋体"/>
        </w:rPr>
        <w:t>残疾人福利性单位声明函</w:t>
      </w: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tabs>
          <w:tab w:val="left" w:pos="6300"/>
        </w:tabs>
        <w:snapToGrid w:val="0"/>
        <w:spacing w:line="500" w:lineRule="exact"/>
        <w:ind w:firstLine="480" w:firstLineChars="200"/>
        <w:rPr>
          <w:rFonts w:ascii="宋体" w:hAnsi="宋体" w:cs="宋体"/>
          <w:sz w:val="24"/>
        </w:rPr>
      </w:pPr>
    </w:p>
    <w:p>
      <w:pPr>
        <w:tabs>
          <w:tab w:val="left" w:pos="6300"/>
        </w:tabs>
        <w:snapToGrid w:val="0"/>
        <w:spacing w:line="500" w:lineRule="exact"/>
        <w:ind w:firstLine="480" w:firstLineChars="200"/>
        <w:rPr>
          <w:rFonts w:ascii="宋体" w:hAnsi="宋体" w:cs="宋体"/>
          <w:sz w:val="24"/>
        </w:rPr>
      </w:pP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 xml:space="preserve">                                                 供应商名称（盖章）：</w:t>
      </w:r>
    </w:p>
    <w:p>
      <w:pPr>
        <w:snapToGrid w:val="0"/>
        <w:spacing w:line="440" w:lineRule="exact"/>
        <w:ind w:firstLine="480" w:firstLineChars="200"/>
        <w:rPr>
          <w:rFonts w:ascii="宋体" w:hAnsi="宋体" w:cs="宋体"/>
          <w:sz w:val="24"/>
        </w:rPr>
      </w:pPr>
      <w:r>
        <w:rPr>
          <w:rFonts w:hint="eastAsia" w:ascii="宋体" w:hAnsi="宋体" w:cs="宋体"/>
          <w:sz w:val="24"/>
        </w:rPr>
        <w:t xml:space="preserve">                                                  日  期：</w:t>
      </w:r>
    </w:p>
    <w:p>
      <w:pPr>
        <w:snapToGrid w:val="0"/>
        <w:spacing w:line="440" w:lineRule="exact"/>
        <w:ind w:firstLine="480" w:firstLineChars="200"/>
        <w:rPr>
          <w:rFonts w:ascii="宋体" w:hAnsi="宋体" w:cs="宋体"/>
          <w:sz w:val="24"/>
        </w:rPr>
      </w:pPr>
    </w:p>
    <w:p>
      <w:pPr>
        <w:snapToGrid w:val="0"/>
        <w:spacing w:line="440" w:lineRule="exact"/>
        <w:ind w:firstLine="480" w:firstLineChars="200"/>
        <w:rPr>
          <w:rFonts w:ascii="宋体" w:hAnsi="宋体" w:cs="宋体"/>
          <w:sz w:val="24"/>
        </w:rPr>
      </w:pPr>
    </w:p>
    <w:p>
      <w:pPr>
        <w:snapToGrid w:val="0"/>
        <w:spacing w:line="440" w:lineRule="exact"/>
        <w:ind w:firstLine="480" w:firstLineChars="200"/>
        <w:rPr>
          <w:rFonts w:ascii="宋体" w:hAnsi="宋体" w:cs="宋体"/>
          <w:sz w:val="24"/>
        </w:rPr>
      </w:pPr>
    </w:p>
    <w:p>
      <w:pPr>
        <w:snapToGrid w:val="0"/>
        <w:spacing w:line="440" w:lineRule="exact"/>
        <w:ind w:firstLine="480" w:firstLineChars="200"/>
        <w:rPr>
          <w:rFonts w:ascii="宋体" w:hAnsi="宋体" w:cs="宋体"/>
          <w:sz w:val="24"/>
        </w:rPr>
      </w:pPr>
    </w:p>
    <w:p>
      <w:pPr>
        <w:snapToGrid w:val="0"/>
        <w:spacing w:line="440" w:lineRule="exact"/>
        <w:ind w:firstLine="480" w:firstLineChars="200"/>
        <w:rPr>
          <w:rFonts w:ascii="宋体" w:hAnsi="宋体" w:cs="宋体"/>
          <w:sz w:val="24"/>
        </w:rPr>
      </w:pPr>
    </w:p>
    <w:p>
      <w:pPr>
        <w:snapToGrid w:val="0"/>
        <w:spacing w:line="440" w:lineRule="exact"/>
        <w:ind w:firstLine="480" w:firstLineChars="200"/>
        <w:rPr>
          <w:rFonts w:ascii="宋体" w:hAnsi="宋体" w:cs="宋体"/>
          <w:sz w:val="24"/>
        </w:rPr>
      </w:pPr>
    </w:p>
    <w:p>
      <w:pPr>
        <w:snapToGrid w:val="0"/>
        <w:spacing w:line="440" w:lineRule="exact"/>
        <w:ind w:firstLine="480" w:firstLineChars="200"/>
        <w:rPr>
          <w:rFonts w:ascii="宋体" w:hAnsi="宋体" w:cs="宋体"/>
          <w:sz w:val="24"/>
        </w:rPr>
      </w:pPr>
    </w:p>
    <w:p>
      <w:pPr>
        <w:snapToGrid w:val="0"/>
        <w:spacing w:line="440" w:lineRule="exact"/>
        <w:ind w:firstLine="480" w:firstLineChars="200"/>
        <w:rPr>
          <w:rFonts w:ascii="宋体" w:hAnsi="宋体" w:cs="宋体"/>
          <w:sz w:val="24"/>
        </w:rPr>
      </w:pPr>
    </w:p>
    <w:p>
      <w:pPr>
        <w:snapToGrid w:val="0"/>
        <w:spacing w:line="440" w:lineRule="exact"/>
        <w:ind w:firstLine="480" w:firstLineChars="200"/>
        <w:rPr>
          <w:rFonts w:ascii="宋体" w:hAnsi="宋体" w:cs="宋体"/>
          <w:sz w:val="24"/>
        </w:rPr>
      </w:pPr>
    </w:p>
    <w:p>
      <w:pPr>
        <w:snapToGrid w:val="0"/>
        <w:spacing w:line="440" w:lineRule="exact"/>
        <w:ind w:firstLine="480" w:firstLineChars="200"/>
        <w:rPr>
          <w:rFonts w:ascii="宋体" w:hAnsi="宋体" w:cs="宋体"/>
          <w:sz w:val="24"/>
        </w:rPr>
      </w:pPr>
    </w:p>
    <w:p>
      <w:pPr>
        <w:snapToGrid w:val="0"/>
        <w:spacing w:line="440" w:lineRule="exact"/>
        <w:ind w:firstLine="480" w:firstLineChars="200"/>
        <w:rPr>
          <w:rFonts w:ascii="宋体" w:hAnsi="宋体" w:cs="宋体"/>
          <w:sz w:val="24"/>
        </w:rPr>
      </w:pPr>
    </w:p>
    <w:p>
      <w:pPr>
        <w:snapToGrid w:val="0"/>
        <w:spacing w:line="440" w:lineRule="exact"/>
        <w:ind w:firstLine="480" w:firstLineChars="200"/>
        <w:rPr>
          <w:rFonts w:ascii="宋体" w:hAnsi="宋体" w:cs="宋体"/>
          <w:sz w:val="24"/>
        </w:rPr>
      </w:pPr>
    </w:p>
    <w:p>
      <w:pPr>
        <w:snapToGrid w:val="0"/>
        <w:spacing w:line="440" w:lineRule="exact"/>
        <w:ind w:firstLine="480" w:firstLineChars="200"/>
        <w:rPr>
          <w:rFonts w:ascii="宋体" w:hAnsi="宋体" w:cs="宋体"/>
          <w:sz w:val="24"/>
        </w:rPr>
      </w:pPr>
    </w:p>
    <w:p>
      <w:pPr>
        <w:snapToGrid w:val="0"/>
        <w:spacing w:line="440" w:lineRule="exact"/>
        <w:ind w:firstLine="480" w:firstLineChars="200"/>
        <w:rPr>
          <w:rFonts w:ascii="宋体" w:hAnsi="宋体" w:cs="宋体"/>
          <w:sz w:val="24"/>
          <w:szCs w:val="24"/>
        </w:rPr>
      </w:pPr>
      <w:r>
        <w:rPr>
          <w:rFonts w:hint="eastAsia" w:ascii="宋体" w:hAnsi="宋体" w:cs="宋体"/>
          <w:sz w:val="24"/>
          <w:szCs w:val="24"/>
        </w:rPr>
        <w:br w:type="page"/>
      </w:r>
      <w:r>
        <w:rPr>
          <w:rFonts w:hint="eastAsia" w:ascii="宋体" w:hAnsi="宋体" w:cs="宋体"/>
          <w:sz w:val="24"/>
          <w:szCs w:val="24"/>
        </w:rPr>
        <w:t>（二）其他与项目有关的资料</w:t>
      </w:r>
    </w:p>
    <w:p>
      <w:pPr>
        <w:spacing w:line="360" w:lineRule="auto"/>
        <w:ind w:firstLine="480" w:firstLineChars="200"/>
        <w:rPr>
          <w:rFonts w:ascii="宋体" w:hAnsi="宋体" w:cs="宋体"/>
          <w:sz w:val="24"/>
          <w:szCs w:val="24"/>
        </w:rPr>
      </w:pPr>
      <w:r>
        <w:rPr>
          <w:rFonts w:hint="eastAsia" w:ascii="宋体" w:hAnsi="宋体" w:cs="宋体"/>
          <w:sz w:val="24"/>
          <w:szCs w:val="24"/>
        </w:rPr>
        <w:t>其他与项目有关的资料（自附）：供应商总体情况介绍、其他与本项目有关的资料等。</w:t>
      </w:r>
    </w:p>
    <w:p>
      <w:pPr>
        <w:spacing w:line="460" w:lineRule="exact"/>
        <w:ind w:firstLine="840" w:firstLineChars="300"/>
        <w:rPr>
          <w:rFonts w:ascii="宋体" w:hAnsi="宋体" w:cs="宋体"/>
          <w:szCs w:val="22"/>
        </w:rPr>
      </w:pPr>
    </w:p>
    <w:p>
      <w:pPr>
        <w:spacing w:line="460" w:lineRule="exact"/>
        <w:ind w:firstLine="840" w:firstLineChars="300"/>
        <w:rPr>
          <w:rFonts w:ascii="宋体" w:hAnsi="宋体" w:cs="宋体"/>
          <w:szCs w:val="22"/>
        </w:rPr>
      </w:pPr>
    </w:p>
    <w:p>
      <w:pPr>
        <w:spacing w:line="460" w:lineRule="exact"/>
        <w:ind w:firstLine="840" w:firstLineChars="300"/>
        <w:rPr>
          <w:rFonts w:ascii="宋体" w:hAnsi="宋体" w:cs="宋体"/>
          <w:szCs w:val="22"/>
        </w:rPr>
      </w:pPr>
    </w:p>
    <w:p>
      <w:pPr>
        <w:spacing w:line="460" w:lineRule="exact"/>
        <w:ind w:firstLine="840" w:firstLineChars="300"/>
        <w:rPr>
          <w:rFonts w:ascii="宋体" w:hAnsi="宋体" w:cs="宋体"/>
          <w:szCs w:val="22"/>
        </w:rPr>
      </w:pPr>
    </w:p>
    <w:p>
      <w:pPr>
        <w:spacing w:line="460" w:lineRule="exact"/>
        <w:ind w:firstLine="840" w:firstLineChars="300"/>
        <w:rPr>
          <w:rFonts w:ascii="宋体" w:hAnsi="宋体" w:cs="宋体"/>
          <w:szCs w:val="22"/>
        </w:rPr>
      </w:pPr>
    </w:p>
    <w:p>
      <w:pPr>
        <w:spacing w:line="460" w:lineRule="exact"/>
        <w:ind w:firstLine="840" w:firstLineChars="300"/>
        <w:rPr>
          <w:rFonts w:ascii="宋体" w:hAnsi="宋体" w:cs="宋体"/>
          <w:szCs w:val="22"/>
        </w:rPr>
      </w:pPr>
    </w:p>
    <w:p>
      <w:pPr>
        <w:spacing w:line="460" w:lineRule="exact"/>
        <w:ind w:firstLine="840" w:firstLineChars="300"/>
        <w:rPr>
          <w:rFonts w:ascii="宋体" w:hAnsi="宋体" w:cs="宋体"/>
          <w:szCs w:val="22"/>
        </w:rPr>
      </w:pPr>
    </w:p>
    <w:p>
      <w:pPr>
        <w:spacing w:line="460" w:lineRule="exact"/>
        <w:ind w:firstLine="840" w:firstLineChars="300"/>
        <w:rPr>
          <w:rFonts w:ascii="宋体" w:hAnsi="宋体" w:cs="宋体"/>
          <w:szCs w:val="22"/>
        </w:rPr>
      </w:pPr>
    </w:p>
    <w:p>
      <w:pPr>
        <w:spacing w:line="460" w:lineRule="exact"/>
        <w:ind w:firstLine="840" w:firstLineChars="300"/>
        <w:rPr>
          <w:rFonts w:ascii="宋体" w:hAnsi="宋体" w:cs="宋体"/>
          <w:szCs w:val="22"/>
        </w:rPr>
      </w:pPr>
    </w:p>
    <w:p>
      <w:pPr>
        <w:spacing w:line="460" w:lineRule="exact"/>
        <w:ind w:firstLine="840" w:firstLineChars="300"/>
        <w:rPr>
          <w:rFonts w:ascii="宋体" w:hAnsi="宋体" w:cs="宋体"/>
          <w:szCs w:val="22"/>
        </w:rPr>
      </w:pPr>
    </w:p>
    <w:p>
      <w:pPr>
        <w:spacing w:line="460" w:lineRule="exact"/>
        <w:ind w:firstLine="840" w:firstLineChars="300"/>
        <w:rPr>
          <w:rFonts w:ascii="宋体" w:hAnsi="宋体" w:cs="宋体"/>
          <w:szCs w:val="22"/>
        </w:rPr>
      </w:pPr>
    </w:p>
    <w:p>
      <w:pPr>
        <w:spacing w:line="460" w:lineRule="exact"/>
        <w:ind w:firstLine="840" w:firstLineChars="300"/>
        <w:rPr>
          <w:rFonts w:ascii="宋体" w:hAnsi="宋体" w:cs="宋体"/>
          <w:szCs w:val="22"/>
        </w:rPr>
      </w:pPr>
    </w:p>
    <w:p>
      <w:pPr>
        <w:spacing w:line="460" w:lineRule="exact"/>
        <w:ind w:firstLine="840" w:firstLineChars="300"/>
        <w:rPr>
          <w:rFonts w:ascii="宋体" w:hAnsi="宋体" w:cs="宋体"/>
          <w:szCs w:val="22"/>
        </w:rPr>
      </w:pPr>
    </w:p>
    <w:p>
      <w:pPr>
        <w:spacing w:line="460" w:lineRule="exact"/>
        <w:ind w:firstLine="840" w:firstLineChars="300"/>
        <w:rPr>
          <w:rFonts w:ascii="宋体" w:hAnsi="宋体" w:cs="宋体"/>
          <w:szCs w:val="22"/>
        </w:rPr>
      </w:pPr>
    </w:p>
    <w:p>
      <w:pPr>
        <w:spacing w:line="460" w:lineRule="exact"/>
        <w:ind w:firstLine="840" w:firstLineChars="300"/>
        <w:rPr>
          <w:rFonts w:ascii="宋体" w:hAnsi="宋体" w:cs="宋体"/>
          <w:szCs w:val="22"/>
        </w:rPr>
      </w:pPr>
    </w:p>
    <w:p>
      <w:pPr>
        <w:spacing w:line="460" w:lineRule="exact"/>
        <w:ind w:firstLine="840" w:firstLineChars="300"/>
        <w:rPr>
          <w:rFonts w:ascii="宋体" w:hAnsi="宋体" w:cs="宋体"/>
          <w:szCs w:val="22"/>
        </w:rPr>
      </w:pPr>
    </w:p>
    <w:p>
      <w:pPr>
        <w:spacing w:line="460" w:lineRule="exact"/>
        <w:ind w:firstLine="840" w:firstLineChars="300"/>
        <w:rPr>
          <w:rFonts w:ascii="宋体" w:hAnsi="宋体" w:cs="宋体"/>
          <w:szCs w:val="22"/>
        </w:rPr>
      </w:pPr>
    </w:p>
    <w:p>
      <w:pPr>
        <w:spacing w:line="460" w:lineRule="exact"/>
        <w:ind w:firstLine="840" w:firstLineChars="300"/>
        <w:rPr>
          <w:rFonts w:ascii="宋体" w:hAnsi="宋体" w:cs="宋体"/>
          <w:szCs w:val="22"/>
        </w:rPr>
      </w:pPr>
    </w:p>
    <w:p>
      <w:pPr>
        <w:spacing w:line="460" w:lineRule="exact"/>
        <w:ind w:firstLine="840" w:firstLineChars="300"/>
        <w:rPr>
          <w:rFonts w:ascii="宋体" w:hAnsi="宋体" w:cs="宋体"/>
          <w:szCs w:val="22"/>
        </w:rPr>
      </w:pPr>
    </w:p>
    <w:p>
      <w:pPr>
        <w:spacing w:line="460" w:lineRule="exact"/>
        <w:ind w:firstLine="840" w:firstLineChars="300"/>
        <w:rPr>
          <w:rFonts w:ascii="宋体" w:hAnsi="宋体" w:cs="宋体"/>
          <w:szCs w:val="22"/>
        </w:rPr>
      </w:pPr>
    </w:p>
    <w:p>
      <w:pPr>
        <w:spacing w:line="460" w:lineRule="exact"/>
        <w:ind w:firstLine="840" w:firstLineChars="300"/>
        <w:rPr>
          <w:rFonts w:ascii="宋体" w:hAnsi="宋体" w:cs="宋体"/>
          <w:szCs w:val="22"/>
        </w:rPr>
      </w:pPr>
    </w:p>
    <w:p>
      <w:pPr>
        <w:spacing w:line="460" w:lineRule="exact"/>
        <w:ind w:firstLine="840" w:firstLineChars="300"/>
        <w:rPr>
          <w:rFonts w:ascii="宋体" w:hAnsi="宋体" w:cs="宋体"/>
          <w:szCs w:val="22"/>
        </w:rPr>
      </w:pPr>
    </w:p>
    <w:p>
      <w:pPr>
        <w:spacing w:line="460" w:lineRule="exact"/>
        <w:ind w:firstLine="840" w:firstLineChars="300"/>
        <w:rPr>
          <w:rFonts w:ascii="宋体" w:hAnsi="宋体" w:cs="宋体"/>
          <w:szCs w:val="22"/>
        </w:rPr>
      </w:pPr>
    </w:p>
    <w:p>
      <w:pPr>
        <w:spacing w:line="460" w:lineRule="exact"/>
        <w:ind w:firstLine="840" w:firstLineChars="300"/>
        <w:rPr>
          <w:rFonts w:ascii="宋体" w:hAnsi="宋体" w:cs="宋体"/>
          <w:szCs w:val="22"/>
        </w:rPr>
      </w:pPr>
    </w:p>
    <w:p>
      <w:pPr>
        <w:spacing w:line="360" w:lineRule="auto"/>
        <w:rPr>
          <w:rFonts w:ascii="宋体" w:hAnsi="宋体" w:cs="宋体"/>
          <w:sz w:val="24"/>
          <w:szCs w:val="24"/>
        </w:rPr>
      </w:pPr>
    </w:p>
    <w:p>
      <w:pPr>
        <w:spacing w:line="360" w:lineRule="auto"/>
        <w:ind w:firstLine="480" w:firstLineChars="200"/>
        <w:jc w:val="center"/>
        <w:rPr>
          <w:rFonts w:ascii="宋体" w:hAnsi="宋体" w:cs="宋体"/>
          <w:sz w:val="24"/>
          <w:szCs w:val="24"/>
        </w:rPr>
      </w:pPr>
    </w:p>
    <w:p>
      <w:pPr>
        <w:spacing w:line="360" w:lineRule="auto"/>
        <w:ind w:firstLine="480" w:firstLineChars="200"/>
        <w:jc w:val="center"/>
        <w:rPr>
          <w:rFonts w:ascii="宋体" w:hAnsi="宋体" w:cs="宋体"/>
        </w:rPr>
      </w:pPr>
      <w:r>
        <w:rPr>
          <w:rFonts w:hint="eastAsia" w:ascii="宋体" w:hAnsi="宋体" w:cs="宋体"/>
          <w:sz w:val="24"/>
          <w:szCs w:val="24"/>
        </w:rPr>
        <w:t>（结束）</w:t>
      </w:r>
    </w:p>
    <w:p/>
    <w:p/>
    <w:p/>
    <w:sectPr>
      <w:headerReference r:id="rId11"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jc w:val="center"/>
      <w:rPr>
        <w:rStyle w:val="13"/>
        <w:rFonts w:ascii="宋体"/>
        <w:sz w:val="21"/>
        <w:szCs w:val="21"/>
      </w:rPr>
    </w:pPr>
    <w:r>
      <w:rPr>
        <w:rFonts w:ascii="宋体"/>
        <w:sz w:val="21"/>
        <w:szCs w:val="21"/>
      </w:rPr>
      <w:fldChar w:fldCharType="begin"/>
    </w:r>
    <w:r>
      <w:rPr>
        <w:rStyle w:val="13"/>
        <w:rFonts w:ascii="宋体"/>
        <w:sz w:val="21"/>
        <w:szCs w:val="21"/>
      </w:rPr>
      <w:instrText xml:space="preserve">PAGE  </w:instrText>
    </w:r>
    <w:r>
      <w:rPr>
        <w:rFonts w:ascii="宋体"/>
        <w:sz w:val="21"/>
        <w:szCs w:val="21"/>
      </w:rPr>
      <w:fldChar w:fldCharType="separate"/>
    </w:r>
    <w:r>
      <w:rPr>
        <w:rStyle w:val="13"/>
        <w:rFonts w:ascii="宋体"/>
        <w:sz w:val="21"/>
        <w:szCs w:val="21"/>
      </w:rPr>
      <w:t>- 3 -</w:t>
    </w:r>
    <w:r>
      <w:rPr>
        <w:rFonts w:ascii="宋体"/>
        <w:sz w:val="21"/>
        <w:szCs w:val="21"/>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3"/>
      </w:rPr>
    </w:pPr>
    <w:r>
      <w:fldChar w:fldCharType="begin"/>
    </w:r>
    <w:r>
      <w:rPr>
        <w:rStyle w:val="13"/>
      </w:rPr>
      <w:instrText xml:space="preserve">PAGE  </w:instrText>
    </w:r>
    <w:r>
      <w:fldChar w:fldCharType="end"/>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3"/>
      </w:rPr>
    </w:pPr>
  </w:p>
  <w:p>
    <w:pPr>
      <w:pStyle w:val="8"/>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宋体" w:hAnsi="宋体"/>
        <w:sz w:val="21"/>
        <w:szCs w:val="21"/>
      </w:rPr>
    </w:pPr>
    <w:r>
      <w:rPr>
        <w:rFonts w:ascii="宋体" w:hAnsi="宋体"/>
        <w:sz w:val="21"/>
        <w:szCs w:val="21"/>
      </w:rPr>
      <w:fldChar w:fldCharType="begin"/>
    </w:r>
    <w:r>
      <w:rPr>
        <w:rStyle w:val="13"/>
        <w:rFonts w:ascii="宋体" w:hAnsi="宋体"/>
        <w:sz w:val="21"/>
        <w:szCs w:val="21"/>
      </w:rPr>
      <w:instrText xml:space="preserve"> PAGE </w:instrText>
    </w:r>
    <w:r>
      <w:rPr>
        <w:rFonts w:ascii="宋体" w:hAnsi="宋体"/>
        <w:sz w:val="21"/>
        <w:szCs w:val="21"/>
      </w:rPr>
      <w:fldChar w:fldCharType="separate"/>
    </w:r>
    <w:r>
      <w:rPr>
        <w:rStyle w:val="13"/>
        <w:rFonts w:ascii="宋体" w:hAnsi="宋体"/>
        <w:sz w:val="21"/>
        <w:szCs w:val="21"/>
      </w:rPr>
      <w:t>- 7 -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3"/>
      </w:rPr>
    </w:pPr>
    <w:r>
      <w:fldChar w:fldCharType="begin"/>
    </w:r>
    <w:r>
      <w:rPr>
        <w:rStyle w:val="13"/>
      </w:rPr>
      <w:instrText xml:space="preserve">PAGE  </w:instrText>
    </w:r>
    <w:r>
      <w:fldChar w:fldCharType="end"/>
    </w:r>
  </w:p>
  <w:p>
    <w:pPr>
      <w:pStyle w:val="8"/>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宋体" w:hAnsi="宋体"/>
        <w:sz w:val="21"/>
        <w:szCs w:val="21"/>
      </w:rPr>
    </w:pPr>
    <w:r>
      <w:rPr>
        <w:rFonts w:ascii="宋体" w:hAnsi="宋体"/>
        <w:sz w:val="21"/>
        <w:szCs w:val="21"/>
      </w:rPr>
      <w:fldChar w:fldCharType="begin"/>
    </w:r>
    <w:r>
      <w:rPr>
        <w:rStyle w:val="13"/>
        <w:rFonts w:ascii="宋体" w:hAnsi="宋体"/>
        <w:sz w:val="21"/>
        <w:szCs w:val="21"/>
      </w:rPr>
      <w:instrText xml:space="preserve"> PAGE </w:instrText>
    </w:r>
    <w:r>
      <w:rPr>
        <w:rFonts w:ascii="宋体" w:hAnsi="宋体"/>
        <w:sz w:val="21"/>
        <w:szCs w:val="21"/>
      </w:rPr>
      <w:fldChar w:fldCharType="separate"/>
    </w:r>
    <w:r>
      <w:rPr>
        <w:rStyle w:val="13"/>
        <w:rFonts w:ascii="宋体" w:hAnsi="宋体"/>
        <w:sz w:val="21"/>
        <w:szCs w:val="21"/>
      </w:rPr>
      <w:t>- 43 -</w:t>
    </w:r>
    <w:r>
      <w:rPr>
        <w:rFonts w:ascii="宋体" w:hAnsi="宋体"/>
        <w:sz w:val="21"/>
        <w:szCs w:val="21"/>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3"/>
      </w:rPr>
    </w:pPr>
    <w:r>
      <w:fldChar w:fldCharType="begin"/>
    </w:r>
    <w:r>
      <w:rPr>
        <w:rStyle w:val="13"/>
      </w:rPr>
      <w:instrText xml:space="preserve">PAGE  </w:instrText>
    </w:r>
    <w:r>
      <w:fldChar w:fldCharType="end"/>
    </w:r>
  </w:p>
  <w:p>
    <w:pPr>
      <w:pStyle w:val="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rPr>
        <w:rFonts w:ascii="方正仿宋_GBK" w:eastAsia="方正仿宋_GBK"/>
        <w:sz w:val="21"/>
        <w:szCs w:val="21"/>
      </w:rPr>
    </w:pPr>
    <w:r>
      <w:rPr>
        <w:rFonts w:hint="eastAsia" w:ascii="方正仿宋_GBK" w:eastAsia="方正仿宋_GBK"/>
        <w:sz w:val="21"/>
        <w:szCs w:val="21"/>
      </w:rPr>
      <w:t>重庆建桥实业发展有限公司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2B3295"/>
    <w:multiLevelType w:val="singleLevel"/>
    <w:tmpl w:val="BF2B329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703394"/>
    <w:rsid w:val="007462C7"/>
    <w:rsid w:val="01F91D03"/>
    <w:rsid w:val="05900535"/>
    <w:rsid w:val="14703394"/>
    <w:rsid w:val="14E07D12"/>
    <w:rsid w:val="1FA40640"/>
    <w:rsid w:val="261B23AF"/>
    <w:rsid w:val="27647B14"/>
    <w:rsid w:val="29B37473"/>
    <w:rsid w:val="3B75359D"/>
    <w:rsid w:val="3D396159"/>
    <w:rsid w:val="42BC0898"/>
    <w:rsid w:val="4FC07507"/>
    <w:rsid w:val="6B32733D"/>
    <w:rsid w:val="6D8771F5"/>
    <w:rsid w:val="76B51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2"/>
    <w:basedOn w:val="1"/>
    <w:next w:val="1"/>
    <w:qFormat/>
    <w:uiPriority w:val="0"/>
    <w:pPr>
      <w:keepNext/>
      <w:keepLines/>
      <w:spacing w:line="413" w:lineRule="auto"/>
      <w:outlineLvl w:val="1"/>
    </w:pPr>
    <w:rPr>
      <w:rFonts w:ascii="Arial" w:hAnsi="Arial" w:eastAsia="黑体"/>
      <w:b/>
      <w:sz w:val="32"/>
    </w:rPr>
  </w:style>
  <w:style w:type="paragraph" w:styleId="4">
    <w:name w:val="heading 3"/>
    <w:basedOn w:val="1"/>
    <w:next w:val="1"/>
    <w:qFormat/>
    <w:uiPriority w:val="0"/>
    <w:pPr>
      <w:keepNext/>
      <w:keepLines/>
      <w:spacing w:line="413" w:lineRule="auto"/>
      <w:outlineLvl w:val="2"/>
    </w:pPr>
    <w:rPr>
      <w:b/>
      <w:sz w:val="32"/>
    </w:rPr>
  </w:style>
  <w:style w:type="character" w:default="1" w:styleId="12">
    <w:name w:val="Default Paragraph Font"/>
    <w:semiHidden/>
    <w:uiPriority w:val="0"/>
  </w:style>
  <w:style w:type="table" w:default="1" w:styleId="11">
    <w:name w:val="Normal Table"/>
    <w:semiHidden/>
    <w:uiPriority w:val="0"/>
    <w:tblPr>
      <w:tblLayout w:type="fixed"/>
      <w:tblCellMar>
        <w:top w:w="0" w:type="dxa"/>
        <w:left w:w="108" w:type="dxa"/>
        <w:bottom w:w="0" w:type="dxa"/>
        <w:right w:w="108" w:type="dxa"/>
      </w:tblCellMar>
    </w:tblPr>
  </w:style>
  <w:style w:type="paragraph" w:styleId="2">
    <w:name w:val="toc 1"/>
    <w:basedOn w:val="1"/>
    <w:next w:val="1"/>
    <w:qFormat/>
    <w:uiPriority w:val="39"/>
    <w:pPr>
      <w:spacing w:before="120" w:after="120"/>
      <w:jc w:val="left"/>
    </w:pPr>
    <w:rPr>
      <w:caps/>
      <w:sz w:val="20"/>
    </w:rPr>
  </w:style>
  <w:style w:type="paragraph" w:styleId="5">
    <w:name w:val="toc 3"/>
    <w:basedOn w:val="1"/>
    <w:next w:val="1"/>
    <w:qFormat/>
    <w:uiPriority w:val="39"/>
    <w:pPr>
      <w:ind w:left="840" w:leftChars="400"/>
    </w:pPr>
  </w:style>
  <w:style w:type="paragraph" w:styleId="6">
    <w:name w:val="Plain Text"/>
    <w:basedOn w:val="1"/>
    <w:qFormat/>
    <w:uiPriority w:val="0"/>
    <w:rPr>
      <w:rFonts w:ascii="宋体" w:hAnsi="Courier New"/>
      <w:sz w:val="21"/>
    </w:rPr>
  </w:style>
  <w:style w:type="paragraph" w:styleId="7">
    <w:name w:val="Date"/>
    <w:basedOn w:val="1"/>
    <w:next w:val="1"/>
    <w:qFormat/>
    <w:uiPriority w:val="0"/>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rPr>
  </w:style>
  <w:style w:type="paragraph" w:styleId="10">
    <w:name w:val="toc 2"/>
    <w:basedOn w:val="1"/>
    <w:next w:val="1"/>
    <w:qFormat/>
    <w:uiPriority w:val="39"/>
    <w:pPr>
      <w:ind w:left="420" w:leftChars="200"/>
    </w:pPr>
  </w:style>
  <w:style w:type="character" w:styleId="13">
    <w:name w:val="page number"/>
    <w:basedOn w:val="12"/>
    <w:qFormat/>
    <w:uiPriority w:val="0"/>
  </w:style>
  <w:style w:type="character" w:styleId="14">
    <w:name w:val="Hyperlink"/>
    <w:qFormat/>
    <w:uiPriority w:val="99"/>
    <w:rPr>
      <w:color w:val="0000FF"/>
      <w:u w:val="single"/>
    </w:rPr>
  </w:style>
  <w:style w:type="paragraph" w:customStyle="1" w:styleId="15">
    <w:name w:val="1"/>
    <w:basedOn w:val="1"/>
    <w:next w:val="6"/>
    <w:qFormat/>
    <w:uiPriority w:val="0"/>
    <w:rPr>
      <w:rFonts w:ascii="宋体" w:hAnsi="Courier New"/>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2.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2022-04-14T07:01:00Z</dcterms:created>
  <dc:creator>admin</dc:creator>
  <cp:lastModifiedBy>admin</cp:lastModifiedBy>
  <dcterms:modified xsi:type="dcterms:W3CDTF">2022-04-14T07:26:17Z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