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ascii="宋体" w:hAnsi="宋体" w:cs="宋体"/>
          <w:sz w:val="36"/>
          <w:szCs w:val="30"/>
        </w:rPr>
      </w:pPr>
      <w:r>
        <w:rPr>
          <w:rFonts w:hint="eastAsia" w:ascii="宋体" w:hAnsi="宋体" w:cs="宋体"/>
          <w:sz w:val="36"/>
          <w:szCs w:val="30"/>
        </w:rPr>
        <w:t>磋商项目名称：重庆建桥实业发展有限公司建桥C区环保产业园施工用电变压器安装工程</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二〇二二年</w:t>
      </w:r>
      <w:r>
        <w:rPr>
          <w:rFonts w:hint="eastAsia" w:ascii="宋体" w:hAnsi="宋体" w:cs="宋体"/>
          <w:sz w:val="36"/>
          <w:szCs w:val="30"/>
          <w:lang w:eastAsia="zh-CN"/>
        </w:rPr>
        <w:t>三</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1"/>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5"/>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5"/>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5"/>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5"/>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5"/>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5"/>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5"/>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5"/>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5"/>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5"/>
          <w:rFonts w:hint="eastAsia" w:ascii="宋体" w:hAnsi="宋体" w:cs="宋体"/>
          <w:color w:val="auto"/>
        </w:rPr>
        <w:t>一、项目基本概况介绍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5"/>
          <w:rFonts w:hint="eastAsia" w:ascii="宋体" w:hAnsi="宋体" w:cs="宋体"/>
          <w:color w:val="auto"/>
        </w:rPr>
        <w:t>二、工作内容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"_Toc54278980" </w:instrText>
      </w:r>
      <w:r>
        <w:fldChar w:fldCharType="separate"/>
      </w:r>
      <w:r>
        <w:rPr>
          <w:rStyle w:val="15"/>
          <w:rFonts w:hint="eastAsia" w:ascii="宋体" w:hAnsi="宋体" w:cs="宋体"/>
          <w:color w:val="auto"/>
        </w:rPr>
        <w:t>三、工程质量及施工要求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_Toc54278980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"_Toc54278981" </w:instrText>
      </w:r>
      <w:r>
        <w:fldChar w:fldCharType="separate"/>
      </w:r>
      <w:r>
        <w:rPr>
          <w:rStyle w:val="15"/>
          <w:rFonts w:hint="eastAsia" w:ascii="宋体" w:hAnsi="宋体" w:cs="宋体"/>
          <w:color w:val="auto"/>
        </w:rPr>
        <w:t>四、施工图及工程量清单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_Toc54278981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"_Toc54278983" </w:instrText>
      </w:r>
      <w:r>
        <w:fldChar w:fldCharType="separate"/>
      </w:r>
      <w:r>
        <w:rPr>
          <w:rStyle w:val="15"/>
          <w:rFonts w:hint="eastAsia" w:ascii="宋体" w:hAnsi="宋体" w:cs="宋体"/>
          <w:color w:val="auto"/>
        </w:rPr>
        <w:t>五、现场踏勘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"_Toc54278983" </w:instrText>
      </w:r>
      <w:r>
        <w:fldChar w:fldCharType="separate"/>
      </w:r>
      <w:r>
        <w:rPr>
          <w:rStyle w:val="15"/>
          <w:rFonts w:hint="eastAsia" w:ascii="宋体" w:hAnsi="宋体" w:cs="宋体"/>
          <w:color w:val="auto"/>
        </w:rPr>
        <w:t>六、其他要求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5"/>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5"/>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5"/>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5"/>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5"/>
          <w:rFonts w:hint="eastAsia" w:ascii="宋体" w:hAnsi="宋体" w:cs="宋体"/>
          <w:color w:val="auto"/>
        </w:rPr>
        <w:t>四、质量保证及售后服务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5"/>
          <w:rFonts w:hint="eastAsia" w:ascii="宋体" w:hAnsi="宋体" w:cs="宋体"/>
          <w:color w:val="auto"/>
        </w:rPr>
        <w:t>五、付款方式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5"/>
          <w:rFonts w:hint="eastAsia" w:ascii="宋体" w:hAnsi="宋体" w:cs="宋体"/>
          <w:color w:val="auto"/>
        </w:rPr>
        <w:t>六、施工安全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5"/>
          <w:rFonts w:hint="eastAsia" w:ascii="宋体" w:hAnsi="宋体" w:cs="宋体"/>
          <w:color w:val="auto"/>
        </w:rPr>
        <w:t>七、其他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5"/>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5"/>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5"/>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5"/>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5"/>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5"/>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5"/>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5"/>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5"/>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5"/>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5"/>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5"/>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5"/>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5"/>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5"/>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5"/>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5"/>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5"/>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5"/>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5"/>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1"/>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1641050"/>
      <w:bookmarkStart w:id="1" w:name="_Toc54278968"/>
      <w:bookmarkStart w:id="2" w:name="_Toc12789052"/>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我司对重庆建桥实业发展有限公司建桥C区环保产业园施工用电变压器安装工程进行竞争性磋商采购。欢迎有资格的供应商前来参与磋商。</w:t>
      </w:r>
    </w:p>
    <w:p>
      <w:pPr>
        <w:pStyle w:val="2"/>
        <w:spacing w:line="360" w:lineRule="auto"/>
        <w:rPr>
          <w:rFonts w:ascii="宋体" w:hAnsi="宋体" w:cs="宋体"/>
          <w:sz w:val="24"/>
          <w:szCs w:val="24"/>
        </w:rPr>
      </w:pPr>
      <w:bookmarkStart w:id="3" w:name="_Toc313893526"/>
      <w:bookmarkStart w:id="4" w:name="_Toc317775175"/>
      <w:bookmarkStart w:id="5" w:name="_Toc54278969"/>
      <w:r>
        <w:rPr>
          <w:rFonts w:hint="eastAsia" w:ascii="宋体" w:hAnsi="宋体" w:cs="宋体"/>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重庆建桥实业发展有限公司建桥C区环保产业园施工用电变压器安装工程</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551665.34</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2"/>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自筹资金，采购预算551665.34元。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1.资质条件、营业执照、组织机构代码证</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1）具有独立承担民事责任能力、具有独立法人资格。（提供有效的营业执照、组织机构代码证，或三证合一的营业执照，复印件并加盖公章（鲜章））</w:t>
      </w:r>
    </w:p>
    <w:p>
      <w:pPr>
        <w:spacing w:line="360" w:lineRule="auto"/>
        <w:ind w:firstLine="480" w:firstLineChars="200"/>
        <w:rPr>
          <w:rFonts w:ascii="宋体" w:hAnsi="宋体" w:cs="宋体"/>
          <w:sz w:val="24"/>
          <w:szCs w:val="24"/>
        </w:rPr>
      </w:pPr>
      <w:r>
        <w:rPr>
          <w:rFonts w:hint="eastAsia" w:ascii="宋体" w:hAnsi="宋体" w:cs="宋体"/>
          <w:sz w:val="24"/>
          <w:szCs w:val="24"/>
        </w:rPr>
        <w:t>2）供应商须同时具备以下资质并在人员、设备、资金等方面具备相应的施工能力</w:t>
      </w:r>
    </w:p>
    <w:p>
      <w:pPr>
        <w:spacing w:line="360" w:lineRule="auto"/>
        <w:ind w:firstLine="480" w:firstLineChars="200"/>
        <w:rPr>
          <w:rFonts w:ascii="宋体" w:hAnsi="宋体" w:cs="宋体"/>
          <w:sz w:val="24"/>
          <w:szCs w:val="24"/>
        </w:rPr>
      </w:pPr>
      <w:r>
        <w:rPr>
          <w:rFonts w:hint="eastAsia" w:ascii="宋体" w:hAnsi="宋体" w:cs="宋体"/>
          <w:sz w:val="24"/>
          <w:szCs w:val="24"/>
        </w:rPr>
        <w:t>①建设行政主管部门颁发的有效的输变电工程专业承包三级及以上资质或电力工程施工总承包三级及以上资质，并具备市政公用工程总承包三级及以上资质。</w:t>
      </w:r>
    </w:p>
    <w:p>
      <w:pPr>
        <w:spacing w:line="360" w:lineRule="auto"/>
        <w:ind w:firstLine="480" w:firstLineChars="200"/>
        <w:rPr>
          <w:rFonts w:ascii="宋体" w:hAnsi="宋体" w:cs="宋体"/>
          <w:sz w:val="24"/>
          <w:szCs w:val="24"/>
        </w:rPr>
      </w:pPr>
      <w:r>
        <w:rPr>
          <w:rFonts w:hint="eastAsia" w:ascii="宋体" w:hAnsi="宋体" w:cs="宋体"/>
          <w:sz w:val="24"/>
          <w:szCs w:val="24"/>
        </w:rPr>
        <w:t>②具有国家电力监管委员会颁发的承装电力设施许可证四级及以上资质、承修电力设施许可证四级及以上资质、承试电力设施许可证四级及以上资质。</w:t>
      </w:r>
    </w:p>
    <w:p>
      <w:pPr>
        <w:spacing w:line="360" w:lineRule="auto"/>
        <w:ind w:firstLine="480" w:firstLineChars="200"/>
        <w:rPr>
          <w:rFonts w:ascii="宋体" w:hAnsi="宋体" w:cs="宋体"/>
          <w:sz w:val="24"/>
          <w:szCs w:val="24"/>
        </w:rPr>
      </w:pPr>
      <w:r>
        <w:rPr>
          <w:rFonts w:hint="eastAsia" w:ascii="宋体" w:hAnsi="宋体" w:cs="宋体"/>
          <w:sz w:val="24"/>
          <w:szCs w:val="24"/>
        </w:rPr>
        <w:t>3）业绩要求</w:t>
      </w:r>
    </w:p>
    <w:p>
      <w:pPr>
        <w:spacing w:line="360" w:lineRule="auto"/>
        <w:ind w:firstLine="480" w:firstLineChars="200"/>
        <w:rPr>
          <w:rFonts w:ascii="宋体" w:hAnsi="宋体" w:cs="宋体"/>
          <w:sz w:val="24"/>
          <w:szCs w:val="24"/>
        </w:rPr>
      </w:pPr>
      <w:r>
        <w:rPr>
          <w:rFonts w:hint="eastAsia" w:ascii="宋体" w:hAnsi="宋体" w:cs="宋体"/>
          <w:sz w:val="24"/>
          <w:szCs w:val="24"/>
        </w:rPr>
        <w:t>投标截止日前3年内，指 2019 年1月1日起至投标截止日止（以合同签订时间为准）单个项目合同有与本招标项目在合同金额、工程类别、工程规模的具体技术参数类似的1个配电工程业绩（以上全部信息以工程竣工验收证明为准）。</w:t>
      </w:r>
    </w:p>
    <w:p>
      <w:pPr>
        <w:spacing w:line="360" w:lineRule="auto"/>
        <w:ind w:firstLine="480" w:firstLineChars="200"/>
        <w:rPr>
          <w:rFonts w:ascii="宋体" w:hAnsi="宋体" w:cs="宋体"/>
          <w:sz w:val="24"/>
          <w:szCs w:val="24"/>
        </w:rPr>
      </w:pPr>
      <w:r>
        <w:rPr>
          <w:rFonts w:hint="eastAsia" w:ascii="宋体" w:hAnsi="宋体" w:cs="宋体"/>
          <w:sz w:val="24"/>
          <w:szCs w:val="24"/>
        </w:rPr>
        <w:t>类似工程业绩应满足以下要求：</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合同金额：50万元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工程类别：配电工程        </w:t>
      </w:r>
    </w:p>
    <w:p>
      <w:pPr>
        <w:spacing w:line="360" w:lineRule="auto"/>
        <w:ind w:firstLine="480" w:firstLineChars="200"/>
        <w:rPr>
          <w:rFonts w:ascii="宋体" w:hAnsi="宋体" w:cs="宋体"/>
          <w:sz w:val="24"/>
          <w:szCs w:val="24"/>
        </w:rPr>
      </w:pPr>
      <w:r>
        <w:rPr>
          <w:rFonts w:hint="eastAsia" w:ascii="宋体" w:hAnsi="宋体" w:cs="宋体"/>
          <w:sz w:val="24"/>
          <w:szCs w:val="24"/>
        </w:rPr>
        <w:t>须提供该业绩的合同协议书复印件并加盖公司公章（鲜章）。若上述资料无法体现业绩规模、类别特征的，应提供业主证明。不满足上述要求的业绩无效。</w:t>
      </w:r>
    </w:p>
    <w:p>
      <w:pPr>
        <w:pStyle w:val="2"/>
        <w:spacing w:line="360" w:lineRule="auto"/>
        <w:rPr>
          <w:rFonts w:ascii="宋体" w:hAnsi="宋体" w:cs="宋体"/>
          <w:sz w:val="24"/>
          <w:szCs w:val="24"/>
        </w:rPr>
      </w:pPr>
      <w:bookmarkStart w:id="11" w:name="_Toc54278972"/>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2022年3月7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（三）竞争性磋商公告期限：自采购公告发布之日（2022年3月7日）起三个工作日。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（六）响应文件递交时间：2022年3月11日北京时间</w:t>
      </w:r>
      <w:r>
        <w:rPr>
          <w:rFonts w:hint="eastAsia" w:ascii="宋体" w:hAnsi="宋体" w:cs="宋体"/>
          <w:sz w:val="24"/>
          <w:szCs w:val="24"/>
          <w:lang w:val="en-US" w:eastAsia="zh-CN"/>
        </w:rPr>
        <w:t>14</w:t>
      </w:r>
      <w:r>
        <w:rPr>
          <w:rFonts w:hint="eastAsia" w:ascii="宋体" w:hAnsi="宋体" w:cs="宋体"/>
          <w:sz w:val="24"/>
          <w:szCs w:val="24"/>
        </w:rPr>
        <w:t>：00-</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截止时间：2022年3月11日北京时间</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（七）磋商开始时间：2022年3月11日北京时间</w:t>
      </w:r>
      <w:r>
        <w:rPr>
          <w:rFonts w:hint="eastAsia" w:ascii="宋体" w:hAnsi="宋体" w:cs="宋体"/>
          <w:sz w:val="24"/>
          <w:szCs w:val="24"/>
          <w:lang w:val="en-US" w:eastAsia="zh-CN"/>
        </w:rPr>
        <w:t>14</w:t>
      </w:r>
      <w:r>
        <w:rPr>
          <w:rFonts w:hint="eastAsia" w:ascii="宋体" w:hAnsi="宋体" w:cs="宋体"/>
          <w:sz w:val="24"/>
          <w:szCs w:val="24"/>
        </w:rPr>
        <w:t>:30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2022年3月10日1</w:t>
      </w:r>
      <w:r>
        <w:rPr>
          <w:rFonts w:hint="eastAsia" w:ascii="宋体" w:hAnsi="宋体" w:cs="宋体"/>
          <w:b/>
          <w:sz w:val="24"/>
          <w:szCs w:val="24"/>
          <w:u w:val="single"/>
          <w:lang w:val="en-US" w:eastAsia="zh-CN"/>
        </w:rPr>
        <w:t>8</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竞标保证金的金额：人民币10000元（大写：壹万元整）。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成交人应当在合同签订之前将履约保证金汇入采购人指定账户（注明项目名称），缴纳方式请与采购人联系。</w:t>
      </w:r>
    </w:p>
    <w:p>
      <w:pPr>
        <w:pStyle w:val="2"/>
        <w:spacing w:line="360" w:lineRule="auto"/>
        <w:ind w:firstLine="480" w:firstLineChars="200"/>
        <w:rPr>
          <w:rFonts w:ascii="宋体" w:hAnsi="宋体" w:cs="宋体"/>
          <w:b w:val="0"/>
          <w:color w:val="FF0000"/>
          <w:sz w:val="24"/>
          <w:szCs w:val="24"/>
        </w:rPr>
      </w:pPr>
      <w:r>
        <w:rPr>
          <w:rFonts w:hint="eastAsia" w:ascii="宋体" w:hAnsi="宋体" w:eastAsia="宋体" w:cs="宋体"/>
          <w:b w:val="0"/>
          <w:kern w:val="2"/>
          <w:sz w:val="24"/>
          <w:szCs w:val="24"/>
          <w:lang w:val="en-US" w:eastAsia="zh-CN" w:bidi="ar-SA"/>
        </w:rPr>
        <w:t>在本项目验收合格后无息退还。</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3"/>
        <w:spacing w:line="360" w:lineRule="auto"/>
        <w:jc w:val="both"/>
        <w:rPr>
          <w:rFonts w:hint="eastAsia" w:ascii="宋体" w:hAnsi="宋体" w:eastAsia="宋体" w:cs="宋体"/>
          <w:b w:val="0"/>
          <w:sz w:val="36"/>
          <w:szCs w:val="30"/>
        </w:rPr>
      </w:pPr>
    </w:p>
    <w:p>
      <w:pPr>
        <w:rPr>
          <w:rFonts w:hint="eastAsia" w:ascii="宋体" w:hAnsi="宋体" w:eastAsia="宋体" w:cs="宋体"/>
          <w:b w:val="0"/>
          <w:sz w:val="36"/>
          <w:szCs w:val="30"/>
        </w:rPr>
      </w:pPr>
    </w:p>
    <w:p>
      <w:pPr>
        <w:pStyle w:val="3"/>
        <w:spacing w:line="360" w:lineRule="auto"/>
        <w:jc w:val="both"/>
        <w:rPr>
          <w:rFonts w:hint="eastAsia" w:ascii="宋体" w:hAnsi="宋体" w:eastAsia="宋体" w:cs="宋体"/>
          <w:b w:val="0"/>
          <w:sz w:val="36"/>
          <w:szCs w:val="30"/>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一、项目基本概况介绍</w:t>
      </w:r>
      <w:bookmarkEnd w:id="21"/>
    </w:p>
    <w:p>
      <w:pPr>
        <w:pStyle w:val="2"/>
        <w:spacing w:line="360" w:lineRule="auto"/>
        <w:ind w:firstLine="480" w:firstLineChars="200"/>
        <w:rPr>
          <w:rFonts w:ascii="宋体" w:hAnsi="宋体" w:cs="宋体"/>
          <w:b w:val="0"/>
          <w:sz w:val="24"/>
          <w:szCs w:val="24"/>
        </w:rPr>
      </w:pPr>
      <w:bookmarkStart w:id="23" w:name="_Toc54278979"/>
      <w:r>
        <w:rPr>
          <w:rFonts w:hint="eastAsia" w:ascii="宋体" w:hAnsi="宋体" w:cs="宋体"/>
          <w:b w:val="0"/>
          <w:sz w:val="24"/>
          <w:szCs w:val="24"/>
        </w:rPr>
        <w:t>建桥C区环保产业园施工用电变压器安装工程位于大渡口区跳磴镇。该项目主要包括新装1台1600KVA箱变，箱变采用欧式箱变，变压器采用油浸式变压器；新建箱变基础1座，施放电缆线路90米（ZB-YJV22-8.7/15KV-3X70）。（具体详见施工设计图及工程量清单，施工设计图和工程量清单不一致时以工程量清单为准）。</w:t>
      </w:r>
    </w:p>
    <w:p>
      <w:pPr>
        <w:pStyle w:val="2"/>
        <w:spacing w:line="360" w:lineRule="auto"/>
        <w:rPr>
          <w:rFonts w:ascii="宋体" w:hAnsi="宋体" w:cs="宋体"/>
          <w:sz w:val="24"/>
          <w:szCs w:val="24"/>
        </w:rPr>
      </w:pPr>
      <w:r>
        <w:rPr>
          <w:rFonts w:hint="eastAsia" w:ascii="宋体" w:hAnsi="宋体" w:cs="宋体"/>
          <w:sz w:val="24"/>
          <w:szCs w:val="24"/>
        </w:rPr>
        <w:t>二、工作内容</w:t>
      </w:r>
      <w:bookmarkEnd w:id="23"/>
    </w:p>
    <w:p>
      <w:pPr>
        <w:spacing w:line="360" w:lineRule="auto"/>
        <w:ind w:firstLine="480" w:firstLineChars="200"/>
        <w:rPr>
          <w:rFonts w:ascii="宋体" w:hAnsi="宋体" w:cs="宋体"/>
          <w:sz w:val="24"/>
          <w:szCs w:val="24"/>
        </w:rPr>
      </w:pPr>
      <w:r>
        <w:rPr>
          <w:rFonts w:hint="eastAsia" w:ascii="宋体" w:hAnsi="宋体" w:cs="宋体"/>
          <w:sz w:val="24"/>
          <w:szCs w:val="24"/>
        </w:rPr>
        <w:t>具体以采购人所提供的图纸及工程量清单为准。</w:t>
      </w:r>
      <w:bookmarkStart w:id="24" w:name="_Toc54278980"/>
      <w:bookmarkStart w:id="25" w:name="_Toc313536013"/>
      <w:bookmarkStart w:id="26" w:name="_Toc344475116"/>
    </w:p>
    <w:p>
      <w:pPr>
        <w:spacing w:line="360" w:lineRule="auto"/>
        <w:rPr>
          <w:rFonts w:ascii="宋体" w:hAnsi="宋体" w:cs="宋体"/>
          <w:b/>
          <w:sz w:val="24"/>
          <w:szCs w:val="24"/>
        </w:rPr>
      </w:pPr>
      <w:r>
        <w:rPr>
          <w:rFonts w:hint="eastAsia" w:ascii="宋体" w:hAnsi="宋体" w:cs="宋体"/>
          <w:b/>
          <w:sz w:val="24"/>
          <w:szCs w:val="24"/>
        </w:rPr>
        <w:t>三、</w:t>
      </w:r>
      <w:bookmarkEnd w:id="24"/>
      <w:bookmarkEnd w:id="25"/>
      <w:bookmarkEnd w:id="26"/>
      <w:bookmarkStart w:id="27" w:name="_Toc54278981"/>
      <w:r>
        <w:rPr>
          <w:rFonts w:hint="eastAsia" w:ascii="宋体" w:hAnsi="宋体" w:cs="宋体"/>
          <w:b/>
          <w:sz w:val="24"/>
          <w:szCs w:val="24"/>
        </w:rPr>
        <w:t>工程质量及施工要求</w:t>
      </w:r>
    </w:p>
    <w:p>
      <w:pPr>
        <w:spacing w:line="360" w:lineRule="auto"/>
        <w:ind w:firstLine="480" w:firstLineChars="200"/>
        <w:rPr>
          <w:rFonts w:ascii="宋体" w:hAnsi="宋体" w:cs="宋体"/>
          <w:sz w:val="24"/>
          <w:szCs w:val="24"/>
        </w:rPr>
      </w:pPr>
      <w:r>
        <w:rPr>
          <w:rFonts w:hint="eastAsia" w:ascii="宋体" w:hAnsi="宋体" w:cs="宋体"/>
          <w:sz w:val="24"/>
          <w:szCs w:val="24"/>
        </w:rPr>
        <w:t>达到国家现行规范及验收合格标准 。</w:t>
      </w:r>
    </w:p>
    <w:p>
      <w:pPr>
        <w:pStyle w:val="2"/>
        <w:spacing w:line="360" w:lineRule="auto"/>
        <w:rPr>
          <w:rFonts w:ascii="宋体" w:hAnsi="宋体" w:cs="宋体"/>
          <w:sz w:val="24"/>
          <w:szCs w:val="24"/>
        </w:rPr>
      </w:pPr>
      <w:r>
        <w:rPr>
          <w:rFonts w:hint="eastAsia" w:ascii="宋体" w:hAnsi="宋体" w:cs="宋体"/>
          <w:sz w:val="24"/>
          <w:szCs w:val="24"/>
        </w:rPr>
        <w:t>四、施工图及工程量清单</w:t>
      </w:r>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工程量清单及施工图请供应商在建桥工业园（http://www.jqgyy.com/）上自行下载。</w:t>
      </w:r>
    </w:p>
    <w:p>
      <w:pPr>
        <w:pStyle w:val="2"/>
        <w:spacing w:line="360" w:lineRule="auto"/>
        <w:rPr>
          <w:rFonts w:ascii="宋体" w:hAnsi="宋体" w:cs="宋体"/>
          <w:sz w:val="24"/>
          <w:szCs w:val="24"/>
        </w:rPr>
      </w:pPr>
      <w:bookmarkStart w:id="28" w:name="_Toc18330601"/>
      <w:bookmarkStart w:id="29" w:name="_Toc50299508"/>
      <w:bookmarkStart w:id="30" w:name="_Toc53232925"/>
      <w:bookmarkStart w:id="31" w:name="_Toc54278976"/>
      <w:bookmarkStart w:id="32" w:name="_Toc54278983"/>
      <w:r>
        <w:rPr>
          <w:rFonts w:hint="eastAsia" w:ascii="宋体" w:hAnsi="宋体" w:cs="宋体"/>
          <w:sz w:val="24"/>
          <w:szCs w:val="24"/>
        </w:rPr>
        <w:t>五、现场踏勘</w:t>
      </w:r>
      <w:bookmarkEnd w:id="28"/>
      <w:bookmarkEnd w:id="29"/>
      <w:bookmarkEnd w:id="30"/>
      <w:bookmarkEnd w:id="31"/>
    </w:p>
    <w:p>
      <w:pPr>
        <w:spacing w:line="360" w:lineRule="auto"/>
        <w:ind w:firstLine="480" w:firstLineChars="200"/>
        <w:rPr>
          <w:rFonts w:ascii="宋体" w:hAnsi="宋体" w:cs="宋体"/>
          <w:sz w:val="24"/>
          <w:szCs w:val="24"/>
        </w:rPr>
      </w:pPr>
      <w:r>
        <w:rPr>
          <w:rFonts w:hint="eastAsia" w:ascii="宋体" w:hAnsi="宋体" w:cs="宋体"/>
          <w:sz w:val="24"/>
          <w:szCs w:val="24"/>
        </w:rPr>
        <w:t>供应商应自行现场踏勘（无论供应商是否踏勘现场，均视为供应商已踏勘现场。因踏勘造成的人员伤亡、财务损失及产生的所有费用由供应商自行承担）。</w:t>
      </w:r>
    </w:p>
    <w:bookmarkEnd w:id="32"/>
    <w:p>
      <w:pPr>
        <w:spacing w:line="360" w:lineRule="auto"/>
      </w:pPr>
    </w:p>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33"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33"/>
    </w:p>
    <w:p>
      <w:pPr>
        <w:pStyle w:val="2"/>
        <w:spacing w:line="440" w:lineRule="exact"/>
        <w:rPr>
          <w:rFonts w:ascii="宋体" w:hAnsi="宋体" w:cs="宋体"/>
          <w:sz w:val="24"/>
          <w:szCs w:val="24"/>
        </w:rPr>
      </w:pPr>
      <w:bookmarkStart w:id="34" w:name="_Toc344475120"/>
      <w:bookmarkStart w:id="35" w:name="_Toc54278985"/>
      <w:r>
        <w:rPr>
          <w:rFonts w:hint="eastAsia" w:ascii="宋体" w:hAnsi="宋体" w:cs="宋体"/>
          <w:sz w:val="24"/>
          <w:szCs w:val="24"/>
        </w:rPr>
        <w:t>一、服务期、地点及验收方式</w:t>
      </w:r>
      <w:bookmarkEnd w:id="34"/>
      <w:bookmarkEnd w:id="35"/>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（一）服务期</w:t>
      </w:r>
      <w:r>
        <w:rPr>
          <w:rFonts w:hint="eastAsia" w:ascii="宋体" w:hAnsi="宋体" w:cs="宋体"/>
          <w:sz w:val="24"/>
          <w:szCs w:val="24"/>
          <w:lang w:val="en-US" w:eastAsia="zh-CN"/>
        </w:rPr>
        <w:t>：合同签订之日起15个日历天内完工。</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（二）服务地点：大渡口区建桥工业园C区。</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（三）验收方式及标准</w:t>
      </w:r>
      <w:bookmarkStart w:id="36" w:name="_Toc344475121"/>
      <w:bookmarkStart w:id="37" w:name="_Toc54278986"/>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1.验收单位：采购人、市电力公司、设计单位、监理单位等相关部门验收。如验收不合格，对采购人造成损失的，成交单位应承担修复、重做、赔偿损失等责任，采购人不再另行付费。</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2.验收标准：满足图纸技术要求， 达到国家及行业现行施工质量验收规范和标准的要求，并一次性验收合格。</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5.工程完工后30日应通过市电力公司验收。</w:t>
      </w:r>
    </w:p>
    <w:p>
      <w:pPr>
        <w:pStyle w:val="2"/>
        <w:spacing w:line="400" w:lineRule="exact"/>
        <w:rPr>
          <w:rFonts w:ascii="宋体" w:hAnsi="宋体" w:cs="宋体"/>
          <w:sz w:val="24"/>
          <w:szCs w:val="24"/>
        </w:rPr>
      </w:pPr>
      <w:r>
        <w:rPr>
          <w:rFonts w:hint="eastAsia" w:ascii="宋体" w:hAnsi="宋体" w:cs="宋体"/>
          <w:sz w:val="24"/>
          <w:szCs w:val="24"/>
        </w:rPr>
        <w:t>二、</w:t>
      </w:r>
      <w:bookmarkEnd w:id="36"/>
      <w:r>
        <w:rPr>
          <w:rFonts w:hint="eastAsia" w:ascii="宋体" w:hAnsi="宋体" w:cs="宋体"/>
          <w:sz w:val="24"/>
          <w:szCs w:val="24"/>
        </w:rPr>
        <w:t>报价要求</w:t>
      </w:r>
      <w:bookmarkEnd w:id="37"/>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（一）报价要求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1.本次磋商报价须为人民币报价，采用固定单价合同。</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供应商须严格按照随磋商文件一并发出的分部分项工程项目清单计价表逐项填报清单单价及总价，清单单价及总价不得超出采购人给出的限价，同时清单总价应与报价函中的总价一致，不一致的按清单总价修正。</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3.磋商过程中二次报价时，供应商只需对总价进行二次报价，分部分项工程项目清单计价表中的单项报价在签订合同时按照（二次报价/初始报价）的价格比例进行等比例调整即可，二次报价中供应商无需再逐项进行单项报价。</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4.供应商的报价中对于采购人给出的安全文明施工费以及暂列金额都不能进行改动，须按照采购人给出的金额报价，否则视为无效响应。</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5.磋商报价范围：各供应商对采购人提供的工程量清单和现场情况进行自主报价。</w:t>
      </w:r>
    </w:p>
    <w:p>
      <w:pPr>
        <w:spacing w:line="540" w:lineRule="exact"/>
        <w:ind w:firstLine="480" w:firstLineChars="200"/>
        <w:jc w:val="left"/>
        <w:rPr>
          <w:rFonts w:ascii="宋体" w:hAnsi="宋体" w:cs="宋体"/>
          <w:sz w:val="24"/>
          <w:szCs w:val="24"/>
        </w:rPr>
      </w:pPr>
      <w:bookmarkStart w:id="38" w:name="_Toc54278994"/>
      <w:r>
        <w:rPr>
          <w:rFonts w:hint="eastAsia" w:ascii="宋体" w:hAnsi="宋体" w:cs="宋体"/>
          <w:sz w:val="24"/>
          <w:szCs w:val="24"/>
        </w:rPr>
        <w:t>（二）竞标报价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本项目设最高限价为人民币:伍拾伍万壹仟陆佰陆拾伍元叁角肆分 （￥551665.34元）。其中措施项目费：￥4538.09元(含安全文明施工费2748.01元）。施工期间需要其他单位配合及办证所需的相关费用,须综合考虑在竞标报价中。竞标人的总报价、措施项目费总报价（含安全文明施工费）和每项清单的投标单价均不得超过招标人发布的相应最高限价，否则按无效竞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各竞标人以竞争性谈判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重庆市房屋建筑与装饰工程计价定额》（CQJZZSDE-2018）、《重庆市建设工程费用定额》（CQFYDE-2018）、《混凝土及砂浆配合比表、施工机械台班定额》（CQPSDE-2018）、《关于适用增值税新税率调整建设工程计价依据的通知》（渝建【2019】143号）及相关配套文件的规定，结合自身实力、市场行情自主合理报价。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采用固定综合单价。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3.措施项目费清单包括施工组织措施项目清单和施工技术措施项目清单两部分。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 施工技术措施项目清单：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4.工程量清单中的项、量、综合单价：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结算时均按采购人提供的暂定价与认定价之间的价差进行调整；若发现投标报价中漏报或少报的，则视为已摊销在其他项目清单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1）根据《关于印发&lt;重庆市建设工程安全文明施工费计取及使用管理规定&gt;的通知》（渝建发[2014]25号）规定、《重庆市城乡建设委员会关于适用增值税新税率调整建设工程计价依据的通知》（渝建发[2019]143号）规定，安全文明施工费由安全施工费、文明施工费、环境保护费及临时设施费组成。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安全文明施工费为暂定金额。《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6.材料采购及报价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（4）材料、设备运输距离由竞标单位根据自身情况及踏勘现场情况自行确定。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7.人工费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 其他说明</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应先到工地踏勘以充分了解工地位置、地质情况、进出场道路、拆迁干扰、储存空间、装卸限制、行车干扰及任何其它足以影响承包价格的情况，任何因忽视或误解工地情况而导致的申请调整价格、索赔或工期延长将不获批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（二）合同价格：本合同价款采用综合单价不变的合同总价。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三、结算原则、</w:t>
      </w:r>
    </w:p>
    <w:p>
      <w:pPr>
        <w:spacing w:line="540" w:lineRule="exact"/>
        <w:ind w:firstLine="482" w:firstLineChars="200"/>
        <w:jc w:val="left"/>
        <w:rPr>
          <w:rFonts w:ascii="宋体" w:hAnsi="宋体" w:cs="宋体"/>
          <w:b/>
          <w:bCs/>
          <w:sz w:val="24"/>
          <w:szCs w:val="24"/>
        </w:rPr>
      </w:pPr>
      <w:r>
        <w:rPr>
          <w:rFonts w:hint="eastAsia" w:ascii="宋体" w:hAnsi="宋体" w:cs="宋体"/>
          <w:b/>
          <w:bCs/>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 结算总价＝分部分项工程量清单综合单价×子项工程量+措施项目费+其他项目费+安全文明施工费+规费+税金+设计变更及新增部分金额+合同约定的其它费用（合同如果没有约定，则去消此项目）</w:t>
      </w:r>
      <w:r>
        <w:rPr>
          <w:rFonts w:hint="eastAsia" w:ascii="宋体" w:hAnsi="宋体" w:cs="宋体"/>
          <w:sz w:val="24"/>
          <w:szCs w:val="24"/>
          <w:lang w:val="en-US" w:eastAsia="zh-CN"/>
        </w:rPr>
        <w:t>-违约金</w:t>
      </w:r>
      <w:r>
        <w:rPr>
          <w:rFonts w:hint="eastAsia" w:ascii="宋体" w:hAnsi="宋体" w:cs="宋体"/>
          <w:sz w:val="24"/>
          <w:szCs w:val="24"/>
        </w:rPr>
        <w:t>。</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实际报价以竞标现场书面报价为准，成交单价将由报价文件（第一轮报价）中的清单价格按照实际报价下浮比例（现场总报价-安全文明施工费和暂列金额（如果有）/报价文件总报价-安全文明施工费和暂列金额（如果有））同比例下浮进行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2.各部分的结算原则如下：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（1）分部分项工程量清单结算价：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本工程分部分项清单中的“余方弃置增运4km”，投标人在报价时按增运4km考虑，如实际外运距离有所增减，结算时按招标人、监理单位等各方（如有跟踪审计单位，则必须有跟踪审计单位签字）核定的弃渣线路的运距进行等比例调整（例：若实际增运运距为3km，则该清单子项结算价为:综合单价投标报价/4*实际方量*实际增运运距3km；若实际增运运距为10km，则该清单子项结算价为:综合单价投标报价/4*实际方量*实际增运运距10km）。运距精确到小数点后一位。</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（2）措施费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A、材料由成交人进行采购，其中工程的主要材料部分采购前需报监理人和采购人核质核价后再行采购，按结算评审审定后价格进行结算；如《重庆工程造价信息》中有的材料，核定价不得高于施工期间《重庆工程造价信息》信息价的算术平均值。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④变更工程量按《重庆市建设工程工程量计算规则》（CQJLGZ-2013）的规定的计量规则计算。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（4）其他项目清单结算金额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②本工程采用专业工程暂估价或暂列金额采购的，结算时按实结算。其中以暂列金额采购的施工内容实施与否由采购人决定。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（6）规费：按投标费率结算，若中标人的投标报价中规费费率高于规定费率，则以规定费率结算。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（7）税金：按投标费率结算，若中标人的投标报价中税金费率高于规定费率，则以规定费率结算。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 本工程所需材料、设备（暂估价、暂列金额除外）由投标人自行承担材料、设备价格涨跌风险，中标后不作调整。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4.本工程结算金额最终以大渡口区结算评审部门评审金额为准。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注：（1）在项目结算评审时，业主单位应先进行初审，再报结算评审。基本收费由业主承担，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400" w:lineRule="exact"/>
        <w:ind w:firstLine="482" w:firstLineChars="200"/>
        <w:rPr>
          <w:rFonts w:ascii="宋体" w:hAnsi="宋体" w:cs="宋体"/>
          <w:b/>
          <w:sz w:val="24"/>
          <w:szCs w:val="24"/>
        </w:rPr>
      </w:pPr>
      <w:r>
        <w:rPr>
          <w:rFonts w:hint="eastAsia" w:ascii="宋体" w:hAnsi="宋体" w:cs="宋体"/>
          <w:b/>
          <w:sz w:val="24"/>
          <w:szCs w:val="24"/>
        </w:rPr>
        <w:t>四、质保期及要求</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1、中标人应在工程完成之日起5个工作日内向采购人递交工程验收申请；本工程的质保期为自工程验收合格之日起2年。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2、在质保期内，中标人在接到采购人通知（包括电话、电邮、传真）后1小时之内应派遣有经验的技术人员到达施工现场，履行保修义务或处理紧急维修工作。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3、在维修质保期内，出现非人为质量问题，中标人应无条件返工。</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4.在质保期结束前，采购人可要求中标人对本工程进行全面检查，如在检查中发现的问题，应予以及时处理和解决，由此产生的一切费用由中标人承担。</w:t>
      </w:r>
    </w:p>
    <w:p>
      <w:pPr>
        <w:spacing w:line="400" w:lineRule="exact"/>
        <w:ind w:firstLine="482" w:firstLineChars="200"/>
        <w:rPr>
          <w:rFonts w:ascii="宋体" w:hAnsi="宋体" w:cs="宋体"/>
          <w:b/>
          <w:sz w:val="24"/>
          <w:szCs w:val="24"/>
        </w:rPr>
      </w:pPr>
      <w:r>
        <w:rPr>
          <w:rFonts w:hint="eastAsia" w:ascii="宋体" w:hAnsi="宋体" w:cs="宋体"/>
          <w:b/>
          <w:sz w:val="24"/>
          <w:szCs w:val="24"/>
        </w:rPr>
        <w:t>五、付款方式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期间甲方不支付工程款，工程竣工并通过电力部门验收合格后一个月内支付合同金额的60%，工程结算评审后1个月内支付至结算金额的97%，余款3%作为质保金待质保期两年满后支付。（质保期从验收合格之日起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bookmarkStart w:id="39" w:name="_Toc344475124"/>
      <w:bookmarkStart w:id="40" w:name="_Toc54278991"/>
    </w:p>
    <w:p>
      <w:pPr>
        <w:pStyle w:val="2"/>
        <w:spacing w:line="400" w:lineRule="exact"/>
        <w:ind w:firstLine="482" w:firstLineChars="200"/>
        <w:rPr>
          <w:rFonts w:ascii="宋体" w:hAnsi="宋体" w:cs="宋体"/>
          <w:sz w:val="24"/>
          <w:szCs w:val="24"/>
        </w:rPr>
      </w:pPr>
      <w:r>
        <w:rPr>
          <w:rFonts w:hint="eastAsia" w:ascii="宋体" w:hAnsi="宋体" w:cs="宋体"/>
          <w:sz w:val="24"/>
          <w:szCs w:val="24"/>
        </w:rPr>
        <w:t>六、</w:t>
      </w:r>
      <w:bookmarkEnd w:id="39"/>
      <w:bookmarkStart w:id="41" w:name="_Toc344475125"/>
      <w:r>
        <w:rPr>
          <w:rFonts w:hint="eastAsia" w:ascii="宋体" w:hAnsi="宋体" w:cs="宋体"/>
          <w:sz w:val="24"/>
          <w:szCs w:val="24"/>
        </w:rPr>
        <w:t>施工安全</w:t>
      </w:r>
      <w:bookmarkEnd w:id="40"/>
    </w:p>
    <w:bookmarkEnd w:id="41"/>
    <w:p>
      <w:pPr>
        <w:spacing w:line="540" w:lineRule="exact"/>
        <w:ind w:firstLine="480" w:firstLineChars="200"/>
        <w:jc w:val="left"/>
        <w:rPr>
          <w:rFonts w:ascii="宋体" w:hAnsi="宋体" w:cs="宋体"/>
          <w:sz w:val="24"/>
          <w:szCs w:val="24"/>
        </w:rPr>
      </w:pPr>
      <w:r>
        <w:rPr>
          <w:rFonts w:hint="eastAsia" w:ascii="宋体" w:hAnsi="宋体" w:cs="宋体"/>
          <w:sz w:val="24"/>
          <w:szCs w:val="24"/>
        </w:rPr>
        <w:t>成交供应商负有安全施工责任，应保证所有现场施工人员及施工区域的人身财产安全。若出现任何安全事故的，由成交供应商承担所有责任。</w:t>
      </w:r>
    </w:p>
    <w:p>
      <w:pPr>
        <w:pStyle w:val="2"/>
        <w:spacing w:line="400" w:lineRule="exact"/>
        <w:ind w:firstLine="482" w:firstLineChars="200"/>
        <w:rPr>
          <w:rFonts w:ascii="宋体" w:hAnsi="宋体" w:cs="宋体"/>
          <w:sz w:val="24"/>
          <w:szCs w:val="24"/>
        </w:rPr>
      </w:pPr>
      <w:bookmarkStart w:id="42" w:name="_Toc54278993"/>
      <w:r>
        <w:rPr>
          <w:rFonts w:hint="eastAsia" w:ascii="宋体" w:hAnsi="宋体" w:cs="宋体"/>
          <w:sz w:val="24"/>
          <w:szCs w:val="24"/>
        </w:rPr>
        <w:t>七、其他</w:t>
      </w:r>
      <w:bookmarkEnd w:id="42"/>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1.施工期间的用水、用电由成交单位自行解决，并承担相应费用。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2.成交单位应做好安全文明施工、做好施工期间的清扫保洁工作。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3.成交单位在施工中应加强附属建筑物及成品保护，如因施工造成损坏的，由成交单位承担由此造成的一切责任。</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7.施工期间安全由成交人全权负责。</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8.采购人有权根据现场具体情况，增减采购招标范围及内容，投标人不得拒绝。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9.成交单位在施工过程中加强对成品的保护，如有损坏，由成交人赔偿。</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10.中标单位如未按合同约定工期完工的（除不可抗力或经采购人同意），对中标单位处</w:t>
      </w:r>
      <w:r>
        <w:rPr>
          <w:rFonts w:hint="eastAsia" w:ascii="宋体" w:hAnsi="宋体" w:cs="宋体"/>
          <w:sz w:val="24"/>
          <w:szCs w:val="24"/>
          <w:lang w:eastAsia="zh-CN"/>
        </w:rPr>
        <w:t>万分之五</w:t>
      </w:r>
      <w:r>
        <w:rPr>
          <w:rFonts w:hint="eastAsia" w:ascii="宋体" w:hAnsi="宋体" w:cs="宋体"/>
          <w:sz w:val="24"/>
          <w:szCs w:val="24"/>
        </w:rPr>
        <w:t>/天的罚款。中标单位逾期竣工验收超过10日的，采购人有权解除合同，造成的经济损失由中标单位承担。中标单位的工程款按实际完成工程量的70%结算，在本工程另行发包竣工结算完毕后30日内给付。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11.发包人有权对设计方案进行优化调整或修改，承包人须积极配合，并不得以此为由要求调整合同约定单价。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12.设计图或清单有疑问、不符或不清楚的，以发包人及设计人解释为准。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13.如因工程需要发包人有权对工程内容、范围等做相应的调整，承包人应无条件服从业主安排且合同约定单价不变。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14.经发包人认质、封样确认后的材料或设备，承包人不得更换。发包人一经发现，将给予2万元/样•次的罚款，发包人可直接从工程款中扣除。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15.施工期间如不服从采购人管理，采购人可根据实际情况按违约处理，并处相应罚款，从结算工程款中扣除。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17.本合同未尽事宜双方协商解决。</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18.本项目不允许分包、转包、挂靠。</w:t>
      </w:r>
    </w:p>
    <w:p>
      <w:pPr>
        <w:spacing w:line="540" w:lineRule="exact"/>
        <w:ind w:firstLine="480" w:firstLineChars="200"/>
        <w:jc w:val="left"/>
        <w:rPr>
          <w:rFonts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8"/>
    </w:p>
    <w:p>
      <w:pPr>
        <w:pStyle w:val="2"/>
        <w:spacing w:line="440" w:lineRule="exact"/>
        <w:rPr>
          <w:rFonts w:ascii="宋体" w:hAnsi="宋体" w:cs="宋体"/>
          <w:sz w:val="24"/>
          <w:szCs w:val="24"/>
        </w:rPr>
      </w:pPr>
      <w:bookmarkStart w:id="43" w:name="_Toc54278995"/>
      <w:r>
        <w:rPr>
          <w:rFonts w:hint="eastAsia" w:ascii="宋体" w:hAnsi="宋体" w:cs="宋体"/>
          <w:sz w:val="24"/>
          <w:szCs w:val="24"/>
        </w:rPr>
        <w:t>一、磋商程序及方法</w:t>
      </w:r>
      <w:bookmarkEnd w:id="43"/>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提供</w:t>
            </w:r>
            <w:r>
              <w:rPr>
                <w:rFonts w:hint="eastAsia" w:ascii="宋体" w:hAnsi="宋体" w:cs="宋体"/>
                <w:sz w:val="21"/>
                <w:szCs w:val="21"/>
                <w:lang w:val="en-US" w:eastAsia="zh-CN"/>
              </w:rPr>
              <w:t>2020年或2021年</w:t>
            </w:r>
            <w:r>
              <w:rPr>
                <w:rFonts w:hint="eastAsia" w:ascii="宋体" w:hAnsi="宋体" w:cs="宋体"/>
                <w:sz w:val="21"/>
                <w:szCs w:val="21"/>
              </w:rPr>
              <w:t>财务状况报告（表）或其基本开户银行出具的资信证明（提供复印件）；</w:t>
            </w:r>
          </w:p>
          <w:p>
            <w:pPr>
              <w:spacing w:line="240" w:lineRule="exact"/>
              <w:rPr>
                <w:rFonts w:ascii="宋体" w:hAnsi="宋体" w:cs="宋体"/>
                <w:sz w:val="21"/>
                <w:szCs w:val="21"/>
              </w:rPr>
            </w:pPr>
            <w:r>
              <w:rPr>
                <w:rFonts w:hint="eastAsia" w:ascii="宋体" w:hAnsi="宋体" w:cs="宋体"/>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p>
            <w:pPr>
              <w:spacing w:line="240" w:lineRule="exact"/>
              <w:rPr>
                <w:rFonts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）或缴纳社会保险的凭据（专用收据或社会保险缴纳清单）。</w:t>
            </w:r>
          </w:p>
          <w:p>
            <w:pPr>
              <w:spacing w:line="240" w:lineRule="exact"/>
              <w:rPr>
                <w:rFonts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noWrap/>
            <w:vAlign w:val="center"/>
          </w:tcPr>
          <w:p>
            <w:pPr>
              <w:spacing w:line="240" w:lineRule="exact"/>
              <w:rPr>
                <w:rFonts w:ascii="宋体" w:hAnsi="宋体" w:cs="宋体"/>
                <w:b/>
                <w:sz w:val="21"/>
                <w:szCs w:val="21"/>
              </w:rPr>
            </w:pPr>
            <w:r>
              <w:rPr>
                <w:rFonts w:hint="eastAsia" w:ascii="宋体" w:hAnsi="宋体" w:cs="宋体"/>
                <w:b/>
                <w:sz w:val="21"/>
                <w:szCs w:val="21"/>
              </w:rPr>
              <w:t>1.供应商提供书面声明（见格式文件）；</w:t>
            </w:r>
          </w:p>
          <w:p>
            <w:pPr>
              <w:spacing w:line="240" w:lineRule="exact"/>
              <w:rPr>
                <w:rFonts w:ascii="宋体" w:hAnsi="宋体" w:cs="宋体"/>
                <w:sz w:val="21"/>
                <w:szCs w:val="21"/>
              </w:rPr>
            </w:pPr>
            <w:r>
              <w:rPr>
                <w:rFonts w:hint="eastAsia" w:ascii="宋体" w:hAnsi="宋体" w:cs="宋体"/>
                <w:b/>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6"/>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2"/>
        <w:spacing w:line="440" w:lineRule="exact"/>
        <w:rPr>
          <w:rFonts w:ascii="宋体" w:hAnsi="宋体" w:cs="宋体"/>
          <w:sz w:val="24"/>
          <w:szCs w:val="24"/>
        </w:rPr>
      </w:pPr>
      <w:bookmarkStart w:id="44" w:name="_Toc54278996"/>
      <w:r>
        <w:rPr>
          <w:rFonts w:hint="eastAsia" w:ascii="宋体" w:hAnsi="宋体" w:cs="宋体"/>
          <w:sz w:val="24"/>
          <w:szCs w:val="24"/>
        </w:rPr>
        <w:t>二、</w:t>
      </w:r>
      <w:bookmarkStart w:id="45" w:name="_Toc342913394"/>
      <w:bookmarkStart w:id="46" w:name="_Toc102227320"/>
      <w:r>
        <w:rPr>
          <w:rFonts w:hint="eastAsia" w:ascii="宋体" w:hAnsi="宋体" w:cs="宋体"/>
          <w:sz w:val="24"/>
          <w:szCs w:val="24"/>
        </w:rPr>
        <w:t>评审标准</w:t>
      </w:r>
      <w:bookmarkEnd w:id="44"/>
      <w:r>
        <w:rPr>
          <w:rFonts w:hint="eastAsia" w:ascii="宋体" w:hAnsi="宋体" w:cs="宋体"/>
          <w:sz w:val="24"/>
          <w:szCs w:val="24"/>
        </w:rPr>
        <w:t>注</w:t>
      </w:r>
    </w:p>
    <w:tbl>
      <w:tblPr>
        <w:tblStyle w:val="12"/>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00"/>
        <w:gridCol w:w="534"/>
        <w:gridCol w:w="53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sz w:val="24"/>
              </w:rPr>
            </w:pPr>
            <w:r>
              <w:rPr>
                <w:rFonts w:hint="eastAsia" w:ascii="宋体" w:hAnsi="宋体" w:cs="宋体"/>
                <w:sz w:val="24"/>
              </w:rPr>
              <w:t>1</w:t>
            </w:r>
          </w:p>
        </w:tc>
        <w:tc>
          <w:tcPr>
            <w:tcW w:w="1134" w:type="dxa"/>
            <w:gridSpan w:val="2"/>
            <w:noWrap/>
            <w:vAlign w:val="center"/>
          </w:tcPr>
          <w:p>
            <w:pPr>
              <w:rPr>
                <w:rFonts w:ascii="宋体" w:hAnsi="宋体" w:cs="宋体"/>
                <w:sz w:val="24"/>
              </w:rPr>
            </w:pPr>
            <w:r>
              <w:rPr>
                <w:rFonts w:hint="eastAsia" w:ascii="宋体" w:hAnsi="宋体" w:cs="宋体"/>
                <w:sz w:val="24"/>
              </w:rPr>
              <w:t>投标报价得分60分（A）</w:t>
            </w:r>
          </w:p>
        </w:tc>
        <w:tc>
          <w:tcPr>
            <w:tcW w:w="5331" w:type="dxa"/>
            <w:noWrap/>
            <w:vAlign w:val="center"/>
          </w:tcPr>
          <w:p>
            <w:pPr>
              <w:rPr>
                <w:rFonts w:ascii="宋体" w:hAnsi="宋体" w:cs="宋体"/>
                <w:sz w:val="24"/>
              </w:rPr>
            </w:pPr>
            <w:r>
              <w:rPr>
                <w:rFonts w:hint="eastAsia" w:ascii="宋体" w:hAnsi="宋体" w:cs="宋体"/>
                <w:sz w:val="24"/>
              </w:rPr>
              <w:t>有效的投标报价中的合价最低价为评标基准价，按照下列公式计算每个的投标价格得分。</w:t>
            </w:r>
          </w:p>
          <w:p>
            <w:pPr>
              <w:rPr>
                <w:rFonts w:ascii="宋体" w:hAnsi="宋体" w:cs="宋体"/>
                <w:sz w:val="24"/>
              </w:rPr>
            </w:pPr>
            <w:r>
              <w:rPr>
                <w:rFonts w:hint="eastAsia" w:ascii="宋体" w:hAnsi="宋体" w:cs="宋体"/>
                <w:sz w:val="24"/>
              </w:rPr>
              <w:t>投标报价得分=（评标基准价/投标报价）×价格权重×100。</w:t>
            </w:r>
          </w:p>
          <w:p>
            <w:pPr>
              <w:rPr>
                <w:rFonts w:ascii="宋体" w:hAnsi="宋体" w:cs="宋体"/>
                <w:sz w:val="24"/>
              </w:rPr>
            </w:pPr>
            <w:r>
              <w:rPr>
                <w:rFonts w:hint="eastAsia" w:ascii="宋体" w:hAnsi="宋体" w:cs="宋体"/>
                <w:sz w:val="24"/>
              </w:rPr>
              <w:t>以上计算取小数点后两位，第三位四舍五入。</w:t>
            </w:r>
          </w:p>
        </w:tc>
        <w:tc>
          <w:tcPr>
            <w:tcW w:w="2342" w:type="dxa"/>
            <w:noWrap/>
            <w:vAlign w:val="center"/>
          </w:tcPr>
          <w:p>
            <w:pPr>
              <w:rPr>
                <w:rFonts w:ascii="宋体" w:hAnsi="宋体" w:cs="宋体"/>
                <w:sz w:val="24"/>
              </w:rPr>
            </w:pPr>
            <w:r>
              <w:rPr>
                <w:rFonts w:hint="eastAsia" w:ascii="宋体" w:hAnsi="宋体" w:cs="宋体"/>
                <w:sz w:val="24"/>
              </w:rPr>
              <w:t>注意：本次项目现场须进行第二次报价（最后报价），以第二次报价计算分值。</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675" w:type="dxa"/>
            <w:vMerge w:val="restart"/>
            <w:noWrap/>
            <w:vAlign w:val="center"/>
          </w:tcPr>
          <w:p>
            <w:pPr>
              <w:rPr>
                <w:rFonts w:ascii="宋体" w:hAnsi="宋体" w:cs="宋体"/>
                <w:sz w:val="24"/>
              </w:rPr>
            </w:pPr>
            <w:r>
              <w:rPr>
                <w:rFonts w:hint="eastAsia" w:ascii="宋体" w:hAnsi="宋体" w:cs="宋体"/>
                <w:sz w:val="24"/>
              </w:rPr>
              <w:t>2</w:t>
            </w:r>
          </w:p>
        </w:tc>
        <w:tc>
          <w:tcPr>
            <w:tcW w:w="600" w:type="dxa"/>
            <w:vMerge w:val="restart"/>
            <w:tcBorders>
              <w:top w:val="nil"/>
            </w:tcBorders>
            <w:noWrap/>
            <w:vAlign w:val="center"/>
          </w:tcPr>
          <w:p>
            <w:pPr>
              <w:rPr>
                <w:rFonts w:ascii="宋体" w:hAnsi="宋体" w:cs="宋体"/>
                <w:sz w:val="24"/>
              </w:rPr>
            </w:pPr>
            <w:r>
              <w:rPr>
                <w:rFonts w:hint="eastAsia" w:ascii="宋体" w:hAnsi="宋体" w:cs="宋体"/>
                <w:sz w:val="24"/>
              </w:rPr>
              <w:t>技术部分(B)30分</w:t>
            </w:r>
          </w:p>
        </w:tc>
        <w:tc>
          <w:tcPr>
            <w:tcW w:w="534" w:type="dxa"/>
            <w:vMerge w:val="restart"/>
            <w:tcBorders>
              <w:top w:val="nil"/>
            </w:tcBorders>
            <w:noWrap/>
            <w:vAlign w:val="center"/>
          </w:tcPr>
          <w:p>
            <w:pPr>
              <w:rPr>
                <w:rFonts w:ascii="宋体" w:hAnsi="宋体" w:cs="宋体"/>
                <w:sz w:val="24"/>
              </w:rPr>
            </w:pPr>
            <w:r>
              <w:rPr>
                <w:rFonts w:hint="eastAsia" w:ascii="宋体" w:hAnsi="宋体" w:cs="宋体"/>
                <w:sz w:val="24"/>
              </w:rPr>
              <w:t>施工组织设计</w:t>
            </w:r>
          </w:p>
        </w:tc>
        <w:tc>
          <w:tcPr>
            <w:tcW w:w="5331" w:type="dxa"/>
            <w:noWrap/>
            <w:vAlign w:val="center"/>
          </w:tcPr>
          <w:p>
            <w:pPr>
              <w:rPr>
                <w:rFonts w:ascii="宋体" w:hAnsi="宋体" w:cs="宋体"/>
                <w:sz w:val="24"/>
              </w:rPr>
            </w:pPr>
            <w:r>
              <w:rPr>
                <w:rFonts w:hint="eastAsia" w:ascii="宋体" w:hAnsi="宋体" w:cs="宋体"/>
                <w:sz w:val="24"/>
                <w:szCs w:val="22"/>
              </w:rPr>
              <w:t>内容完整性和编制水平：对项目总体认识全面深刻，论述完整清晰，总体组织符合实际、总体设计符合规范，总体计划合理，综合措施科学。</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施工方案与技术措施：对工程认识深刻、表述全面准确，施工方案科学、系统、安全、经济，可操作性强，保障措施得力，对施工关键技术、工艺把握准确，应用到位，阐释清晰。</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质量管理体系与措施：质量管理体系完善、健全，工程质量保证计划全面细致、结合实际、措施具体，责任到人。</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安全管理体系与措施：安全管理体系与措施完善、健全，根据实际情况制定安全文明施工保证计划全面周到、完整，关键地点、工序、环节控制保障措施得力，责任措施具体。</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环境保护管理体系措施：环境保护管理体系措施完善、健全，根据实际情况制定环境保护管理体系，保证计划全面周到、完整，关键地点、工序、环节控制保障措施得力，责任措施具体。</w:t>
            </w:r>
          </w:p>
        </w:tc>
        <w:tc>
          <w:tcPr>
            <w:tcW w:w="2342" w:type="dxa"/>
            <w:noWrap/>
            <w:vAlign w:val="center"/>
          </w:tcPr>
          <w:p>
            <w:pPr>
              <w:jc w:val="center"/>
              <w:rPr>
                <w:rFonts w:ascii="宋体" w:hAnsi="宋体" w:cs="宋体"/>
                <w:sz w:val="24"/>
              </w:rPr>
            </w:pPr>
            <w:r>
              <w:rPr>
                <w:rFonts w:hint="eastAsia" w:ascii="宋体" w:hAnsi="宋体" w:cs="宋体"/>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工程进度计划与措施：施工进度计划编制合理、可行，关键线路清晰、准确、完整，关键节点控制措施得力、可操作性强，保证措施可靠。</w:t>
            </w:r>
          </w:p>
        </w:tc>
        <w:tc>
          <w:tcPr>
            <w:tcW w:w="2342" w:type="dxa"/>
            <w:noWrap/>
            <w:vAlign w:val="center"/>
          </w:tcPr>
          <w:p>
            <w:pPr>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tcBorders>
              <w:bottom w:val="single" w:color="auto" w:sz="4" w:space="0"/>
            </w:tcBorders>
            <w:noWrap/>
            <w:vAlign w:val="center"/>
          </w:tcPr>
          <w:p>
            <w:pPr>
              <w:rPr>
                <w:rFonts w:ascii="宋体" w:hAnsi="宋体" w:cs="宋体"/>
                <w:sz w:val="24"/>
              </w:rPr>
            </w:pPr>
          </w:p>
        </w:tc>
        <w:tc>
          <w:tcPr>
            <w:tcW w:w="534" w:type="dxa"/>
            <w:vMerge w:val="continue"/>
            <w:tcBorders>
              <w:bottom w:val="single" w:color="auto" w:sz="4" w:space="0"/>
            </w:tcBorders>
            <w:noWrap/>
            <w:vAlign w:val="center"/>
          </w:tcPr>
          <w:p>
            <w:pPr>
              <w:rPr>
                <w:rFonts w:ascii="宋体" w:hAnsi="宋体" w:cs="宋体"/>
                <w:sz w:val="24"/>
              </w:rPr>
            </w:pPr>
          </w:p>
        </w:tc>
        <w:tc>
          <w:tcPr>
            <w:tcW w:w="5331" w:type="dxa"/>
            <w:noWrap/>
            <w:vAlign w:val="center"/>
          </w:tcPr>
          <w:p>
            <w:pPr>
              <w:rPr>
                <w:rFonts w:ascii="宋体" w:hAnsi="宋体" w:cs="宋体"/>
                <w:sz w:val="24"/>
                <w:szCs w:val="22"/>
              </w:rPr>
            </w:pPr>
            <w:r>
              <w:rPr>
                <w:rFonts w:hint="eastAsia" w:ascii="宋体" w:hAnsi="宋体" w:cs="宋体"/>
                <w:sz w:val="24"/>
                <w:szCs w:val="22"/>
              </w:rPr>
              <w:t>资源配备计划与先进性：机械设备、劳动力投入能满足施工需要，投入人员、计划与进度计划协调，调配计划合理，保证措施具体。</w:t>
            </w:r>
          </w:p>
        </w:tc>
        <w:tc>
          <w:tcPr>
            <w:tcW w:w="2342" w:type="dxa"/>
            <w:noWrap/>
            <w:vAlign w:val="center"/>
          </w:tcPr>
          <w:p>
            <w:pPr>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noWrap/>
            <w:vAlign w:val="center"/>
          </w:tcPr>
          <w:p>
            <w:pPr>
              <w:rPr>
                <w:rFonts w:ascii="宋体" w:hAnsi="宋体" w:cs="宋体"/>
                <w:sz w:val="24"/>
                <w:szCs w:val="22"/>
              </w:rPr>
            </w:pPr>
            <w:r>
              <w:rPr>
                <w:rFonts w:hint="eastAsia" w:ascii="宋体" w:hAnsi="宋体" w:cs="宋体"/>
                <w:sz w:val="24"/>
                <w:szCs w:val="22"/>
              </w:rPr>
              <w:t>3</w:t>
            </w:r>
          </w:p>
        </w:tc>
        <w:tc>
          <w:tcPr>
            <w:tcW w:w="1134" w:type="dxa"/>
            <w:gridSpan w:val="2"/>
            <w:noWrap/>
            <w:vAlign w:val="center"/>
          </w:tcPr>
          <w:p>
            <w:pPr>
              <w:rPr>
                <w:rFonts w:ascii="宋体" w:hAnsi="宋体" w:cs="宋体"/>
                <w:sz w:val="24"/>
                <w:szCs w:val="22"/>
              </w:rPr>
            </w:pPr>
            <w:r>
              <w:rPr>
                <w:rFonts w:hint="eastAsia" w:ascii="宋体" w:hAnsi="宋体" w:cs="宋体"/>
                <w:sz w:val="24"/>
                <w:szCs w:val="22"/>
              </w:rPr>
              <w:t>商务部分10分</w:t>
            </w:r>
          </w:p>
        </w:tc>
        <w:tc>
          <w:tcPr>
            <w:tcW w:w="5331" w:type="dxa"/>
            <w:tcBorders>
              <w:top w:val="single" w:color="auto" w:sz="4" w:space="0"/>
              <w:bottom w:val="single" w:color="auto" w:sz="4" w:space="0"/>
            </w:tcBorders>
            <w:noWrap/>
            <w:vAlign w:val="center"/>
          </w:tcPr>
          <w:p>
            <w:pPr>
              <w:rPr>
                <w:rFonts w:ascii="宋体" w:hAnsi="宋体" w:cs="宋体"/>
                <w:sz w:val="24"/>
              </w:rPr>
            </w:pPr>
            <w:r>
              <w:rPr>
                <w:rFonts w:hint="eastAsia" w:ascii="宋体" w:hAnsi="宋体" w:cs="宋体"/>
                <w:sz w:val="24"/>
              </w:rPr>
              <w:t>在满足特定资格条件的基础上，每</w:t>
            </w:r>
            <w:r>
              <w:rPr>
                <w:rFonts w:hint="eastAsia" w:ascii="宋体" w:hAnsi="宋体" w:cs="宋体"/>
                <w:sz w:val="24"/>
                <w:lang w:eastAsia="zh-CN"/>
              </w:rPr>
              <w:t>多</w:t>
            </w:r>
            <w:r>
              <w:rPr>
                <w:rFonts w:hint="eastAsia" w:ascii="宋体" w:hAnsi="宋体" w:cs="宋体"/>
                <w:sz w:val="24"/>
              </w:rPr>
              <w:t>提供一个配电工程50万元以上的施工合同业绩得5分，最多得10分。</w:t>
            </w:r>
          </w:p>
        </w:tc>
        <w:tc>
          <w:tcPr>
            <w:tcW w:w="2342" w:type="dxa"/>
            <w:tcBorders>
              <w:top w:val="single" w:color="auto" w:sz="4" w:space="0"/>
              <w:bottom w:val="single" w:color="auto" w:sz="4" w:space="0"/>
            </w:tcBorders>
            <w:noWrap/>
            <w:vAlign w:val="center"/>
          </w:tcPr>
          <w:p>
            <w:pPr>
              <w:spacing w:line="540" w:lineRule="exact"/>
              <w:jc w:val="center"/>
              <w:rPr>
                <w:rFonts w:ascii="宋体" w:hAnsi="宋体" w:cs="宋体"/>
                <w:sz w:val="24"/>
              </w:rPr>
            </w:pPr>
            <w:r>
              <w:rPr>
                <w:rFonts w:hint="eastAsia" w:ascii="宋体" w:hAnsi="宋体" w:cs="宋体"/>
                <w:sz w:val="24"/>
              </w:rPr>
              <w:t>须提供该业绩施工合同料复印件并加盖投标人公章。若上述资料无法体现业绩规模、类别特征的，应提供业主证明。不满足上述要求的业绩无效。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noWrap/>
            <w:vAlign w:val="center"/>
          </w:tcPr>
          <w:p>
            <w:pPr>
              <w:spacing w:line="540" w:lineRule="exact"/>
              <w:rPr>
                <w:rFonts w:ascii="宋体" w:hAnsi="宋体" w:cs="宋体"/>
                <w:sz w:val="24"/>
              </w:rPr>
            </w:pPr>
            <w:r>
              <w:rPr>
                <w:rFonts w:hint="eastAsia" w:ascii="宋体" w:hAnsi="宋体" w:cs="宋体"/>
                <w:sz w:val="24"/>
              </w:rPr>
              <w:t>4</w:t>
            </w:r>
          </w:p>
        </w:tc>
        <w:tc>
          <w:tcPr>
            <w:tcW w:w="1134" w:type="dxa"/>
            <w:gridSpan w:val="2"/>
            <w:noWrap/>
            <w:vAlign w:val="center"/>
          </w:tcPr>
          <w:p>
            <w:pPr>
              <w:jc w:val="left"/>
              <w:rPr>
                <w:rFonts w:ascii="宋体" w:hAnsi="宋体" w:cs="宋体"/>
                <w:sz w:val="24"/>
              </w:rPr>
            </w:pPr>
            <w:r>
              <w:rPr>
                <w:rFonts w:hint="eastAsia" w:ascii="宋体" w:hAnsi="宋体" w:cs="宋体"/>
                <w:sz w:val="24"/>
              </w:rPr>
              <w:t>政策性加分（5分）</w:t>
            </w:r>
          </w:p>
        </w:tc>
        <w:tc>
          <w:tcPr>
            <w:tcW w:w="5331" w:type="dxa"/>
            <w:tcBorders>
              <w:top w:val="single" w:color="auto" w:sz="4" w:space="0"/>
            </w:tcBorders>
            <w:noWrap/>
            <w:vAlign w:val="center"/>
          </w:tcPr>
          <w:p>
            <w:pPr>
              <w:spacing w:line="540" w:lineRule="exact"/>
              <w:rPr>
                <w:rFonts w:ascii="宋体" w:hAnsi="宋体" w:cs="宋体"/>
                <w:sz w:val="24"/>
                <w:szCs w:val="24"/>
              </w:rPr>
            </w:pPr>
            <w:r>
              <w:rPr>
                <w:rFonts w:hint="eastAsia" w:ascii="宋体" w:hAnsi="宋体" w:cs="宋体"/>
                <w:sz w:val="24"/>
                <w:szCs w:val="24"/>
              </w:rPr>
              <w:t>1.投标产品属于《财政部 发展改革委关于印发节能产品政府采购品目清单的通知》（财库〔2019〕19号）范围内的节能产品，且“节能产品政府采购品目清单”中未标注“★”的，有一款得0.5分，最多得2分（清单中以“★”标注为政府强制采购的节能产品）。</w:t>
            </w:r>
          </w:p>
          <w:p>
            <w:pPr>
              <w:spacing w:line="540" w:lineRule="exact"/>
              <w:rPr>
                <w:rFonts w:ascii="宋体" w:hAnsi="宋体" w:cs="宋体"/>
                <w:sz w:val="24"/>
                <w:szCs w:val="24"/>
              </w:rPr>
            </w:pPr>
            <w:r>
              <w:rPr>
                <w:rFonts w:hint="eastAsia" w:ascii="宋体" w:hAnsi="宋体" w:cs="宋体"/>
                <w:sz w:val="24"/>
                <w:szCs w:val="24"/>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540" w:lineRule="exact"/>
              <w:rPr>
                <w:rFonts w:ascii="宋体" w:hAnsi="宋体" w:cs="宋体"/>
                <w:sz w:val="24"/>
                <w:szCs w:val="24"/>
              </w:rPr>
            </w:pPr>
            <w:r>
              <w:rPr>
                <w:rFonts w:hint="eastAsia" w:ascii="宋体" w:hAnsi="宋体" w:cs="宋体"/>
                <w:sz w:val="24"/>
                <w:szCs w:val="24"/>
              </w:rPr>
              <w:t>2.投标产品属于《财政部 生态环境部关于印发环境标志产品政府采购品目清单的通知》（财库〔2019〕18号）范围内的环境标志产品的，有一款得0.5分，最多得2分。</w:t>
            </w:r>
          </w:p>
          <w:p>
            <w:pPr>
              <w:spacing w:line="540" w:lineRule="exact"/>
              <w:rPr>
                <w:rFonts w:ascii="宋体" w:hAnsi="宋体" w:cs="宋体"/>
                <w:sz w:val="24"/>
                <w:szCs w:val="24"/>
              </w:rPr>
            </w:pPr>
            <w:r>
              <w:rPr>
                <w:rFonts w:hint="eastAsia" w:ascii="宋体" w:hAnsi="宋体" w:cs="宋体"/>
                <w:sz w:val="24"/>
                <w:szCs w:val="24"/>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rPr>
                <w:rFonts w:ascii="宋体" w:hAnsi="宋体" w:cs="宋体"/>
                <w:sz w:val="24"/>
                <w:szCs w:val="24"/>
              </w:rPr>
            </w:pPr>
            <w:r>
              <w:rPr>
                <w:rFonts w:hint="eastAsia" w:ascii="宋体" w:hAnsi="宋体" w:cs="宋体"/>
                <w:sz w:val="24"/>
                <w:szCs w:val="24"/>
              </w:rPr>
              <w:t>3.所投分包的所有投标产品的原产地在西部地区的，得1分。</w:t>
            </w:r>
          </w:p>
        </w:tc>
        <w:tc>
          <w:tcPr>
            <w:tcW w:w="2342" w:type="dxa"/>
            <w:tcBorders>
              <w:top w:val="single" w:color="auto" w:sz="4" w:space="0"/>
            </w:tcBorders>
            <w:noWrap/>
            <w:vAlign w:val="center"/>
          </w:tcPr>
          <w:p>
            <w:pPr>
              <w:spacing w:line="540" w:lineRule="exact"/>
              <w:jc w:val="center"/>
              <w:rPr>
                <w:rFonts w:ascii="宋体" w:hAnsi="宋体" w:cs="宋体"/>
                <w:sz w:val="24"/>
              </w:rPr>
            </w:pPr>
          </w:p>
        </w:tc>
      </w:tr>
    </w:tbl>
    <w:p>
      <w:pPr>
        <w:rPr>
          <w:rFonts w:ascii="宋体" w:hAnsi="宋体" w:cs="宋体"/>
        </w:rPr>
      </w:pPr>
    </w:p>
    <w:p>
      <w:pPr>
        <w:snapToGrid w:val="0"/>
        <w:spacing w:line="360" w:lineRule="auto"/>
        <w:ind w:firstLine="465"/>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3"/>
          <w:sz w:val="16"/>
          <w:szCs w:val="24"/>
        </w:rPr>
        <w:instrText xml:space="preserve">3</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1.对小微型企业给予3%的扣除，以扣除后的报价参与评审。</w:t>
      </w:r>
    </w:p>
    <w:p>
      <w:pPr>
        <w:snapToGrid w:val="0"/>
        <w:spacing w:line="360" w:lineRule="auto"/>
        <w:ind w:firstLine="465"/>
        <w:rPr>
          <w:rFonts w:ascii="宋体" w:hAnsi="宋体" w:cs="宋体"/>
          <w:sz w:val="24"/>
          <w:szCs w:val="24"/>
        </w:rPr>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2"/>
        <w:spacing w:line="360" w:lineRule="auto"/>
        <w:rPr>
          <w:rFonts w:ascii="宋体" w:hAnsi="宋体" w:cs="宋体"/>
          <w:sz w:val="24"/>
          <w:szCs w:val="24"/>
        </w:rPr>
      </w:pPr>
      <w:bookmarkStart w:id="47" w:name="_Toc54278997"/>
      <w:r>
        <w:rPr>
          <w:rFonts w:hint="eastAsia" w:ascii="宋体" w:hAnsi="宋体" w:cs="宋体"/>
          <w:sz w:val="24"/>
          <w:szCs w:val="24"/>
        </w:rPr>
        <w:t>三、无效响应</w:t>
      </w:r>
      <w:bookmarkEnd w:id="47"/>
    </w:p>
    <w:p>
      <w:pPr>
        <w:snapToGrid w:val="0"/>
        <w:spacing w:line="360" w:lineRule="auto"/>
        <w:ind w:firstLine="465"/>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（一）供应商不符合规定的基本资格条件或特定资格条件的；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（二）供应商的法定代表人或其授权代表未参加磋商；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（三）供应商所提交的响应文件不按第七篇“响应文件编制要求”规定签字、盖章；</w:t>
      </w:r>
    </w:p>
    <w:p>
      <w:pPr>
        <w:snapToGrid w:val="0"/>
        <w:spacing w:line="360" w:lineRule="auto"/>
        <w:ind w:firstLine="465"/>
        <w:rPr>
          <w:rFonts w:ascii="宋体" w:hAnsi="宋体" w:cs="宋体"/>
          <w:sz w:val="24"/>
          <w:szCs w:val="24"/>
        </w:rPr>
      </w:pPr>
      <w:r>
        <w:rPr>
          <w:rFonts w:hint="eastAsia" w:ascii="宋体" w:hAnsi="宋体" w:cs="宋体"/>
          <w:sz w:val="24"/>
          <w:szCs w:val="24"/>
        </w:rPr>
        <w:t>（四）供应商的最后报价超过采购预算或最高限价的；</w:t>
      </w:r>
    </w:p>
    <w:p>
      <w:pPr>
        <w:snapToGrid w:val="0"/>
        <w:spacing w:line="360" w:lineRule="auto"/>
        <w:ind w:firstLine="465"/>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（十）供应商以联合体形式参与磋商的；</w:t>
      </w:r>
    </w:p>
    <w:p>
      <w:pPr>
        <w:snapToGrid w:val="0"/>
        <w:spacing w:line="360" w:lineRule="auto"/>
        <w:ind w:firstLine="465"/>
        <w:rPr>
          <w:rFonts w:ascii="宋体" w:hAnsi="宋体" w:cs="宋体"/>
          <w:sz w:val="24"/>
          <w:szCs w:val="24"/>
        </w:rPr>
      </w:pPr>
      <w:r>
        <w:rPr>
          <w:rFonts w:hint="eastAsia" w:ascii="宋体" w:hAnsi="宋体" w:cs="宋体"/>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sz w:val="24"/>
          <w:szCs w:val="24"/>
        </w:rPr>
      </w:pPr>
      <w:r>
        <w:rPr>
          <w:rFonts w:hint="eastAsia" w:ascii="宋体" w:hAnsi="宋体" w:cs="宋体"/>
          <w:sz w:val="24"/>
          <w:szCs w:val="24"/>
        </w:rPr>
        <w:t>（十二）本磋商文件规定的其它情形。</w:t>
      </w:r>
    </w:p>
    <w:p>
      <w:pPr>
        <w:pStyle w:val="2"/>
        <w:spacing w:line="360" w:lineRule="auto"/>
        <w:rPr>
          <w:rFonts w:ascii="宋体" w:hAnsi="宋体" w:cs="宋体"/>
          <w:sz w:val="24"/>
          <w:szCs w:val="24"/>
        </w:rPr>
      </w:pPr>
      <w:bookmarkStart w:id="48" w:name="_Toc54278998"/>
      <w:r>
        <w:rPr>
          <w:rFonts w:hint="eastAsia" w:ascii="宋体" w:hAnsi="宋体" w:cs="宋体"/>
          <w:sz w:val="24"/>
          <w:szCs w:val="24"/>
        </w:rPr>
        <w:t>四、</w:t>
      </w:r>
      <w:bookmarkEnd w:id="45"/>
      <w:bookmarkEnd w:id="46"/>
      <w:r>
        <w:rPr>
          <w:rFonts w:hint="eastAsia" w:ascii="宋体" w:hAnsi="宋体" w:cs="宋体"/>
          <w:sz w:val="24"/>
          <w:szCs w:val="24"/>
        </w:rPr>
        <w:t>采购终止</w:t>
      </w:r>
      <w:bookmarkEnd w:id="48"/>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Cs w:val="30"/>
        </w:rPr>
      </w:pPr>
      <w:bookmarkStart w:id="49" w:name="_Toc54278999"/>
      <w:bookmarkStart w:id="50" w:name="_Toc102227313"/>
      <w:r>
        <w:rPr>
          <w:rFonts w:hint="eastAsia" w:ascii="宋体" w:hAnsi="宋体" w:eastAsia="宋体" w:cs="宋体"/>
          <w:b w:val="0"/>
          <w:sz w:val="36"/>
          <w:szCs w:val="30"/>
        </w:rPr>
        <w:t>第五篇  供应商须知</w:t>
      </w:r>
      <w:bookmarkEnd w:id="49"/>
      <w:bookmarkEnd w:id="50"/>
    </w:p>
    <w:p>
      <w:pPr>
        <w:pStyle w:val="2"/>
        <w:spacing w:line="360" w:lineRule="auto"/>
        <w:rPr>
          <w:rFonts w:ascii="宋体" w:hAnsi="宋体" w:cs="宋体"/>
          <w:sz w:val="24"/>
          <w:szCs w:val="24"/>
        </w:rPr>
      </w:pPr>
      <w:bookmarkStart w:id="51" w:name="_Toc342913389"/>
      <w:bookmarkStart w:id="52" w:name="_Toc54279000"/>
      <w:r>
        <w:rPr>
          <w:rFonts w:hint="eastAsia" w:ascii="宋体" w:hAnsi="宋体" w:cs="宋体"/>
          <w:sz w:val="24"/>
          <w:szCs w:val="24"/>
        </w:rPr>
        <w:t>一、磋商费用</w:t>
      </w:r>
      <w:bookmarkEnd w:id="51"/>
      <w:bookmarkEnd w:id="52"/>
    </w:p>
    <w:p>
      <w:pPr>
        <w:pStyle w:val="17"/>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line="360" w:lineRule="auto"/>
        <w:rPr>
          <w:rFonts w:ascii="宋体" w:hAnsi="宋体" w:cs="宋体"/>
          <w:sz w:val="24"/>
          <w:szCs w:val="24"/>
        </w:rPr>
      </w:pPr>
      <w:bookmarkStart w:id="53" w:name="_Toc54279001"/>
      <w:bookmarkStart w:id="54" w:name="_Toc342913391"/>
      <w:r>
        <w:rPr>
          <w:rFonts w:hint="eastAsia" w:ascii="宋体" w:hAnsi="宋体" w:cs="宋体"/>
          <w:sz w:val="24"/>
          <w:szCs w:val="24"/>
        </w:rPr>
        <w:t>二、竞争性磋商文件</w:t>
      </w:r>
      <w:bookmarkEnd w:id="53"/>
      <w:bookmarkEnd w:id="54"/>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55" w:name="_Toc318159160"/>
      <w:bookmarkStart w:id="56" w:name="_Toc318159349"/>
      <w:bookmarkStart w:id="57" w:name="_Toc318159780"/>
      <w:bookmarkStart w:id="58" w:name="_Toc318166429"/>
      <w:r>
        <w:rPr>
          <w:rFonts w:hint="eastAsia" w:ascii="宋体" w:hAnsi="宋体" w:cs="宋体"/>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bookmarkEnd w:id="55"/>
    <w:bookmarkEnd w:id="56"/>
    <w:bookmarkEnd w:id="57"/>
    <w:bookmarkEnd w:id="58"/>
    <w:p>
      <w:pPr>
        <w:pStyle w:val="2"/>
        <w:spacing w:line="360" w:lineRule="auto"/>
        <w:rPr>
          <w:rFonts w:ascii="宋体" w:hAnsi="宋体" w:cs="宋体"/>
          <w:sz w:val="24"/>
          <w:szCs w:val="24"/>
        </w:rPr>
      </w:pPr>
      <w:bookmarkStart w:id="59" w:name="_Toc102227318"/>
      <w:bookmarkStart w:id="60" w:name="_Toc54279002"/>
      <w:bookmarkStart w:id="61" w:name="_Toc342913392"/>
      <w:bookmarkStart w:id="62" w:name="_Toc179714297"/>
      <w:r>
        <w:rPr>
          <w:rFonts w:hint="eastAsia" w:ascii="宋体" w:hAnsi="宋体" w:cs="宋体"/>
          <w:sz w:val="24"/>
          <w:szCs w:val="24"/>
        </w:rPr>
        <w:t>三、磋商要求</w:t>
      </w:r>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sz w:val="24"/>
        </w:rPr>
      </w:pPr>
      <w:r>
        <w:rPr>
          <w:rFonts w:hint="eastAsia" w:ascii="宋体" w:hAnsi="宋体" w:cs="宋体"/>
          <w:sz w:val="24"/>
        </w:rPr>
        <w:t>1.2封套的封口处应加盖供应商公章或由法定代表人授权代表签字。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各个供应商应当派1-2名代表参与磋商，至少1人应为法定代表人或具有法定代表人授权委托书的授权代表。</w:t>
      </w:r>
    </w:p>
    <w:p>
      <w:pPr>
        <w:pStyle w:val="2"/>
        <w:spacing w:line="360" w:lineRule="auto"/>
        <w:rPr>
          <w:rFonts w:ascii="宋体" w:hAnsi="宋体" w:cs="宋体"/>
          <w:sz w:val="24"/>
          <w:szCs w:val="24"/>
        </w:rPr>
      </w:pPr>
      <w:bookmarkStart w:id="63" w:name="_Toc54279003"/>
      <w:r>
        <w:rPr>
          <w:rFonts w:hint="eastAsia" w:ascii="宋体" w:hAnsi="宋体" w:cs="宋体"/>
          <w:sz w:val="24"/>
          <w:szCs w:val="24"/>
        </w:rPr>
        <w:t>四、成交供应商的确认和变更</w:t>
      </w:r>
      <w:bookmarkEnd w:id="6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2"/>
        <w:spacing w:line="360" w:lineRule="auto"/>
        <w:rPr>
          <w:rFonts w:ascii="宋体" w:hAnsi="宋体" w:cs="宋体"/>
          <w:sz w:val="24"/>
          <w:szCs w:val="24"/>
        </w:rPr>
      </w:pPr>
      <w:bookmarkStart w:id="64" w:name="_Toc102227321"/>
      <w:bookmarkStart w:id="65" w:name="_Toc342913395"/>
      <w:bookmarkStart w:id="66" w:name="_Toc54279004"/>
      <w:r>
        <w:rPr>
          <w:rFonts w:hint="eastAsia" w:ascii="宋体" w:hAnsi="宋体" w:cs="宋体"/>
          <w:sz w:val="24"/>
          <w:szCs w:val="24"/>
        </w:rPr>
        <w:t>五、成交通知</w:t>
      </w:r>
      <w:bookmarkEnd w:id="64"/>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w:t>
      </w:r>
      <w:r>
        <w:rPr>
          <w:rFonts w:hint="eastAsia" w:ascii="宋体" w:hAnsi="宋体" w:cs="宋体"/>
          <w:b/>
          <w:sz w:val="24"/>
          <w:szCs w:val="24"/>
          <w:u w:val="single"/>
          <w:lang w:eastAsia="zh-CN"/>
        </w:rPr>
        <w:t>采购人处</w:t>
      </w:r>
      <w:r>
        <w:rPr>
          <w:rFonts w:hint="eastAsia" w:ascii="宋体" w:hAnsi="宋体" w:cs="宋体"/>
          <w:b/>
          <w:sz w:val="24"/>
          <w:szCs w:val="24"/>
          <w:u w:val="single"/>
        </w:rPr>
        <w:t>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line="360" w:lineRule="auto"/>
        <w:rPr>
          <w:rFonts w:ascii="宋体" w:hAnsi="宋体" w:cs="宋体"/>
          <w:sz w:val="24"/>
          <w:szCs w:val="24"/>
        </w:rPr>
      </w:pPr>
      <w:bookmarkStart w:id="67" w:name="_Toc54279005"/>
      <w:r>
        <w:rPr>
          <w:rFonts w:hint="eastAsia" w:ascii="宋体" w:hAnsi="宋体" w:cs="宋体"/>
          <w:sz w:val="24"/>
          <w:szCs w:val="24"/>
        </w:rPr>
        <w:t>六、关于质疑和投诉</w:t>
      </w:r>
      <w:bookmarkEnd w:id="67"/>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line="360" w:lineRule="auto"/>
        <w:rPr>
          <w:rFonts w:ascii="宋体" w:hAnsi="宋体" w:cs="宋体"/>
          <w:sz w:val="24"/>
          <w:szCs w:val="24"/>
        </w:rPr>
      </w:pPr>
      <w:bookmarkStart w:id="68" w:name="_Toc102227322"/>
      <w:bookmarkStart w:id="69" w:name="_Toc342913396"/>
      <w:bookmarkStart w:id="70" w:name="_Toc54279008"/>
      <w:bookmarkStart w:id="71" w:name="_Toc11641055"/>
      <w:bookmarkStart w:id="72" w:name="_Toc12789059"/>
      <w:r>
        <w:rPr>
          <w:rFonts w:hint="eastAsia" w:ascii="宋体" w:hAnsi="宋体" w:cs="宋体"/>
          <w:sz w:val="24"/>
          <w:szCs w:val="24"/>
        </w:rPr>
        <w:t>七、签订</w:t>
      </w:r>
      <w:bookmarkEnd w:id="68"/>
      <w:r>
        <w:rPr>
          <w:rFonts w:hint="eastAsia" w:ascii="宋体" w:hAnsi="宋体" w:cs="宋体"/>
          <w:sz w:val="24"/>
          <w:szCs w:val="24"/>
        </w:rPr>
        <w:t>合同</w:t>
      </w:r>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2"/>
        <w:spacing w:line="360" w:lineRule="auto"/>
        <w:rPr>
          <w:rFonts w:ascii="宋体" w:hAnsi="宋体" w:cs="宋体"/>
          <w:sz w:val="24"/>
        </w:rPr>
      </w:pPr>
      <w:bookmarkStart w:id="73" w:name="_Toc8666679"/>
      <w:bookmarkStart w:id="74" w:name="_Toc16931_WPSOffice_Level2"/>
      <w:bookmarkStart w:id="75" w:name="_Toc19576_WPSOffice_Level2"/>
      <w:bookmarkStart w:id="76" w:name="_Toc3855"/>
      <w:r>
        <w:rPr>
          <w:rFonts w:hint="eastAsia" w:ascii="宋体" w:hAnsi="宋体" w:cs="宋体"/>
          <w:sz w:val="24"/>
          <w:szCs w:val="24"/>
        </w:rPr>
        <w:t>八、</w:t>
      </w:r>
      <w:bookmarkEnd w:id="73"/>
      <w:bookmarkEnd w:id="74"/>
      <w:bookmarkEnd w:id="75"/>
      <w:bookmarkEnd w:id="76"/>
      <w:bookmarkStart w:id="77" w:name="_Toc14780"/>
      <w:bookmarkStart w:id="78" w:name="_Toc54279009"/>
      <w:r>
        <w:rPr>
          <w:rFonts w:hint="eastAsia" w:ascii="宋体" w:hAnsi="宋体" w:cs="宋体"/>
          <w:sz w:val="24"/>
        </w:rPr>
        <w:t>政府采购信用融资</w:t>
      </w:r>
      <w:bookmarkEnd w:id="77"/>
      <w:bookmarkEnd w:id="78"/>
    </w:p>
    <w:p>
      <w:pPr>
        <w:spacing w:line="360" w:lineRule="auto"/>
        <w:ind w:firstLine="480" w:firstLineChars="200"/>
        <w:rPr>
          <w:rFonts w:ascii="宋体" w:hAnsi="宋体" w:cs="宋体"/>
          <w:sz w:val="24"/>
          <w:szCs w:val="24"/>
        </w:rPr>
      </w:pPr>
      <w:r>
        <w:rPr>
          <w:rFonts w:hint="eastAsia" w:ascii="宋体" w:hAnsi="宋体" w:cs="宋体"/>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sz w:val="36"/>
          <w:szCs w:val="30"/>
        </w:rPr>
      </w:pPr>
      <w:r>
        <w:rPr>
          <w:rFonts w:hint="eastAsia" w:ascii="宋体" w:hAnsi="宋体" w:eastAsia="宋体" w:cs="宋体"/>
          <w:sz w:val="36"/>
          <w:szCs w:val="30"/>
        </w:rPr>
        <w:br w:type="page"/>
      </w:r>
      <w:bookmarkStart w:id="79" w:name="_Toc54279010"/>
      <w:r>
        <w:rPr>
          <w:rFonts w:hint="eastAsia" w:ascii="宋体" w:hAnsi="宋体" w:eastAsia="宋体" w:cs="宋体"/>
          <w:b w:val="0"/>
          <w:sz w:val="36"/>
          <w:szCs w:val="30"/>
        </w:rPr>
        <w:t xml:space="preserve">第六篇  </w:t>
      </w:r>
      <w:bookmarkEnd w:id="71"/>
      <w:bookmarkEnd w:id="72"/>
      <w:r>
        <w:rPr>
          <w:rFonts w:hint="eastAsia" w:ascii="宋体" w:hAnsi="宋体" w:eastAsia="宋体" w:cs="宋体"/>
          <w:b w:val="0"/>
          <w:sz w:val="36"/>
          <w:szCs w:val="30"/>
        </w:rPr>
        <w:t>政府采购合同</w:t>
      </w:r>
      <w:bookmarkEnd w:id="79"/>
    </w:p>
    <w:p>
      <w:pPr>
        <w:tabs>
          <w:tab w:val="left" w:pos="9000"/>
        </w:tabs>
        <w:spacing w:line="360" w:lineRule="auto"/>
        <w:jc w:val="center"/>
        <w:rPr>
          <w:rFonts w:ascii="宋体" w:hAnsi="宋体" w:cs="宋体"/>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line="360" w:lineRule="auto"/>
        <w:jc w:val="center"/>
        <w:rPr>
          <w:rFonts w:ascii="宋体" w:hAnsi="宋体" w:eastAsia="宋体" w:cs="宋体"/>
          <w:b w:val="0"/>
          <w:sz w:val="36"/>
          <w:szCs w:val="30"/>
        </w:rPr>
      </w:pPr>
      <w:bookmarkStart w:id="80" w:name="_Hlt41879464"/>
      <w:bookmarkEnd w:id="80"/>
      <w:bookmarkStart w:id="81" w:name="_Toc54279011"/>
      <w:r>
        <w:rPr>
          <w:rFonts w:hint="eastAsia" w:ascii="宋体" w:hAnsi="宋体" w:eastAsia="宋体" w:cs="宋体"/>
          <w:b w:val="0"/>
          <w:sz w:val="36"/>
          <w:szCs w:val="30"/>
        </w:rPr>
        <w:t>第七篇  响应文件编制要求</w:t>
      </w:r>
      <w:bookmarkEnd w:id="81"/>
    </w:p>
    <w:p>
      <w:pPr>
        <w:spacing w:line="360" w:lineRule="auto"/>
        <w:ind w:firstLine="480" w:firstLineChars="200"/>
        <w:rPr>
          <w:rFonts w:ascii="宋体" w:hAnsi="宋体" w:cs="宋体"/>
          <w:sz w:val="24"/>
          <w:szCs w:val="24"/>
        </w:rPr>
      </w:pPr>
      <w:r>
        <w:rPr>
          <w:rFonts w:hint="eastAsia" w:ascii="宋体" w:hAnsi="宋体" w:cs="宋体"/>
          <w:sz w:val="24"/>
          <w:szCs w:val="24"/>
        </w:rPr>
        <w:t>一、经济部分</w:t>
      </w:r>
    </w:p>
    <w:p>
      <w:pPr>
        <w:spacing w:line="360" w:lineRule="auto"/>
        <w:ind w:firstLine="480" w:firstLineChars="200"/>
        <w:rPr>
          <w:rFonts w:ascii="宋体" w:hAnsi="宋体" w:cs="宋体"/>
          <w:sz w:val="24"/>
          <w:szCs w:val="24"/>
        </w:rPr>
      </w:pPr>
      <w:r>
        <w:rPr>
          <w:rFonts w:hint="eastAsia" w:ascii="宋体" w:hAnsi="宋体" w:cs="宋体"/>
          <w:sz w:val="24"/>
          <w:szCs w:val="24"/>
        </w:rPr>
        <w:t>（一）竞争性磋商报价函</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（二）报价清单（注：须按提供清单进行填报，其中综合单价分析表可不装订，成交人在签订合同前须将《报价清单》电子档交予采购人） </w:t>
      </w:r>
    </w:p>
    <w:p>
      <w:pPr>
        <w:spacing w:line="360" w:lineRule="auto"/>
        <w:ind w:firstLine="480" w:firstLineChars="200"/>
        <w:rPr>
          <w:rFonts w:ascii="宋体" w:hAnsi="宋体" w:cs="宋体"/>
          <w:sz w:val="24"/>
          <w:szCs w:val="24"/>
        </w:rPr>
      </w:pPr>
      <w:r>
        <w:rPr>
          <w:rFonts w:hint="eastAsia" w:ascii="宋体" w:hAnsi="宋体" w:cs="宋体"/>
          <w:sz w:val="24"/>
          <w:szCs w:val="24"/>
        </w:rPr>
        <w:t>二、服务部分</w:t>
      </w:r>
    </w:p>
    <w:p>
      <w:pPr>
        <w:spacing w:line="360" w:lineRule="auto"/>
        <w:ind w:firstLine="480" w:firstLineChars="200"/>
        <w:rPr>
          <w:rFonts w:ascii="宋体" w:hAnsi="宋体" w:cs="宋体"/>
          <w:sz w:val="24"/>
          <w:szCs w:val="24"/>
        </w:rPr>
      </w:pPr>
      <w:r>
        <w:rPr>
          <w:rFonts w:hint="eastAsia" w:ascii="宋体" w:hAnsi="宋体" w:cs="宋体"/>
          <w:sz w:val="24"/>
          <w:szCs w:val="24"/>
        </w:rPr>
        <w:t>（一）服务方案（</w:t>
      </w:r>
      <w:r>
        <w:rPr>
          <w:rFonts w:hint="eastAsia" w:ascii="宋体" w:hAnsi="宋体" w:cs="宋体"/>
          <w:sz w:val="24"/>
        </w:rPr>
        <w:t>施工组织设计</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（二）服务响应偏离表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三、商务部分</w:t>
      </w:r>
    </w:p>
    <w:p>
      <w:pPr>
        <w:spacing w:line="360" w:lineRule="auto"/>
        <w:ind w:firstLine="480" w:firstLineChars="200"/>
        <w:rPr>
          <w:rFonts w:ascii="宋体" w:hAnsi="宋体" w:cs="宋体"/>
          <w:sz w:val="24"/>
          <w:szCs w:val="24"/>
        </w:rPr>
      </w:pPr>
      <w:r>
        <w:rPr>
          <w:rFonts w:hint="eastAsia" w:ascii="宋体" w:hAnsi="宋体" w:cs="宋体"/>
          <w:sz w:val="24"/>
          <w:szCs w:val="24"/>
        </w:rPr>
        <w:t>（一）商务要求响应情况：服务期及地点、报价要求、质量保证及售后服务等。</w:t>
      </w:r>
    </w:p>
    <w:p>
      <w:pPr>
        <w:spacing w:line="360" w:lineRule="auto"/>
        <w:ind w:firstLine="480" w:firstLineChars="200"/>
        <w:rPr>
          <w:rFonts w:ascii="宋体" w:hAnsi="宋体" w:cs="宋体"/>
          <w:sz w:val="24"/>
          <w:szCs w:val="24"/>
        </w:rPr>
      </w:pPr>
      <w:r>
        <w:rPr>
          <w:rFonts w:hint="eastAsia" w:ascii="宋体" w:hAnsi="宋体" w:cs="宋体"/>
          <w:sz w:val="24"/>
          <w:szCs w:val="24"/>
        </w:rPr>
        <w:t>（二）商务响应偏离表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（三）业绩证明</w:t>
      </w:r>
    </w:p>
    <w:p>
      <w:pPr>
        <w:spacing w:line="360" w:lineRule="auto"/>
        <w:ind w:firstLine="480" w:firstLineChars="200"/>
        <w:rPr>
          <w:rFonts w:ascii="宋体" w:hAnsi="宋体" w:cs="宋体"/>
          <w:sz w:val="24"/>
          <w:szCs w:val="24"/>
        </w:rPr>
      </w:pPr>
      <w:r>
        <w:rPr>
          <w:rFonts w:hint="eastAsia" w:ascii="宋体" w:hAnsi="宋体" w:cs="宋体"/>
          <w:sz w:val="24"/>
          <w:szCs w:val="24"/>
        </w:rPr>
        <w:t>（四）所投产品属于国家节能、环保品目清单的证明文件（如果有）</w:t>
      </w:r>
    </w:p>
    <w:p>
      <w:pPr>
        <w:spacing w:line="360" w:lineRule="auto"/>
        <w:ind w:firstLine="480" w:firstLineChars="200"/>
        <w:rPr>
          <w:rFonts w:ascii="宋体" w:hAnsi="宋体" w:cs="宋体"/>
          <w:sz w:val="24"/>
          <w:szCs w:val="24"/>
        </w:rPr>
      </w:pPr>
      <w:r>
        <w:rPr>
          <w:rFonts w:hint="eastAsia" w:ascii="宋体" w:hAnsi="宋体" w:cs="宋体"/>
          <w:sz w:val="24"/>
          <w:szCs w:val="24"/>
        </w:rPr>
        <w:t>（五）其它优惠服务承诺</w:t>
      </w:r>
    </w:p>
    <w:p>
      <w:pPr>
        <w:spacing w:line="360" w:lineRule="auto"/>
        <w:ind w:firstLine="480" w:firstLineChars="200"/>
        <w:rPr>
          <w:rFonts w:ascii="宋体" w:hAnsi="宋体" w:cs="宋体"/>
          <w:sz w:val="24"/>
          <w:szCs w:val="24"/>
        </w:rPr>
      </w:pPr>
      <w:r>
        <w:rPr>
          <w:rFonts w:hint="eastAsia" w:ascii="宋体" w:hAnsi="宋体" w:cs="宋体"/>
          <w:sz w:val="24"/>
          <w:szCs w:val="24"/>
        </w:rPr>
        <w:t>四、资格条件及其他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（四）2020年</w:t>
      </w:r>
      <w:r>
        <w:rPr>
          <w:rFonts w:hint="eastAsia" w:ascii="宋体" w:hAnsi="宋体" w:cs="宋体"/>
          <w:sz w:val="24"/>
          <w:szCs w:val="24"/>
          <w:lang w:eastAsia="zh-CN"/>
        </w:rPr>
        <w:t>或</w:t>
      </w:r>
      <w:r>
        <w:rPr>
          <w:rFonts w:hint="eastAsia" w:ascii="宋体" w:hAnsi="宋体" w:cs="宋体"/>
          <w:sz w:val="24"/>
          <w:szCs w:val="24"/>
          <w:lang w:val="en-US" w:eastAsia="zh-CN"/>
        </w:rPr>
        <w:t>2021年</w:t>
      </w:r>
      <w:r>
        <w:rPr>
          <w:rFonts w:hint="eastAsia" w:ascii="宋体" w:hAnsi="宋体" w:cs="宋体"/>
          <w:sz w:val="24"/>
          <w:szCs w:val="24"/>
        </w:rPr>
        <w:t>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（五）书面声明（格式）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（六）税务登记证（副本）复印件和社会保险缴纳证明材料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（七）特定资格条件证书或证明文件</w:t>
      </w:r>
    </w:p>
    <w:p>
      <w:pPr>
        <w:spacing w:line="360" w:lineRule="auto"/>
        <w:ind w:firstLine="480" w:firstLineChars="200"/>
        <w:rPr>
          <w:rFonts w:ascii="宋体" w:hAnsi="宋体" w:cs="宋体"/>
          <w:sz w:val="24"/>
          <w:szCs w:val="24"/>
        </w:rPr>
      </w:pPr>
      <w:r>
        <w:rPr>
          <w:rFonts w:hint="eastAsia" w:ascii="宋体" w:hAnsi="宋体" w:cs="宋体"/>
          <w:sz w:val="24"/>
          <w:szCs w:val="24"/>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sz w:val="24"/>
          <w:szCs w:val="24"/>
        </w:rPr>
      </w:pPr>
      <w:r>
        <w:rPr>
          <w:rFonts w:hint="eastAsia" w:ascii="宋体" w:hAnsi="宋体" w:cs="宋体"/>
          <w:sz w:val="24"/>
          <w:szCs w:val="24"/>
        </w:rPr>
        <w:t>五、其他资料</w:t>
      </w:r>
    </w:p>
    <w:p>
      <w:pPr>
        <w:spacing w:line="360" w:lineRule="auto"/>
        <w:ind w:firstLine="480" w:firstLineChars="200"/>
        <w:rPr>
          <w:rFonts w:ascii="宋体" w:hAnsi="宋体" w:cs="宋体"/>
          <w:b/>
          <w:sz w:val="24"/>
          <w:szCs w:val="24"/>
        </w:rPr>
      </w:pPr>
      <w:r>
        <w:rPr>
          <w:rFonts w:hint="eastAsia" w:ascii="宋体" w:hAnsi="宋体" w:cs="宋体"/>
          <w:sz w:val="24"/>
          <w:szCs w:val="24"/>
        </w:rPr>
        <w:t>（一）中小微企业声明函、监狱企业证明文件、残疾人福利性单位声明函</w:t>
      </w:r>
    </w:p>
    <w:p>
      <w:pPr>
        <w:spacing w:line="360" w:lineRule="auto"/>
        <w:ind w:firstLine="480" w:firstLineChars="200"/>
        <w:rPr>
          <w:rFonts w:ascii="宋体" w:hAnsi="宋体" w:cs="宋体"/>
          <w:sz w:val="24"/>
          <w:szCs w:val="24"/>
        </w:rPr>
      </w:pPr>
      <w:r>
        <w:rPr>
          <w:rFonts w:hint="eastAsia" w:ascii="宋体" w:hAnsi="宋体" w:cs="宋体"/>
          <w:sz w:val="24"/>
          <w:szCs w:val="24"/>
        </w:rPr>
        <w:t>（二）其他与项目有关的资料</w:t>
      </w:r>
    </w:p>
    <w:p>
      <w:pPr>
        <w:snapToGrid w:val="0"/>
        <w:spacing w:line="360" w:lineRule="auto"/>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spacing w:line="360" w:lineRule="auto"/>
        <w:rPr>
          <w:rFonts w:ascii="宋体" w:hAnsi="宋体" w:cs="宋体"/>
          <w:sz w:val="24"/>
          <w:szCs w:val="24"/>
        </w:rPr>
      </w:pPr>
      <w:bookmarkStart w:id="82" w:name="_Toc313888360"/>
      <w:bookmarkStart w:id="83" w:name="_Toc342913419"/>
      <w:bookmarkStart w:id="84" w:name="_Toc313008356"/>
      <w:bookmarkStart w:id="85" w:name="_Toc54279012"/>
      <w:bookmarkStart w:id="86" w:name="_Toc12789073"/>
      <w:bookmarkStart w:id="87" w:name="_Toc283382454"/>
      <w:r>
        <w:rPr>
          <w:rFonts w:hint="eastAsia" w:ascii="宋体" w:hAnsi="宋体" w:cs="宋体"/>
          <w:sz w:val="24"/>
          <w:szCs w:val="24"/>
        </w:rPr>
        <w:t>一、经济部分</w:t>
      </w:r>
      <w:bookmarkEnd w:id="82"/>
      <w:bookmarkEnd w:id="83"/>
      <w:bookmarkEnd w:id="84"/>
      <w:bookmarkEnd w:id="85"/>
    </w:p>
    <w:bookmarkEnd w:id="86"/>
    <w:bookmarkEnd w:id="8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元整；人民币小写：</w:t>
      </w:r>
      <w:r>
        <w:rPr>
          <w:rFonts w:hint="eastAsia" w:ascii="宋体" w:hAnsi="宋体" w:cs="宋体"/>
          <w:sz w:val="24"/>
          <w:szCs w:val="24"/>
          <w:u w:val="single"/>
          <w:lang w:val="en-US" w:eastAsia="zh-CN"/>
        </w:rPr>
        <w:t xml:space="preserve">          </w:t>
      </w:r>
      <w:r>
        <w:rPr>
          <w:rFonts w:hint="eastAsia" w:ascii="宋体" w:hAnsi="宋体" w:cs="宋体"/>
          <w:sz w:val="24"/>
          <w:szCs w:val="24"/>
        </w:rPr>
        <w:t>元。（其中安全文明施工费为：</w:t>
      </w:r>
      <w:r>
        <w:rPr>
          <w:rFonts w:hint="eastAsia" w:ascii="宋体" w:hAnsi="宋体" w:cs="宋体"/>
          <w:sz w:val="24"/>
          <w:szCs w:val="24"/>
          <w:u w:val="single"/>
          <w:lang w:val="en-US" w:eastAsia="zh-CN"/>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tabs>
          <w:tab w:val="left" w:pos="2895"/>
        </w:tabs>
        <w:spacing w:line="360" w:lineRule="auto"/>
        <w:ind w:firstLine="480" w:firstLineChars="200"/>
        <w:rPr>
          <w:rFonts w:ascii="宋体" w:hAnsi="宋体" w:cs="宋体"/>
          <w:sz w:val="24"/>
          <w:szCs w:val="24"/>
        </w:rPr>
      </w:pPr>
      <w:r>
        <w:rPr>
          <w:rFonts w:hint="eastAsia" w:ascii="宋体" w:hAnsi="宋体" w:cs="宋体"/>
          <w:sz w:val="24"/>
          <w:szCs w:val="24"/>
        </w:rPr>
        <w:t xml:space="preserve">（二）报价清单（注：须按提供清单进行填报，其中综合单价分析表可不装订，成交人在签订合同前须将《报价清单》电子档交予采购人） </w:t>
      </w:r>
    </w:p>
    <w:p>
      <w:pPr>
        <w:tabs>
          <w:tab w:val="left" w:pos="2895"/>
        </w:tabs>
        <w:spacing w:line="360" w:lineRule="auto"/>
        <w:ind w:firstLine="480" w:firstLineChars="200"/>
        <w:rPr>
          <w:rFonts w:ascii="宋体" w:hAnsi="宋体" w:cs="宋体"/>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p>
    <w:p>
      <w:pPr>
        <w:pStyle w:val="2"/>
        <w:spacing w:line="360" w:lineRule="auto"/>
        <w:rPr>
          <w:rFonts w:ascii="宋体" w:hAnsi="宋体" w:cs="宋体"/>
          <w:sz w:val="24"/>
          <w:szCs w:val="24"/>
        </w:rPr>
      </w:pPr>
      <w:bookmarkStart w:id="88" w:name="_Toc313888361"/>
      <w:bookmarkStart w:id="89" w:name="_Toc54279013"/>
      <w:bookmarkStart w:id="90" w:name="_Toc342913420"/>
      <w:bookmarkStart w:id="91" w:name="_Toc313008357"/>
      <w:r>
        <w:rPr>
          <w:rFonts w:hint="eastAsia" w:ascii="宋体" w:hAnsi="宋体" w:cs="宋体"/>
          <w:sz w:val="24"/>
          <w:szCs w:val="24"/>
        </w:rPr>
        <w:t>二、服务部分</w:t>
      </w:r>
      <w:bookmarkEnd w:id="88"/>
      <w:bookmarkEnd w:id="89"/>
      <w:bookmarkEnd w:id="90"/>
      <w:bookmarkEnd w:id="91"/>
    </w:p>
    <w:p>
      <w:pPr>
        <w:snapToGrid w:val="0"/>
        <w:spacing w:line="360" w:lineRule="auto"/>
        <w:jc w:val="center"/>
        <w:rPr>
          <w:rFonts w:ascii="宋体" w:hAnsi="宋体" w:cs="宋体"/>
          <w:sz w:val="24"/>
          <w:szCs w:val="24"/>
        </w:rPr>
      </w:pPr>
      <w:r>
        <w:rPr>
          <w:rFonts w:hint="eastAsia" w:ascii="宋体" w:hAnsi="宋体" w:cs="宋体"/>
          <w:sz w:val="24"/>
          <w:szCs w:val="24"/>
        </w:rPr>
        <w:t>（一）服务方案（格式自定）</w:t>
      </w:r>
    </w:p>
    <w:p>
      <w:pPr>
        <w:snapToGrid w:val="0"/>
        <w:spacing w:line="360" w:lineRule="auto"/>
        <w:jc w:val="center"/>
        <w:rPr>
          <w:rFonts w:ascii="宋体" w:hAnsi="宋体" w:cs="宋体"/>
          <w:sz w:val="24"/>
          <w:szCs w:val="24"/>
        </w:rPr>
      </w:pPr>
      <w:r>
        <w:rPr>
          <w:rFonts w:hint="eastAsia" w:ascii="宋体" w:hAnsi="宋体" w:cs="宋体"/>
          <w:sz w:val="24"/>
        </w:rPr>
        <w:t>施工组织设计</w:t>
      </w:r>
    </w:p>
    <w:p>
      <w:pPr>
        <w:tabs>
          <w:tab w:val="left" w:pos="6300"/>
        </w:tabs>
        <w:snapToGrid w:val="0"/>
        <w:spacing w:line="500" w:lineRule="exact"/>
        <w:ind w:firstLine="570"/>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项目号：                                磋商项目编号：</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2"/>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2"/>
        <w:spacing w:line="360" w:lineRule="auto"/>
        <w:rPr>
          <w:rFonts w:ascii="宋体" w:hAnsi="宋体" w:cs="宋体"/>
          <w:sz w:val="24"/>
          <w:szCs w:val="24"/>
        </w:rPr>
      </w:pPr>
      <w:r>
        <w:rPr>
          <w:rFonts w:hint="eastAsia" w:ascii="宋体" w:hAnsi="宋体" w:cs="宋体"/>
          <w:b w:val="0"/>
        </w:rPr>
        <w:br w:type="page"/>
      </w:r>
      <w:bookmarkStart w:id="92" w:name="_Toc313008358"/>
      <w:bookmarkStart w:id="93" w:name="_Toc313888362"/>
      <w:bookmarkStart w:id="94" w:name="_Toc342913421"/>
      <w:bookmarkStart w:id="95" w:name="_Toc54279014"/>
      <w:r>
        <w:rPr>
          <w:rFonts w:hint="eastAsia" w:ascii="宋体" w:hAnsi="宋体" w:cs="宋体"/>
          <w:sz w:val="24"/>
          <w:szCs w:val="24"/>
        </w:rPr>
        <w:t>三、商务部分</w:t>
      </w:r>
      <w:bookmarkEnd w:id="92"/>
      <w:bookmarkEnd w:id="93"/>
      <w:bookmarkEnd w:id="94"/>
      <w:bookmarkEnd w:id="95"/>
    </w:p>
    <w:p>
      <w:pPr>
        <w:snapToGrid w:val="0"/>
        <w:spacing w:line="360" w:lineRule="auto"/>
        <w:ind w:firstLine="480" w:firstLineChars="200"/>
        <w:rPr>
          <w:rFonts w:ascii="宋体" w:hAnsi="宋体" w:cs="宋体"/>
          <w:b/>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（一）商务要求响应情况：服务期及地点、报价要求、质量保证及售后服务等（格式自定）</w:t>
      </w:r>
    </w:p>
    <w:p>
      <w:pPr>
        <w:spacing w:line="360" w:lineRule="auto"/>
        <w:ind w:firstLine="480" w:firstLineChars="200"/>
        <w:rPr>
          <w:rFonts w:ascii="宋体" w:hAnsi="宋体" w:cs="宋体"/>
          <w:sz w:val="24"/>
          <w:szCs w:val="24"/>
        </w:rPr>
      </w:pPr>
      <w:bookmarkStart w:id="96" w:name="_Toc283382459"/>
      <w:r>
        <w:rPr>
          <w:rFonts w:hint="eastAsia" w:ascii="宋体" w:hAnsi="宋体" w:cs="宋体"/>
          <w:sz w:val="24"/>
          <w:szCs w:val="24"/>
        </w:rPr>
        <w:t>（二）商务响应偏离表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pacing w:line="400" w:lineRule="exact"/>
        <w:ind w:firstLine="360" w:firstLineChars="150"/>
        <w:rPr>
          <w:rFonts w:ascii="宋体" w:hAnsi="宋体" w:cs="宋体"/>
          <w:sz w:val="24"/>
          <w:szCs w:val="24"/>
        </w:rPr>
      </w:pPr>
      <w:r>
        <w:rPr>
          <w:rFonts w:hint="eastAsia" w:ascii="宋体" w:hAnsi="宋体" w:cs="宋体"/>
          <w:sz w:val="24"/>
          <w:szCs w:val="24"/>
        </w:rPr>
        <w:t>项目号：                                磋商项目编号：</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（三）业绩证明</w:t>
      </w:r>
    </w:p>
    <w:p>
      <w:pPr>
        <w:spacing w:line="360" w:lineRule="auto"/>
        <w:rPr>
          <w:rFonts w:ascii="宋体" w:hAnsi="宋体" w:cs="宋体"/>
        </w:rPr>
      </w:pPr>
      <w:r>
        <w:rPr>
          <w:rFonts w:hint="eastAsia" w:ascii="宋体" w:hAnsi="宋体" w:cs="宋体"/>
          <w:sz w:val="24"/>
          <w:szCs w:val="24"/>
        </w:rPr>
        <w:t>（四）所投产品属于国家节能、环保品目清单的证明文件（如果有）</w:t>
      </w:r>
    </w:p>
    <w:p>
      <w:pPr>
        <w:spacing w:line="360" w:lineRule="auto"/>
        <w:rPr>
          <w:rFonts w:ascii="宋体" w:hAnsi="宋体" w:cs="宋体"/>
          <w:sz w:val="24"/>
          <w:szCs w:val="24"/>
        </w:rPr>
      </w:pPr>
      <w:bookmarkStart w:id="103" w:name="_GoBack"/>
      <w:bookmarkEnd w:id="103"/>
      <w:r>
        <w:rPr>
          <w:rFonts w:hint="eastAsia" w:ascii="宋体" w:hAnsi="宋体" w:cs="宋体"/>
          <w:sz w:val="24"/>
          <w:szCs w:val="24"/>
        </w:rPr>
        <w:t>（五）其它优惠承诺（格式自定）</w:t>
      </w:r>
    </w:p>
    <w:p>
      <w:pPr>
        <w:pStyle w:val="2"/>
        <w:spacing w:line="360" w:lineRule="auto"/>
        <w:rPr>
          <w:rFonts w:ascii="宋体" w:hAnsi="宋体" w:cs="宋体"/>
        </w:rPr>
      </w:pPr>
      <w:r>
        <w:rPr>
          <w:rFonts w:hint="eastAsia" w:ascii="宋体" w:hAnsi="宋体" w:cs="宋体"/>
          <w:sz w:val="24"/>
          <w:szCs w:val="24"/>
        </w:rPr>
        <w:br w:type="page"/>
      </w:r>
      <w:bookmarkEnd w:id="96"/>
      <w:bookmarkStart w:id="97" w:name="_Toc313008359"/>
      <w:bookmarkStart w:id="98" w:name="_Toc313888363"/>
      <w:bookmarkStart w:id="99" w:name="_Toc342913422"/>
      <w:bookmarkStart w:id="100" w:name="_Toc54279015"/>
      <w:r>
        <w:rPr>
          <w:rFonts w:hint="eastAsia" w:ascii="宋体" w:hAnsi="宋体" w:cs="宋体"/>
          <w:sz w:val="24"/>
          <w:szCs w:val="24"/>
        </w:rPr>
        <w:t>四、资格条件及其他</w:t>
      </w:r>
      <w:bookmarkEnd w:id="97"/>
      <w:bookmarkEnd w:id="98"/>
      <w:bookmarkEnd w:id="99"/>
      <w:bookmarkEnd w:id="100"/>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hint="default" w:ascii="宋体" w:hAnsi="宋体" w:eastAsia="宋体" w:cs="宋体"/>
          <w:sz w:val="24"/>
          <w:u w:val="single"/>
          <w:lang w:val="en-US" w:eastAsia="zh-CN"/>
        </w:rPr>
      </w:pPr>
      <w:r>
        <w:rPr>
          <w:rFonts w:hint="eastAsia" w:ascii="宋体" w:hAnsi="宋体" w:cs="宋体"/>
          <w:sz w:val="24"/>
        </w:rPr>
        <w:t>磋商项目名称：</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lang w:val="en-US" w:eastAsia="zh-CN"/>
        </w:rPr>
        <w:t xml:space="preserve">                   </w:t>
      </w:r>
      <w:r>
        <w:rPr>
          <w:rFonts w:hint="eastAsia" w:ascii="宋体" w:hAnsi="宋体" w:cs="宋体"/>
          <w:sz w:val="24"/>
        </w:rPr>
        <w:t>（法定代表人姓名）在</w:t>
      </w:r>
      <w:r>
        <w:rPr>
          <w:rFonts w:hint="eastAsia" w:ascii="宋体" w:hAnsi="宋体" w:cs="宋体"/>
          <w:sz w:val="24"/>
          <w:u w:val="single"/>
          <w:lang w:val="en-US" w:eastAsia="zh-CN"/>
        </w:rPr>
        <w:t xml:space="preserve">                       </w:t>
      </w:r>
      <w:r>
        <w:rPr>
          <w:rFonts w:hint="eastAsia" w:ascii="宋体" w:hAnsi="宋体" w:cs="宋体"/>
          <w:sz w:val="24"/>
        </w:rPr>
        <w:t>（竞标人名称）任</w:t>
      </w:r>
      <w:r>
        <w:rPr>
          <w:rFonts w:hint="eastAsia" w:ascii="宋体" w:hAnsi="宋体" w:cs="宋体"/>
          <w:sz w:val="24"/>
          <w:u w:val="single"/>
          <w:lang w:val="en-US" w:eastAsia="zh-CN"/>
        </w:rPr>
        <w:t xml:space="preserve">                 </w:t>
      </w:r>
      <w:r>
        <w:rPr>
          <w:rFonts w:hint="eastAsia" w:ascii="宋体" w:hAnsi="宋体" w:cs="宋体"/>
          <w:sz w:val="24"/>
        </w:rPr>
        <w:t>（职务名称）职务，是</w:t>
      </w:r>
      <w:r>
        <w:rPr>
          <w:rFonts w:hint="eastAsia" w:ascii="宋体" w:hAnsi="宋体" w:cs="宋体"/>
          <w:sz w:val="24"/>
          <w:u w:val="single"/>
          <w:lang w:val="en-US" w:eastAsia="zh-CN"/>
        </w:rPr>
        <w:t xml:space="preserve">                 </w:t>
      </w:r>
      <w:r>
        <w:rPr>
          <w:rFonts w:hint="eastAsia" w:ascii="宋体" w:hAnsi="宋体" w:cs="宋体"/>
          <w:sz w:val="24"/>
        </w:rPr>
        <w:t>（竞标人名称）的法定代表人。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（竞标人公章）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720" w:firstLineChars="300"/>
        <w:rPr>
          <w:rFonts w:ascii="宋体" w:hAnsi="宋体" w:cs="宋体"/>
          <w:sz w:val="24"/>
        </w:rPr>
      </w:pPr>
      <w:r>
        <w:rPr>
          <w:rFonts w:hint="eastAsia" w:ascii="宋体" w:hAnsi="宋体" w:cs="宋体"/>
          <w:sz w:val="24"/>
          <w:u w:val="single"/>
          <w:lang w:val="en-US" w:eastAsia="zh-CN"/>
        </w:rPr>
        <w:t xml:space="preserve">                 </w:t>
      </w:r>
      <w:r>
        <w:rPr>
          <w:rFonts w:hint="eastAsia" w:ascii="宋体" w:hAnsi="宋体" w:cs="宋体"/>
          <w:sz w:val="24"/>
        </w:rPr>
        <w:t>（竞标人法定代表人名称）是</w:t>
      </w:r>
      <w:r>
        <w:rPr>
          <w:rFonts w:hint="eastAsia" w:ascii="宋体" w:hAnsi="宋体" w:cs="宋体"/>
          <w:sz w:val="24"/>
          <w:u w:val="single"/>
          <w:lang w:val="en-US" w:eastAsia="zh-CN"/>
        </w:rPr>
        <w:t xml:space="preserve">                </w:t>
      </w:r>
      <w:r>
        <w:rPr>
          <w:rFonts w:hint="eastAsia" w:ascii="宋体" w:hAnsi="宋体" w:cs="宋体"/>
          <w:sz w:val="24"/>
        </w:rPr>
        <w:t>（竞标人名称）的法定代表人，特授权</w:t>
      </w:r>
      <w:r>
        <w:rPr>
          <w:rFonts w:hint="eastAsia" w:ascii="宋体" w:hAnsi="宋体" w:cs="宋体"/>
          <w:sz w:val="24"/>
          <w:u w:val="single"/>
          <w:lang w:val="en-US" w:eastAsia="zh-CN"/>
        </w:rPr>
        <w:t xml:space="preserve">                        </w:t>
      </w:r>
      <w:r>
        <w:rPr>
          <w:rFonts w:hint="eastAsia" w:ascii="宋体" w:hAnsi="宋体" w:cs="宋体"/>
          <w:sz w:val="24"/>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我单位对被授权人的签字负全部责任。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竞标人法定代表人：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（签字或盖章）                                （签字或盖章）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（竞标人公章）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right"/>
        <w:rPr>
          <w:rFonts w:ascii="宋体" w:hAnsi="宋体" w:cs="宋体"/>
          <w:sz w:val="24"/>
        </w:rPr>
      </w:pP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若为法定代表人办理并签署响应文件的，不提供此文件。</w:t>
      </w: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column"/>
      </w:r>
      <w:r>
        <w:rPr>
          <w:rFonts w:hint="eastAsia" w:ascii="宋体" w:hAnsi="宋体" w:cs="宋体"/>
          <w:sz w:val="24"/>
          <w:szCs w:val="22"/>
        </w:rPr>
        <w:t>（四）</w:t>
      </w:r>
      <w:r>
        <w:rPr>
          <w:rFonts w:hint="eastAsia" w:ascii="宋体" w:hAnsi="宋体" w:cs="宋体"/>
          <w:sz w:val="24"/>
          <w:szCs w:val="22"/>
          <w:lang w:eastAsia="zh-CN"/>
        </w:rPr>
        <w:t>2020年或2021年</w:t>
      </w:r>
      <w:r>
        <w:rPr>
          <w:rFonts w:hint="eastAsia" w:ascii="宋体" w:hAnsi="宋体" w:cs="宋体"/>
          <w:sz w:val="24"/>
          <w:szCs w:val="22"/>
        </w:rPr>
        <w:t>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ascii="宋体" w:hAnsi="宋体" w:cs="宋体"/>
          <w:sz w:val="24"/>
          <w:szCs w:val="24"/>
        </w:rPr>
      </w:pPr>
      <w:r>
        <w:rPr>
          <w:rFonts w:hint="eastAsia" w:ascii="宋体" w:hAnsi="宋体" w:cs="宋体"/>
        </w:rPr>
        <w:br w:type="page"/>
      </w:r>
      <w:r>
        <w:rPr>
          <w:rFonts w:hint="eastAsia" w:ascii="宋体" w:hAnsi="宋体" w:cs="宋体"/>
          <w:sz w:val="24"/>
          <w:szCs w:val="24"/>
        </w:rPr>
        <w:t>（五）书面声明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sz w:val="24"/>
        </w:rPr>
      </w:pPr>
      <w:r>
        <w:rPr>
          <w:rFonts w:hint="eastAsia" w:ascii="宋体" w:hAnsi="宋体" w:cs="宋体"/>
          <w:sz w:val="24"/>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1.1“失信被执行人”查询结果；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1.2“重大税收违法案件当事人名单”查询结果；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“政府采购严重违法失信行为记录名单”查询结果。</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24"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1680"/>
        <w:rPr>
          <w:rFonts w:ascii="宋体" w:hAnsi="宋体" w:cs="宋体"/>
          <w:sz w:val="24"/>
        </w:rPr>
      </w:pP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page"/>
      </w:r>
      <w:r>
        <w:rPr>
          <w:rFonts w:hint="eastAsia" w:ascii="宋体" w:hAnsi="宋体" w:cs="宋体"/>
          <w:sz w:val="24"/>
          <w:szCs w:val="22"/>
        </w:rPr>
        <w:t>（六）税务登记证（副本）复印件和社会保险缴纳证明材料</w:t>
      </w:r>
    </w:p>
    <w:p>
      <w:pPr>
        <w:tabs>
          <w:tab w:val="left" w:pos="6300"/>
        </w:tabs>
        <w:snapToGrid w:val="0"/>
        <w:spacing w:line="500" w:lineRule="exact"/>
        <w:ind w:firstLine="570"/>
        <w:rPr>
          <w:rFonts w:ascii="宋体" w:hAnsi="宋体" w:cs="宋体"/>
          <w:sz w:val="24"/>
          <w:szCs w:val="22"/>
        </w:rPr>
      </w:pPr>
      <w:r>
        <w:rPr>
          <w:rFonts w:hint="eastAsia" w:ascii="宋体" w:hAnsi="宋体" w:cs="宋体"/>
          <w:sz w:val="24"/>
          <w:szCs w:val="22"/>
        </w:rPr>
        <w:t>（七）特定资格条件证书或证明文件</w:t>
      </w:r>
    </w:p>
    <w:p>
      <w:pPr>
        <w:tabs>
          <w:tab w:val="left" w:pos="6300"/>
        </w:tabs>
        <w:snapToGrid w:val="0"/>
        <w:spacing w:line="500" w:lineRule="exact"/>
        <w:ind w:firstLine="570"/>
        <w:rPr>
          <w:rFonts w:ascii="宋体" w:hAnsi="宋体" w:cs="宋体"/>
        </w:rPr>
      </w:pPr>
      <w:r>
        <w:rPr>
          <w:rFonts w:hint="eastAsia" w:ascii="宋体" w:hAnsi="宋体" w:cs="宋体"/>
          <w:sz w:val="24"/>
          <w:szCs w:val="22"/>
        </w:rPr>
        <w:t>说明：供应商按“多证合一”登记制度办理营业执照的，税务登记证（副本）和社会保险登记证以供应商所提供的营业执照（副本）复印件为准。</w:t>
      </w:r>
    </w:p>
    <w:p>
      <w:pPr>
        <w:pStyle w:val="2"/>
        <w:spacing w:line="360" w:lineRule="auto"/>
        <w:rPr>
          <w:rFonts w:ascii="宋体" w:hAnsi="宋体" w:cs="宋体"/>
          <w:sz w:val="24"/>
          <w:szCs w:val="24"/>
        </w:rPr>
      </w:pPr>
      <w:bookmarkStart w:id="101" w:name="_Toc14422"/>
      <w:r>
        <w:rPr>
          <w:rFonts w:hint="eastAsia" w:ascii="宋体" w:hAnsi="宋体" w:cs="宋体"/>
          <w:b w:val="0"/>
          <w:sz w:val="28"/>
        </w:rPr>
        <w:br w:type="page"/>
      </w:r>
      <w:bookmarkStart w:id="102" w:name="_Toc54279016"/>
      <w:r>
        <w:rPr>
          <w:rFonts w:hint="eastAsia" w:ascii="宋体" w:hAnsi="宋体" w:cs="宋体"/>
          <w:sz w:val="24"/>
          <w:szCs w:val="24"/>
        </w:rPr>
        <w:t>五、其他资料</w:t>
      </w:r>
      <w:bookmarkEnd w:id="101"/>
      <w:bookmarkEnd w:id="102"/>
    </w:p>
    <w:p>
      <w:pPr>
        <w:tabs>
          <w:tab w:val="left" w:pos="6300"/>
        </w:tabs>
        <w:snapToGrid w:val="0"/>
        <w:spacing w:line="360" w:lineRule="auto"/>
        <w:rPr>
          <w:rFonts w:ascii="宋体" w:hAnsi="宋体" w:cs="宋体"/>
          <w:sz w:val="24"/>
          <w:szCs w:val="24"/>
        </w:rPr>
      </w:pPr>
      <w:r>
        <w:rPr>
          <w:rFonts w:hint="eastAsia" w:ascii="宋体" w:hAnsi="宋体" w:cs="宋体"/>
          <w:sz w:val="24"/>
          <w:szCs w:val="24"/>
        </w:rPr>
        <w:t>（一）中小微企业声明函、监狱企业证明文件、残疾人福利性单位声明函</w:t>
      </w:r>
    </w:p>
    <w:p>
      <w:pPr>
        <w:tabs>
          <w:tab w:val="left" w:pos="6300"/>
        </w:tabs>
        <w:snapToGrid w:val="0"/>
        <w:spacing w:line="360" w:lineRule="auto"/>
        <w:ind w:firstLine="561"/>
        <w:rPr>
          <w:rFonts w:ascii="宋体" w:hAnsi="宋体" w:cs="宋体"/>
          <w:sz w:val="24"/>
          <w:szCs w:val="24"/>
        </w:rPr>
      </w:pPr>
      <w:r>
        <w:rPr>
          <w:rFonts w:hint="eastAsia" w:ascii="宋体" w:hAnsi="宋体" w:cs="宋体"/>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szCs w:val="28"/>
        </w:rPr>
      </w:pPr>
      <w:r>
        <w:rPr>
          <w:rFonts w:hint="eastAsia" w:ascii="宋体" w:hAnsi="宋体" w:cs="宋体"/>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spacing w:line="540" w:lineRule="exact"/>
        <w:jc w:val="center"/>
        <w:rPr>
          <w:rFonts w:ascii="黑体" w:hAnsi="黑体" w:eastAsia="黑体"/>
          <w:sz w:val="30"/>
          <w:szCs w:val="30"/>
        </w:rPr>
      </w:pPr>
      <w:r>
        <w:rPr>
          <w:rFonts w:hint="eastAsia" w:ascii="黑体" w:hAnsi="黑体" w:eastAsia="黑体"/>
          <w:sz w:val="30"/>
          <w:szCs w:val="30"/>
        </w:rPr>
        <w:t xml:space="preserve">中小企业声明函 </w:t>
      </w:r>
    </w:p>
    <w:p>
      <w:pPr>
        <w:spacing w:line="540" w:lineRule="exact"/>
        <w:jc w:val="center"/>
        <w:rPr>
          <w:rFonts w:ascii="黑体" w:hAnsi="黑体" w:eastAsia="黑体"/>
          <w:sz w:val="30"/>
          <w:szCs w:val="30"/>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本公司(联合体)郑重声明,根据《政府采购促进中小企业发展管理办法》(财库(2020)46号)的规定,本公司(联合体)参加</w:t>
      </w:r>
      <w:r>
        <w:rPr>
          <w:rFonts w:hint="eastAsia" w:ascii="方正仿宋_GBK" w:eastAsia="方正仿宋_GBK"/>
          <w:sz w:val="24"/>
          <w:szCs w:val="24"/>
          <w:u w:val="single"/>
        </w:rPr>
        <w:t>(单位名称)</w:t>
      </w:r>
      <w:r>
        <w:rPr>
          <w:rFonts w:hint="eastAsia" w:ascii="方正仿宋_GBK" w:eastAsia="方正仿宋_GBK"/>
          <w:sz w:val="24"/>
          <w:szCs w:val="24"/>
        </w:rPr>
        <w:t>的</w:t>
      </w:r>
      <w:r>
        <w:rPr>
          <w:rFonts w:hint="eastAsia" w:ascii="方正仿宋_GBK" w:eastAsia="方正仿宋_GBK"/>
          <w:sz w:val="24"/>
          <w:szCs w:val="24"/>
          <w:u w:val="single"/>
        </w:rPr>
        <w:t>(项目名称)</w:t>
      </w:r>
      <w:r>
        <w:rPr>
          <w:rFonts w:hint="eastAsia" w:ascii="方正仿宋_GBK" w:eastAsia="方正仿宋_GBK"/>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1.</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2.</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本企业对上述声明内容的真实性负责。如有虚假,将依法承担相应责任</w:t>
      </w:r>
    </w:p>
    <w:p>
      <w:pPr>
        <w:spacing w:line="540" w:lineRule="exact"/>
        <w:ind w:firstLine="3960" w:firstLineChars="1650"/>
        <w:rPr>
          <w:rFonts w:ascii="方正仿宋_GBK" w:eastAsia="方正仿宋_GBK"/>
          <w:sz w:val="24"/>
          <w:szCs w:val="24"/>
        </w:rPr>
      </w:pP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企业名称(盖章):</w:t>
      </w: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日期：</w:t>
      </w: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从业人员、背业收入，资产总额填报</w:t>
      </w:r>
      <w:r>
        <w:rPr>
          <w:rFonts w:hint="eastAsia" w:ascii="方正仿宋_GBK" w:eastAsia="方正仿宋_GBK"/>
          <w:sz w:val="24"/>
          <w:szCs w:val="24"/>
          <w:lang w:eastAsia="zh-CN"/>
        </w:rPr>
        <w:t>上一年</w:t>
      </w:r>
      <w:r>
        <w:rPr>
          <w:rFonts w:hint="eastAsia" w:ascii="方正仿宋_GBK" w:eastAsia="方正仿宋_GBK"/>
          <w:sz w:val="24"/>
          <w:szCs w:val="24"/>
        </w:rPr>
        <w:t>度数据。无</w:t>
      </w:r>
      <w:r>
        <w:rPr>
          <w:rFonts w:hint="eastAsia" w:ascii="方正仿宋_GBK" w:eastAsia="方正仿宋_GBK"/>
          <w:sz w:val="24"/>
          <w:szCs w:val="24"/>
          <w:lang w:eastAsia="zh-CN"/>
        </w:rPr>
        <w:t>上一年</w:t>
      </w:r>
      <w:r>
        <w:rPr>
          <w:rFonts w:hint="eastAsia" w:ascii="方正仿宋_GBK" w:eastAsia="方正仿宋_GBK"/>
          <w:sz w:val="24"/>
          <w:szCs w:val="24"/>
        </w:rPr>
        <w:t>度数据的新成立企业可不填报。</w:t>
      </w: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sz w:val="24"/>
          <w:szCs w:val="24"/>
        </w:rPr>
      </w:pP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szCs w:val="24"/>
        </w:rPr>
        <w:br w:type="page"/>
      </w:r>
      <w:r>
        <w:rPr>
          <w:rFonts w:hint="eastAsia" w:ascii="宋体" w:hAnsi="宋体" w:cs="宋体"/>
        </w:rPr>
        <w:t>监狱企业证明文件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snapToGrid w:val="0"/>
        <w:spacing w:line="440" w:lineRule="exact"/>
        <w:ind w:firstLine="480" w:firstLineChars="200"/>
        <w:rPr>
          <w:rFonts w:ascii="宋体" w:hAnsi="宋体" w:cs="宋体"/>
          <w:sz w:val="24"/>
        </w:rPr>
      </w:pPr>
      <w:r>
        <w:rPr>
          <w:rFonts w:hint="eastAsia" w:ascii="宋体" w:hAnsi="宋体" w:cs="宋体"/>
          <w:sz w:val="24"/>
        </w:rPr>
        <w:t xml:space="preserve">                                                  日  期：</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360" w:lineRule="auto"/>
        <w:jc w:val="both"/>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rPr>
      </w:pPr>
      <w:r>
        <w:rPr>
          <w:rFonts w:hint="eastAsia" w:ascii="宋体" w:hAnsi="宋体" w:cs="宋体"/>
          <w:sz w:val="24"/>
          <w:szCs w:val="24"/>
        </w:rPr>
        <w:t>（结束）</w:t>
      </w:r>
    </w:p>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重庆天骄工程项目管理有限公司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重庆建桥实业发展有限公司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4D03A2"/>
    <w:rsid w:val="000368E4"/>
    <w:rsid w:val="00207B8F"/>
    <w:rsid w:val="0033225C"/>
    <w:rsid w:val="004A09EA"/>
    <w:rsid w:val="00564FB6"/>
    <w:rsid w:val="00831712"/>
    <w:rsid w:val="008947AE"/>
    <w:rsid w:val="008F5A3C"/>
    <w:rsid w:val="00C04071"/>
    <w:rsid w:val="00CF29EF"/>
    <w:rsid w:val="00E07420"/>
    <w:rsid w:val="00F94C6F"/>
    <w:rsid w:val="016D5156"/>
    <w:rsid w:val="05494CF4"/>
    <w:rsid w:val="06892A1E"/>
    <w:rsid w:val="06BF74C3"/>
    <w:rsid w:val="078F4BA3"/>
    <w:rsid w:val="07A871DA"/>
    <w:rsid w:val="08A7705C"/>
    <w:rsid w:val="099C4B08"/>
    <w:rsid w:val="0AF37D01"/>
    <w:rsid w:val="0AFF0A5D"/>
    <w:rsid w:val="0B746C17"/>
    <w:rsid w:val="0C4A2199"/>
    <w:rsid w:val="0CDA00E1"/>
    <w:rsid w:val="0DBB6995"/>
    <w:rsid w:val="0F643FAD"/>
    <w:rsid w:val="0FC4014E"/>
    <w:rsid w:val="110C7A9C"/>
    <w:rsid w:val="118A529B"/>
    <w:rsid w:val="12995767"/>
    <w:rsid w:val="12CB45B4"/>
    <w:rsid w:val="13AF19CA"/>
    <w:rsid w:val="14644D63"/>
    <w:rsid w:val="15B77575"/>
    <w:rsid w:val="15E000DE"/>
    <w:rsid w:val="16F1027E"/>
    <w:rsid w:val="16F52D17"/>
    <w:rsid w:val="17305278"/>
    <w:rsid w:val="17BE1F57"/>
    <w:rsid w:val="18925BB0"/>
    <w:rsid w:val="18FB4E5C"/>
    <w:rsid w:val="19015413"/>
    <w:rsid w:val="192234F4"/>
    <w:rsid w:val="1B6133FF"/>
    <w:rsid w:val="1DAA6ED1"/>
    <w:rsid w:val="1E0E1072"/>
    <w:rsid w:val="1E10787D"/>
    <w:rsid w:val="1ECB2E08"/>
    <w:rsid w:val="1F1C24B0"/>
    <w:rsid w:val="1F965D2B"/>
    <w:rsid w:val="20333FE8"/>
    <w:rsid w:val="2122527B"/>
    <w:rsid w:val="214D03A2"/>
    <w:rsid w:val="2193189F"/>
    <w:rsid w:val="229D0FCC"/>
    <w:rsid w:val="25433E78"/>
    <w:rsid w:val="26EC0AD6"/>
    <w:rsid w:val="28E20C2D"/>
    <w:rsid w:val="292570F1"/>
    <w:rsid w:val="2A785FD1"/>
    <w:rsid w:val="2B190254"/>
    <w:rsid w:val="2D6F5DBF"/>
    <w:rsid w:val="2E6175BA"/>
    <w:rsid w:val="2E856031"/>
    <w:rsid w:val="30E46459"/>
    <w:rsid w:val="32004662"/>
    <w:rsid w:val="330F7206"/>
    <w:rsid w:val="33461877"/>
    <w:rsid w:val="34AA7536"/>
    <w:rsid w:val="36DF4E7C"/>
    <w:rsid w:val="399D3368"/>
    <w:rsid w:val="3A146642"/>
    <w:rsid w:val="3AA07ABD"/>
    <w:rsid w:val="3CDC4DE3"/>
    <w:rsid w:val="3DB66E44"/>
    <w:rsid w:val="3E1C474A"/>
    <w:rsid w:val="3E400687"/>
    <w:rsid w:val="3E6660B5"/>
    <w:rsid w:val="44AD7A43"/>
    <w:rsid w:val="44F464E2"/>
    <w:rsid w:val="489170C1"/>
    <w:rsid w:val="49690618"/>
    <w:rsid w:val="4DF0737B"/>
    <w:rsid w:val="4E7847FB"/>
    <w:rsid w:val="4F471A29"/>
    <w:rsid w:val="4FA8040B"/>
    <w:rsid w:val="50372AAD"/>
    <w:rsid w:val="50481DD1"/>
    <w:rsid w:val="54A14839"/>
    <w:rsid w:val="54CC0917"/>
    <w:rsid w:val="552504B1"/>
    <w:rsid w:val="556F0F37"/>
    <w:rsid w:val="55BB3E5E"/>
    <w:rsid w:val="562477C0"/>
    <w:rsid w:val="57D95582"/>
    <w:rsid w:val="589C6EAD"/>
    <w:rsid w:val="58B55EA6"/>
    <w:rsid w:val="58CB4389"/>
    <w:rsid w:val="5B6956CF"/>
    <w:rsid w:val="5E57715E"/>
    <w:rsid w:val="600D09C6"/>
    <w:rsid w:val="601A6800"/>
    <w:rsid w:val="61017D1D"/>
    <w:rsid w:val="615805BE"/>
    <w:rsid w:val="62AE62F5"/>
    <w:rsid w:val="63034407"/>
    <w:rsid w:val="63702C96"/>
    <w:rsid w:val="637845A8"/>
    <w:rsid w:val="65981C7B"/>
    <w:rsid w:val="65BA4A36"/>
    <w:rsid w:val="663272C7"/>
    <w:rsid w:val="66403DA4"/>
    <w:rsid w:val="67414ECA"/>
    <w:rsid w:val="682439B1"/>
    <w:rsid w:val="68B51AD0"/>
    <w:rsid w:val="6C14181C"/>
    <w:rsid w:val="6D876568"/>
    <w:rsid w:val="6DD15121"/>
    <w:rsid w:val="6DE32CB1"/>
    <w:rsid w:val="6E0329F6"/>
    <w:rsid w:val="6F1A7D47"/>
    <w:rsid w:val="6F550998"/>
    <w:rsid w:val="6FB40BBC"/>
    <w:rsid w:val="718676F2"/>
    <w:rsid w:val="723110D9"/>
    <w:rsid w:val="72F65EDA"/>
    <w:rsid w:val="74206406"/>
    <w:rsid w:val="749D5C4F"/>
    <w:rsid w:val="74C7350D"/>
    <w:rsid w:val="76184D6F"/>
    <w:rsid w:val="76B412C5"/>
    <w:rsid w:val="77EF605F"/>
    <w:rsid w:val="7956079F"/>
    <w:rsid w:val="79B84855"/>
    <w:rsid w:val="7ADE3BDD"/>
    <w:rsid w:val="7AE706E9"/>
    <w:rsid w:val="7BA119F7"/>
    <w:rsid w:val="7CF9247F"/>
    <w:rsid w:val="7E717BFD"/>
    <w:rsid w:val="7EB32245"/>
    <w:rsid w:val="7ECD611E"/>
    <w:rsid w:val="7EF262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3">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footnote text"/>
    <w:basedOn w:val="1"/>
    <w:qFormat/>
    <w:uiPriority w:val="0"/>
    <w:pPr>
      <w:spacing w:line="360" w:lineRule="auto"/>
    </w:pPr>
    <w:rPr>
      <w:sz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footnote reference"/>
    <w:qFormat/>
    <w:uiPriority w:val="0"/>
    <w:rPr>
      <w:position w:val="6"/>
      <w:sz w:val="14"/>
      <w:vertAlign w:val="superscript"/>
    </w:rPr>
  </w:style>
  <w:style w:type="paragraph" w:customStyle="1" w:styleId="17">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4755</Words>
  <Characters>27107</Characters>
  <Lines>225</Lines>
  <Paragraphs>63</Paragraphs>
  <TotalTime>1</TotalTime>
  <ScaleCrop>false</ScaleCrop>
  <LinksUpToDate>false</LinksUpToDate>
  <CharactersWithSpaces>31799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2022-02-28T07:03:00Z</dcterms:created>
  <dc:creator>admin</dc:creator>
  <cp:lastModifiedBy>admin</cp:lastModifiedBy>
  <cp:lastPrinted>2022-03-07T01:50:00Z</cp:lastPrinted>
  <dcterms:modified xsi:type="dcterms:W3CDTF">2022-03-07T08:52:04Z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