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p>
    <w:p>
      <w:pPr>
        <w:jc w:val="center"/>
        <w:rPr>
          <w:rFonts w:ascii="宋体" w:hAnsi="宋体"/>
        </w:rPr>
      </w:pPr>
    </w:p>
    <w:p>
      <w:pPr>
        <w:jc w:val="center"/>
        <w:rPr>
          <w:rFonts w:ascii="方正黑体_GBK" w:hAnsi="宋体" w:eastAsia="方正黑体_GBK"/>
          <w:spacing w:val="80"/>
          <w:sz w:val="112"/>
          <w:szCs w:val="112"/>
        </w:rPr>
      </w:pPr>
      <w:r>
        <w:rPr>
          <w:rFonts w:hint="eastAsia" w:ascii="宋体" w:hAnsi="宋体"/>
          <w:spacing w:val="80"/>
          <w:sz w:val="112"/>
          <w:szCs w:val="112"/>
        </w:rPr>
        <w:t>竞争性磋商文件</w:t>
      </w:r>
    </w:p>
    <w:p>
      <w:pPr>
        <w:spacing w:line="700" w:lineRule="exact"/>
        <w:jc w:val="center"/>
        <w:rPr>
          <w:rFonts w:ascii="黑体" w:eastAsia="黑体"/>
          <w:sz w:val="32"/>
        </w:rPr>
      </w:pPr>
    </w:p>
    <w:p>
      <w:pPr>
        <w:spacing w:line="700" w:lineRule="exact"/>
        <w:rPr>
          <w:rFonts w:ascii="黑体" w:eastAsia="黑体"/>
          <w:sz w:val="32"/>
        </w:rPr>
      </w:pPr>
    </w:p>
    <w:p>
      <w:pPr>
        <w:spacing w:line="700" w:lineRule="exact"/>
        <w:rPr>
          <w:rFonts w:ascii="黑体" w:eastAsia="黑体"/>
          <w:sz w:val="32"/>
        </w:rPr>
      </w:pPr>
    </w:p>
    <w:p>
      <w:pPr>
        <w:spacing w:line="700" w:lineRule="exact"/>
        <w:rPr>
          <w:rFonts w:ascii="黑体" w:eastAsia="黑体"/>
          <w:sz w:val="32"/>
        </w:rPr>
      </w:pPr>
    </w:p>
    <w:p>
      <w:pPr>
        <w:spacing w:line="700" w:lineRule="exact"/>
        <w:jc w:val="center"/>
        <w:rPr>
          <w:rFonts w:ascii="黑体" w:eastAsia="黑体"/>
          <w:sz w:val="32"/>
        </w:rPr>
      </w:pPr>
    </w:p>
    <w:p>
      <w:pPr>
        <w:spacing w:line="360" w:lineRule="auto"/>
        <w:jc w:val="center"/>
        <w:rPr>
          <w:rFonts w:ascii="方正小标宋_GBK" w:hAnsi="宋体" w:eastAsia="方正小标宋_GBK"/>
          <w:sz w:val="36"/>
          <w:szCs w:val="30"/>
        </w:rPr>
      </w:pPr>
      <w:r>
        <w:rPr>
          <w:rFonts w:hint="eastAsia" w:ascii="方正小标宋_GBK" w:hAnsi="宋体" w:eastAsia="方正小标宋_GBK"/>
          <w:sz w:val="36"/>
          <w:szCs w:val="30"/>
        </w:rPr>
        <w:t>项 目 名 称：建桥C区生物医药园供电工程设计</w:t>
      </w:r>
    </w:p>
    <w:p>
      <w:pPr>
        <w:spacing w:line="700" w:lineRule="exact"/>
        <w:jc w:val="center"/>
        <w:rPr>
          <w:rFonts w:ascii="方正小标宋_GBK" w:hAnsi="宋体" w:eastAsia="方正小标宋_GBK"/>
          <w:sz w:val="36"/>
          <w:szCs w:val="30"/>
        </w:rPr>
      </w:pPr>
    </w:p>
    <w:p>
      <w:pPr>
        <w:spacing w:line="700" w:lineRule="exact"/>
        <w:ind w:firstLine="1749" w:firstLineChars="486"/>
        <w:rPr>
          <w:rFonts w:ascii="方正小标宋_GBK" w:hAnsi="宋体" w:eastAsia="方正小标宋_GBK"/>
          <w:sz w:val="36"/>
          <w:szCs w:val="30"/>
        </w:rPr>
      </w:pPr>
    </w:p>
    <w:p>
      <w:pPr>
        <w:spacing w:line="700" w:lineRule="exact"/>
        <w:ind w:right="-193" w:rightChars="-69"/>
        <w:jc w:val="center"/>
        <w:rPr>
          <w:rFonts w:ascii="方正小标宋_GBK" w:hAnsi="宋体" w:eastAsia="方正小标宋_GBK"/>
          <w:sz w:val="36"/>
          <w:szCs w:val="30"/>
        </w:rPr>
      </w:pPr>
      <w:r>
        <w:rPr>
          <w:rFonts w:hint="eastAsia" w:ascii="方正小标宋_GBK" w:hAnsi="宋体" w:eastAsia="方正小标宋_GBK"/>
          <w:sz w:val="36"/>
          <w:szCs w:val="30"/>
        </w:rPr>
        <w:t>采   购   人：重庆建桥置业有限公司</w:t>
      </w:r>
    </w:p>
    <w:p>
      <w:pPr>
        <w:spacing w:line="700" w:lineRule="exact"/>
        <w:ind w:right="-193" w:rightChars="-69"/>
        <w:rPr>
          <w:rFonts w:ascii="方正小标宋_GBK" w:hAnsi="宋体" w:eastAsia="方正小标宋_GBK"/>
          <w:sz w:val="36"/>
          <w:szCs w:val="30"/>
        </w:rPr>
      </w:pPr>
    </w:p>
    <w:p>
      <w:pPr>
        <w:spacing w:line="720" w:lineRule="exact"/>
        <w:jc w:val="center"/>
        <w:rPr>
          <w:rFonts w:ascii="方正黑体_GBK" w:hAnsi="宋体" w:eastAsia="方正黑体_GBK"/>
          <w:sz w:val="48"/>
          <w:szCs w:val="32"/>
        </w:rPr>
      </w:pPr>
    </w:p>
    <w:p>
      <w:pPr>
        <w:spacing w:line="720" w:lineRule="exact"/>
        <w:jc w:val="center"/>
        <w:rPr>
          <w:rFonts w:ascii="方正黑体_GBK" w:hAnsi="宋体" w:eastAsia="方正黑体_GBK"/>
          <w:sz w:val="48"/>
          <w:szCs w:val="32"/>
        </w:rPr>
      </w:pPr>
    </w:p>
    <w:p>
      <w:pPr>
        <w:spacing w:line="720" w:lineRule="exact"/>
        <w:jc w:val="center"/>
        <w:rPr>
          <w:rFonts w:ascii="宋体" w:hAnsi="宋体"/>
          <w:sz w:val="48"/>
          <w:szCs w:val="32"/>
        </w:rPr>
      </w:pPr>
      <w:r>
        <w:rPr>
          <w:rFonts w:hint="eastAsia" w:ascii="宋体" w:hAnsi="宋体"/>
          <w:sz w:val="48"/>
          <w:szCs w:val="32"/>
        </w:rPr>
        <w:t>二〇二一年</w:t>
      </w:r>
      <w:r>
        <w:rPr>
          <w:rFonts w:hint="eastAsia" w:ascii="宋体" w:hAnsi="宋体"/>
          <w:sz w:val="48"/>
          <w:szCs w:val="32"/>
          <w:lang w:eastAsia="zh-CN"/>
        </w:rPr>
        <w:t>二</w:t>
      </w:r>
      <w:r>
        <w:rPr>
          <w:rFonts w:hint="eastAsia" w:ascii="宋体" w:hAnsi="宋体"/>
          <w:sz w:val="48"/>
          <w:szCs w:val="32"/>
        </w:rPr>
        <w:t>月</w:t>
      </w:r>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p>
      <w:pPr>
        <w:spacing w:line="480" w:lineRule="exact"/>
        <w:jc w:val="center"/>
        <w:rPr>
          <w:rFonts w:ascii="宋体" w:hAnsi="宋体"/>
          <w:b/>
          <w:sz w:val="44"/>
          <w:szCs w:val="28"/>
        </w:rPr>
      </w:pPr>
      <w:r>
        <w:rPr>
          <w:rFonts w:hint="eastAsia" w:ascii="宋体" w:hAnsi="宋体"/>
          <w:b/>
          <w:sz w:val="44"/>
          <w:szCs w:val="28"/>
        </w:rPr>
        <w:t>目   录</w:t>
      </w:r>
    </w:p>
    <w:p>
      <w:pPr>
        <w:pStyle w:val="10"/>
        <w:tabs>
          <w:tab w:val="right" w:leader="dot" w:pos="9402"/>
        </w:tabs>
        <w:spacing w:line="480" w:lineRule="exact"/>
        <w:ind w:left="560"/>
        <w:rPr>
          <w:rFonts w:ascii="Calibri" w:hAnsi="Calibr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"_Toc466546901" </w:instrText>
      </w:r>
      <w:r>
        <w:fldChar w:fldCharType="separate"/>
      </w:r>
      <w:r>
        <w:rPr>
          <w:rStyle w:val="14"/>
          <w:rFonts w:hint="eastAsia" w:ascii="方正小标宋_GBK" w:hAnsi="宋体" w:eastAsia="方正小标宋_GBK"/>
          <w:color w:val="auto"/>
        </w:rPr>
        <w:t>第一篇采购邀请书</w:t>
      </w:r>
      <w:r>
        <w:tab/>
      </w:r>
      <w:r>
        <w:fldChar w:fldCharType="begin"/>
      </w:r>
      <w:r>
        <w:instrText xml:space="preserve"> PAGEREF _Toc466546901 \h </w:instrText>
      </w:r>
      <w:r>
        <w:fldChar w:fldCharType="separate"/>
      </w:r>
      <w:r>
        <w:t>4</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"_Toc466546902" </w:instrText>
      </w:r>
      <w:r>
        <w:fldChar w:fldCharType="separate"/>
      </w:r>
      <w:r>
        <w:rPr>
          <w:rStyle w:val="14"/>
          <w:rFonts w:hint="eastAsia" w:ascii="方正仿宋_GBK" w:eastAsia="方正仿宋_GBK"/>
          <w:color w:val="auto"/>
        </w:rPr>
        <w:t>一、</w:t>
      </w:r>
      <w:r>
        <w:rPr>
          <w:rStyle w:val="14"/>
          <w:rFonts w:hint="eastAsia" w:ascii="方正仿宋_GBK" w:hAnsi="宋体" w:eastAsia="方正仿宋_GBK"/>
          <w:color w:val="auto"/>
        </w:rPr>
        <w:t>竞争性磋商</w:t>
      </w:r>
      <w:r>
        <w:rPr>
          <w:rStyle w:val="14"/>
          <w:rFonts w:hint="eastAsia" w:ascii="方正仿宋_GBK" w:eastAsia="方正仿宋_GBK"/>
          <w:color w:val="auto"/>
        </w:rPr>
        <w:t>内容</w:t>
      </w:r>
      <w:r>
        <w:tab/>
      </w:r>
      <w:r>
        <w:fldChar w:fldCharType="begin"/>
      </w:r>
      <w:r>
        <w:instrText xml:space="preserve"> PAGEREF _Toc466546902 \h </w:instrText>
      </w:r>
      <w:r>
        <w:fldChar w:fldCharType="separate"/>
      </w:r>
      <w:r>
        <w:t>4</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"_Toc466546903" </w:instrText>
      </w:r>
      <w:r>
        <w:fldChar w:fldCharType="separate"/>
      </w:r>
      <w:r>
        <w:rPr>
          <w:rStyle w:val="14"/>
          <w:rFonts w:hint="eastAsia" w:ascii="方正仿宋_GBK" w:eastAsia="方正仿宋_GBK"/>
          <w:color w:val="auto"/>
        </w:rPr>
        <w:t>二、资金来源</w:t>
      </w:r>
      <w:r>
        <w:tab/>
      </w:r>
      <w:r>
        <w:fldChar w:fldCharType="begin"/>
      </w:r>
      <w:r>
        <w:instrText xml:space="preserve"> PAGEREF _Toc466546903 \h </w:instrText>
      </w:r>
      <w:r>
        <w:fldChar w:fldCharType="separate"/>
      </w:r>
      <w:r>
        <w:t>4</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"_Toc466546904" </w:instrText>
      </w:r>
      <w:r>
        <w:fldChar w:fldCharType="separate"/>
      </w:r>
      <w:r>
        <w:rPr>
          <w:rStyle w:val="14"/>
          <w:rFonts w:hint="eastAsia" w:ascii="方正仿宋_GBK" w:eastAsia="方正仿宋_GBK"/>
          <w:color w:val="auto"/>
        </w:rPr>
        <w:t>三、竞标人资格条件</w:t>
      </w:r>
      <w:r>
        <w:tab/>
      </w:r>
      <w:r>
        <w:fldChar w:fldCharType="begin"/>
      </w:r>
      <w:r>
        <w:instrText xml:space="preserve"> PAGEREF _Toc466546904 \h </w:instrText>
      </w:r>
      <w:r>
        <w:fldChar w:fldCharType="separate"/>
      </w:r>
      <w:r>
        <w:t>4</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"_Toc466546905" </w:instrText>
      </w:r>
      <w:r>
        <w:fldChar w:fldCharType="separate"/>
      </w:r>
      <w:r>
        <w:rPr>
          <w:rStyle w:val="14"/>
          <w:rFonts w:hint="eastAsia" w:ascii="方正仿宋_GBK" w:eastAsia="方正仿宋_GBK"/>
          <w:color w:val="auto"/>
        </w:rPr>
        <w:t>四、磋商有关说明</w:t>
      </w:r>
      <w:r>
        <w:tab/>
      </w:r>
      <w:r>
        <w:fldChar w:fldCharType="begin"/>
      </w:r>
      <w:r>
        <w:instrText xml:space="preserve"> PAGEREF _Toc466546905 \h </w:instrText>
      </w:r>
      <w:r>
        <w:fldChar w:fldCharType="separate"/>
      </w:r>
      <w:r>
        <w:t>4</w:t>
      </w:r>
      <w:r>
        <w:fldChar w:fldCharType="end"/>
      </w:r>
      <w:r>
        <w:fldChar w:fldCharType="end"/>
      </w:r>
    </w:p>
    <w:p>
      <w:pPr>
        <w:pStyle w:val="4"/>
        <w:tabs>
          <w:tab w:val="right" w:leader="dot" w:pos="9402"/>
        </w:tabs>
        <w:spacing w:line="480" w:lineRule="exact"/>
        <w:ind w:left="1120"/>
        <w:rPr>
          <w:rStyle w:val="14"/>
          <w:color w:val="auto"/>
        </w:rPr>
      </w:pPr>
      <w:r>
        <w:fldChar w:fldCharType="begin"/>
      </w:r>
      <w:r>
        <w:instrText xml:space="preserve"> HYPERLINK \l "_Toc466546906" </w:instrText>
      </w:r>
      <w:r>
        <w:fldChar w:fldCharType="separate"/>
      </w:r>
      <w:r>
        <w:rPr>
          <w:rStyle w:val="14"/>
          <w:rFonts w:hint="eastAsia" w:ascii="方正仿宋_GBK" w:eastAsia="方正仿宋_GBK"/>
          <w:color w:val="auto"/>
        </w:rPr>
        <w:t>五、磋商保证金</w:t>
      </w:r>
      <w:r>
        <w:tab/>
      </w:r>
      <w:r>
        <w:fldChar w:fldCharType="begin"/>
      </w:r>
      <w:r>
        <w:instrText xml:space="preserve"> PAGEREF _Toc466546906 \h </w:instrText>
      </w:r>
      <w:r>
        <w:fldChar w:fldCharType="separate"/>
      </w:r>
      <w:r>
        <w:t>5</w:t>
      </w:r>
      <w:r>
        <w:fldChar w:fldCharType="end"/>
      </w:r>
      <w:r>
        <w:fldChar w:fldCharType="end"/>
      </w:r>
    </w:p>
    <w:p>
      <w:pPr>
        <w:tabs>
          <w:tab w:val="left" w:pos="1132"/>
        </w:tabs>
      </w:pPr>
      <w:r>
        <w:tab/>
      </w:r>
      <w:r>
        <w:rPr>
          <w:rStyle w:val="14"/>
          <w:rFonts w:hint="eastAsia" w:ascii="方正仿宋_GBK" w:eastAsia="方正仿宋_GBK"/>
          <w:color w:val="auto"/>
        </w:rPr>
        <w:t>六、履约保证金</w:t>
      </w:r>
      <w:r>
        <w:rPr>
          <w:rStyle w:val="14"/>
          <w:rFonts w:ascii="方正仿宋_GBK" w:eastAsia="方正仿宋_GBK"/>
          <w:color w:val="auto"/>
        </w:rPr>
        <w:t>……………………………………………………</w:t>
      </w:r>
      <w:r>
        <w:rPr>
          <w:rStyle w:val="14"/>
          <w:rFonts w:hint="eastAsia" w:ascii="方正仿宋_GBK" w:eastAsia="方正仿宋_GBK"/>
          <w:color w:val="auto"/>
        </w:rPr>
        <w:t>.</w:t>
      </w:r>
      <w:r>
        <w:rPr>
          <w:rStyle w:val="14"/>
          <w:rFonts w:ascii="方正仿宋_GBK" w:eastAsia="方正仿宋_GBK"/>
          <w:color w:val="auto"/>
        </w:rPr>
        <w:tab/>
      </w:r>
      <w:r>
        <w:rPr>
          <w:rStyle w:val="14"/>
          <w:rFonts w:hint="eastAsia" w:ascii="方正仿宋_GBK" w:eastAsia="方正仿宋_GBK"/>
          <w:color w:val="auto"/>
        </w:rPr>
        <w:t>.</w:t>
      </w:r>
      <w:r>
        <w:fldChar w:fldCharType="begin"/>
      </w:r>
      <w:r>
        <w:instrText xml:space="preserve"> PAGEREF _Toc466546907 \h </w:instrText>
      </w:r>
      <w:r>
        <w:fldChar w:fldCharType="separate"/>
      </w:r>
      <w:r>
        <w:t>6</w:t>
      </w:r>
      <w:r>
        <w:fldChar w:fldCharType="end"/>
      </w:r>
    </w:p>
    <w:p>
      <w:pPr>
        <w:tabs>
          <w:tab w:val="left" w:pos="1132"/>
        </w:tabs>
      </w:pPr>
      <w:r>
        <w:tab/>
      </w:r>
      <w:r>
        <w:rPr>
          <w:rStyle w:val="14"/>
          <w:rFonts w:hint="eastAsia" w:ascii="方正仿宋_GBK" w:eastAsia="方正仿宋_GBK"/>
          <w:color w:val="auto"/>
        </w:rPr>
        <w:t>七、采购项目需落实的政府采购政策</w:t>
      </w:r>
      <w:r>
        <w:rPr>
          <w:rStyle w:val="14"/>
          <w:rFonts w:ascii="方正仿宋_GBK" w:eastAsia="方正仿宋_GBK"/>
          <w:color w:val="auto"/>
        </w:rPr>
        <w:t>…………………………</w:t>
      </w:r>
      <w:r>
        <w:rPr>
          <w:rStyle w:val="14"/>
          <w:rFonts w:hint="eastAsia" w:ascii="方正仿宋_GBK" w:eastAsia="方正仿宋_GBK"/>
          <w:color w:val="auto"/>
        </w:rPr>
        <w:t>.</w:t>
      </w:r>
      <w:r>
        <w:rPr>
          <w:rStyle w:val="14"/>
          <w:rFonts w:ascii="方正仿宋_GBK" w:eastAsia="方正仿宋_GBK"/>
          <w:color w:val="auto"/>
        </w:rPr>
        <w:tab/>
      </w:r>
      <w:r>
        <w:rPr>
          <w:rStyle w:val="14"/>
          <w:rFonts w:hint="eastAsia" w:ascii="方正仿宋_GBK" w:eastAsia="方正仿宋_GBK"/>
          <w:color w:val="auto"/>
        </w:rPr>
        <w:t>.</w:t>
      </w:r>
      <w:r>
        <w:fldChar w:fldCharType="begin"/>
      </w:r>
      <w:r>
        <w:instrText xml:space="preserve"> PAGEREF _Toc466546907 \h </w:instrText>
      </w:r>
      <w:r>
        <w:fldChar w:fldCharType="separate"/>
      </w:r>
      <w:r>
        <w:t>6</w:t>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"_Toc466546907" </w:instrText>
      </w:r>
      <w:r>
        <w:fldChar w:fldCharType="separate"/>
      </w:r>
      <w:r>
        <w:rPr>
          <w:rStyle w:val="14"/>
          <w:rFonts w:hint="eastAsia" w:ascii="方正仿宋_GBK" w:hAnsi="宋体" w:eastAsia="方正仿宋_GBK"/>
          <w:color w:val="auto"/>
        </w:rPr>
        <w:t>八、其它有关规定</w:t>
      </w:r>
      <w:r>
        <w:tab/>
      </w:r>
      <w:r>
        <w:fldChar w:fldCharType="begin"/>
      </w:r>
      <w:r>
        <w:instrText xml:space="preserve"> PAGEREF _Toc466546907 \h </w:instrText>
      </w:r>
      <w:r>
        <w:fldChar w:fldCharType="separate"/>
      </w:r>
      <w:r>
        <w:t>6</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"_Toc466546908" </w:instrText>
      </w:r>
      <w:r>
        <w:fldChar w:fldCharType="separate"/>
      </w:r>
      <w:r>
        <w:rPr>
          <w:rStyle w:val="14"/>
          <w:rFonts w:hint="eastAsia" w:ascii="方正仿宋_GBK" w:hAnsi="宋体" w:eastAsia="方正仿宋_GBK"/>
          <w:color w:val="auto"/>
        </w:rPr>
        <w:t>九</w:t>
      </w:r>
      <w:bookmarkStart w:id="0" w:name="_Hlt497492855"/>
      <w:bookmarkEnd w:id="0"/>
      <w:bookmarkStart w:id="1" w:name="_Hlt497492854"/>
      <w:bookmarkEnd w:id="1"/>
      <w:r>
        <w:rPr>
          <w:rStyle w:val="14"/>
          <w:rFonts w:hint="eastAsia" w:ascii="方正仿宋_GBK" w:hAnsi="宋体" w:eastAsia="方正仿宋_GBK"/>
          <w:color w:val="auto"/>
        </w:rPr>
        <w:t>、联系方式</w:t>
      </w:r>
      <w:r>
        <w:tab/>
      </w:r>
      <w:r>
        <w:fldChar w:fldCharType="begin"/>
      </w:r>
      <w:r>
        <w:instrText xml:space="preserve"> PAGEREF _Toc466546908 \h </w:instrText>
      </w:r>
      <w:r>
        <w:fldChar w:fldCharType="separate"/>
      </w:r>
      <w:r>
        <w:t>- 6 -</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"_Toc466546909" </w:instrText>
      </w:r>
      <w:r>
        <w:fldChar w:fldCharType="separate"/>
      </w:r>
      <w:r>
        <w:rPr>
          <w:rStyle w:val="14"/>
          <w:rFonts w:hint="eastAsia" w:ascii="方正小标宋_GBK" w:hAnsi="宋体" w:eastAsia="方正小标宋_GBK"/>
        </w:rPr>
        <w:t>第二篇采购服务需求</w:t>
      </w:r>
      <w:r>
        <w:tab/>
      </w:r>
      <w:r>
        <w:fldChar w:fldCharType="begin"/>
      </w:r>
      <w:r>
        <w:instrText xml:space="preserve"> PAGEREF _Toc466546909 \h </w:instrText>
      </w:r>
      <w:r>
        <w:fldChar w:fldCharType="separate"/>
      </w:r>
      <w:r>
        <w:t>- 9 -</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"_Toc466546912" </w:instrText>
      </w:r>
      <w:r>
        <w:fldChar w:fldCharType="separate"/>
      </w:r>
      <w:r>
        <w:rPr>
          <w:rStyle w:val="14"/>
          <w:rFonts w:hint="eastAsia" w:ascii="方正小标宋_GBK" w:hAnsi="宋体" w:eastAsia="方正小标宋_GBK"/>
        </w:rPr>
        <w:t>第三篇采购商务需求</w:t>
      </w:r>
      <w:r>
        <w:tab/>
      </w:r>
      <w:r>
        <w:fldChar w:fldCharType="begin"/>
      </w:r>
      <w:r>
        <w:instrText xml:space="preserve"> PAGEREF _Toc466546912 \h </w:instrText>
      </w:r>
      <w:r>
        <w:fldChar w:fldCharType="separate"/>
      </w:r>
      <w:r>
        <w:t>- 9 -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"_Toc466546913" </w:instrText>
      </w:r>
      <w:r>
        <w:fldChar w:fldCharType="separate"/>
      </w:r>
      <w:r>
        <w:rPr>
          <w:rStyle w:val="14"/>
          <w:rFonts w:hint="eastAsia" w:ascii="方正仿宋_GBK" w:hAnsi="宋体" w:eastAsia="方正仿宋_GBK"/>
        </w:rPr>
        <w:t>一、服务期、地点及验收方式</w:t>
      </w:r>
      <w:r>
        <w:tab/>
      </w:r>
      <w:r>
        <w:fldChar w:fldCharType="begin"/>
      </w:r>
      <w:r>
        <w:instrText xml:space="preserve"> PAGEREF _Toc466546913 \h </w:instrText>
      </w:r>
      <w:r>
        <w:fldChar w:fldCharType="separate"/>
      </w:r>
      <w:r>
        <w:t>- 10 -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"_Toc466546914" </w:instrText>
      </w:r>
      <w:r>
        <w:fldChar w:fldCharType="separate"/>
      </w:r>
      <w:r>
        <w:rPr>
          <w:rStyle w:val="14"/>
          <w:rFonts w:hint="eastAsia" w:ascii="方正仿宋_GBK" w:hAnsi="宋体" w:eastAsia="方正仿宋_GBK"/>
        </w:rPr>
        <w:t>二、报价要求</w:t>
      </w:r>
      <w:r>
        <w:tab/>
      </w:r>
      <w:r>
        <w:fldChar w:fldCharType="begin"/>
      </w:r>
      <w:r>
        <w:instrText xml:space="preserve"> PAGEREF _Toc466546914 \h </w:instrText>
      </w:r>
      <w:r>
        <w:fldChar w:fldCharType="separate"/>
      </w:r>
      <w:r>
        <w:t>- 10 -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"_Toc466546915" </w:instrText>
      </w:r>
      <w:r>
        <w:fldChar w:fldCharType="separate"/>
      </w:r>
      <w:r>
        <w:rPr>
          <w:rStyle w:val="14"/>
          <w:rFonts w:hint="eastAsia" w:ascii="方正仿宋_GBK" w:hAnsi="宋体" w:eastAsia="方正仿宋_GBK"/>
        </w:rPr>
        <w:t>三、质量保证及售后服务</w:t>
      </w:r>
      <w:r>
        <w:tab/>
      </w:r>
      <w:r>
        <w:fldChar w:fldCharType="begin"/>
      </w:r>
      <w:r>
        <w:instrText xml:space="preserve"> PAGEREF _Toc466546915 \h </w:instrText>
      </w:r>
      <w:r>
        <w:fldChar w:fldCharType="separate"/>
      </w:r>
      <w:r>
        <w:t>- 10 -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"_Toc466546916" </w:instrText>
      </w:r>
      <w:r>
        <w:fldChar w:fldCharType="separate"/>
      </w:r>
      <w:r>
        <w:rPr>
          <w:rStyle w:val="14"/>
          <w:rFonts w:hint="eastAsia" w:ascii="方正仿宋_GBK" w:hAnsi="宋体" w:eastAsia="方正仿宋_GBK"/>
        </w:rPr>
        <w:t>四、付款方式</w:t>
      </w:r>
      <w:r>
        <w:tab/>
      </w:r>
      <w:r>
        <w:fldChar w:fldCharType="begin"/>
      </w:r>
      <w:r>
        <w:instrText xml:space="preserve"> PAGEREF _Toc466546916 \h </w:instrText>
      </w:r>
      <w:r>
        <w:fldChar w:fldCharType="separate"/>
      </w:r>
      <w:r>
        <w:t>- 11 -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"_Toc466546917" </w:instrText>
      </w:r>
      <w:r>
        <w:fldChar w:fldCharType="separate"/>
      </w:r>
      <w:r>
        <w:rPr>
          <w:rStyle w:val="14"/>
          <w:rFonts w:hint="eastAsia" w:ascii="方正仿宋_GBK" w:hAnsi="宋体" w:eastAsia="方正仿宋_GBK"/>
        </w:rPr>
        <w:t>五、知识产权</w:t>
      </w:r>
      <w:r>
        <w:tab/>
      </w:r>
      <w:r>
        <w:fldChar w:fldCharType="begin"/>
      </w:r>
      <w:r>
        <w:instrText xml:space="preserve"> PAGEREF _Toc466546917 \h </w:instrText>
      </w:r>
      <w:r>
        <w:fldChar w:fldCharType="separate"/>
      </w:r>
      <w:r>
        <w:t>- 11 -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"_Toc466546918" </w:instrText>
      </w:r>
      <w:r>
        <w:fldChar w:fldCharType="separate"/>
      </w:r>
      <w:r>
        <w:rPr>
          <w:rStyle w:val="14"/>
          <w:rFonts w:hint="eastAsia" w:ascii="方正仿宋_GBK" w:hAnsi="宋体" w:eastAsia="方正仿宋_GBK"/>
        </w:rPr>
        <w:t>六、其他</w:t>
      </w:r>
      <w:r>
        <w:tab/>
      </w:r>
      <w:r>
        <w:fldChar w:fldCharType="begin"/>
      </w:r>
      <w:r>
        <w:instrText xml:space="preserve"> PAGEREF _Toc466546918 \h </w:instrText>
      </w:r>
      <w:r>
        <w:fldChar w:fldCharType="separate"/>
      </w:r>
      <w:r>
        <w:t>- 12 -</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"_Toc466546919" </w:instrText>
      </w:r>
      <w:r>
        <w:fldChar w:fldCharType="separate"/>
      </w:r>
      <w:r>
        <w:rPr>
          <w:rStyle w:val="14"/>
          <w:rFonts w:hint="eastAsia" w:ascii="方正小标宋_GBK" w:hAnsi="宋体" w:eastAsia="方正小标宋_GBK"/>
        </w:rPr>
        <w:t>第四篇磋商程序及方法、评审标准、无效响应和</w:t>
      </w:r>
      <w:r>
        <w:rPr>
          <w:rStyle w:val="14"/>
          <w:rFonts w:hint="eastAsia" w:ascii="方正小标宋_GBK" w:eastAsia="方正小标宋_GBK"/>
        </w:rPr>
        <w:t>采购终止</w:t>
      </w:r>
      <w:r>
        <w:tab/>
      </w:r>
      <w:r>
        <w:fldChar w:fldCharType="begin"/>
      </w:r>
      <w:r>
        <w:instrText xml:space="preserve"> PAGEREF _Toc466546919 \h </w:instrText>
      </w:r>
      <w:r>
        <w:fldChar w:fldCharType="separate"/>
      </w:r>
      <w:r>
        <w:t>- 13 -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"_Toc466546920" </w:instrText>
      </w:r>
      <w:r>
        <w:fldChar w:fldCharType="separate"/>
      </w:r>
      <w:r>
        <w:rPr>
          <w:rStyle w:val="14"/>
          <w:rFonts w:hint="eastAsia" w:ascii="方正仿宋_GBK" w:hAnsi="宋体" w:eastAsia="方正仿宋_GBK"/>
        </w:rPr>
        <w:t>一、磋商程序及方法</w:t>
      </w:r>
      <w:r>
        <w:tab/>
      </w:r>
      <w:r>
        <w:fldChar w:fldCharType="begin"/>
      </w:r>
      <w:r>
        <w:instrText xml:space="preserve"> PAGEREF _Toc466546920 \h </w:instrText>
      </w:r>
      <w:r>
        <w:fldChar w:fldCharType="separate"/>
      </w:r>
      <w:r>
        <w:t>- 13 -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"_Toc466546921" </w:instrText>
      </w:r>
      <w:r>
        <w:fldChar w:fldCharType="separate"/>
      </w:r>
      <w:r>
        <w:rPr>
          <w:rStyle w:val="14"/>
          <w:rFonts w:hint="eastAsia" w:ascii="方正仿宋_GBK" w:hAnsi="宋体" w:eastAsia="方正仿宋_GBK"/>
        </w:rPr>
        <w:t>二、</w:t>
      </w:r>
      <w:r>
        <w:rPr>
          <w:rStyle w:val="14"/>
          <w:rFonts w:hint="eastAsia" w:ascii="方正仿宋_GBK" w:eastAsia="方正仿宋_GBK"/>
        </w:rPr>
        <w:t>评审标准</w:t>
      </w:r>
      <w:r>
        <w:tab/>
      </w:r>
      <w:r>
        <w:fldChar w:fldCharType="begin"/>
      </w:r>
      <w:r>
        <w:instrText xml:space="preserve"> PAGEREF _Toc466546921 \h </w:instrText>
      </w:r>
      <w:r>
        <w:fldChar w:fldCharType="separate"/>
      </w:r>
      <w:r>
        <w:t>- 15 -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"_Toc466546922" </w:instrText>
      </w:r>
      <w:r>
        <w:fldChar w:fldCharType="separate"/>
      </w:r>
      <w:r>
        <w:rPr>
          <w:rStyle w:val="14"/>
          <w:rFonts w:hint="eastAsia" w:ascii="方正仿宋_GBK" w:eastAsia="方正仿宋_GBK"/>
        </w:rPr>
        <w:t>三、无效响应</w:t>
      </w:r>
      <w:r>
        <w:tab/>
      </w:r>
      <w:r>
        <w:fldChar w:fldCharType="begin"/>
      </w:r>
      <w:r>
        <w:instrText xml:space="preserve"> PAGEREF _Toc466546922 \h </w:instrText>
      </w:r>
      <w:r>
        <w:fldChar w:fldCharType="separate"/>
      </w:r>
      <w:r>
        <w:t>- 16 -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"_Toc466546923" </w:instrText>
      </w:r>
      <w:r>
        <w:fldChar w:fldCharType="separate"/>
      </w:r>
      <w:r>
        <w:rPr>
          <w:rStyle w:val="14"/>
          <w:rFonts w:hint="eastAsia" w:ascii="方正仿宋_GBK" w:eastAsia="方正仿宋_GBK"/>
        </w:rPr>
        <w:t>四、采购终止</w:t>
      </w:r>
      <w:r>
        <w:tab/>
      </w:r>
      <w:r>
        <w:fldChar w:fldCharType="begin"/>
      </w:r>
      <w:r>
        <w:instrText xml:space="preserve"> PAGEREF _Toc466546923 \h </w:instrText>
      </w:r>
      <w:r>
        <w:fldChar w:fldCharType="separate"/>
      </w:r>
      <w:r>
        <w:t>- 16 -</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"_Toc466546924" </w:instrText>
      </w:r>
      <w:r>
        <w:fldChar w:fldCharType="separate"/>
      </w:r>
      <w:r>
        <w:rPr>
          <w:rStyle w:val="14"/>
          <w:rFonts w:hint="eastAsia" w:ascii="方正小标宋_GBK" w:hAnsi="宋体" w:eastAsia="方正小标宋_GBK"/>
        </w:rPr>
        <w:t>第五篇竞标人须知</w:t>
      </w:r>
      <w:r>
        <w:tab/>
      </w:r>
      <w:r>
        <w:fldChar w:fldCharType="begin"/>
      </w:r>
      <w:r>
        <w:instrText xml:space="preserve"> PAGEREF _Toc466546924 \h </w:instrText>
      </w:r>
      <w:r>
        <w:fldChar w:fldCharType="separate"/>
      </w:r>
      <w:r>
        <w:t>- 17 -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"_Toc466546925" </w:instrText>
      </w:r>
      <w:r>
        <w:fldChar w:fldCharType="separate"/>
      </w:r>
      <w:r>
        <w:rPr>
          <w:rStyle w:val="14"/>
          <w:rFonts w:hint="eastAsia" w:ascii="方正仿宋_GBK" w:eastAsia="方正仿宋_GBK"/>
        </w:rPr>
        <w:t>一、磋商费用</w:t>
      </w:r>
      <w:r>
        <w:tab/>
      </w:r>
      <w:r>
        <w:fldChar w:fldCharType="begin"/>
      </w:r>
      <w:r>
        <w:instrText xml:space="preserve"> PAGEREF _Toc466546925 \h </w:instrText>
      </w:r>
      <w:r>
        <w:fldChar w:fldCharType="separate"/>
      </w:r>
      <w:r>
        <w:t>- 17 -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"_Toc466546926" </w:instrText>
      </w:r>
      <w:r>
        <w:fldChar w:fldCharType="separate"/>
      </w:r>
      <w:r>
        <w:rPr>
          <w:rStyle w:val="14"/>
          <w:rFonts w:hint="eastAsia" w:ascii="方正仿宋_GBK" w:eastAsia="方正仿宋_GBK"/>
        </w:rPr>
        <w:t>二、竞争性磋商文件</w:t>
      </w:r>
      <w:r>
        <w:tab/>
      </w:r>
      <w:r>
        <w:fldChar w:fldCharType="begin"/>
      </w:r>
      <w:r>
        <w:instrText xml:space="preserve"> PAGEREF _Toc466546926 \h </w:instrText>
      </w:r>
      <w:r>
        <w:fldChar w:fldCharType="separate"/>
      </w:r>
      <w:r>
        <w:t>- 17 -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"_Toc466546927" </w:instrText>
      </w:r>
      <w:r>
        <w:fldChar w:fldCharType="separate"/>
      </w:r>
      <w:r>
        <w:rPr>
          <w:rStyle w:val="14"/>
          <w:rFonts w:hint="eastAsia" w:ascii="方正仿宋_GBK" w:eastAsia="方正仿宋_GBK"/>
        </w:rPr>
        <w:t>三、磋商要求</w:t>
      </w:r>
      <w:r>
        <w:tab/>
      </w:r>
      <w:r>
        <w:fldChar w:fldCharType="begin"/>
      </w:r>
      <w:r>
        <w:instrText xml:space="preserve"> PAGEREF _Toc466546927 \h </w:instrText>
      </w:r>
      <w:r>
        <w:fldChar w:fldCharType="separate"/>
      </w:r>
      <w:r>
        <w:t>- 17 -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"_Toc466546928" </w:instrText>
      </w:r>
      <w:r>
        <w:fldChar w:fldCharType="separate"/>
      </w:r>
      <w:r>
        <w:rPr>
          <w:rStyle w:val="14"/>
          <w:rFonts w:hint="eastAsia" w:ascii="方正仿宋_GBK" w:eastAsia="方正仿宋_GBK"/>
        </w:rPr>
        <w:t>四、成交竞标人的确认和变更</w:t>
      </w:r>
      <w:r>
        <w:tab/>
      </w:r>
      <w:r>
        <w:fldChar w:fldCharType="begin"/>
      </w:r>
      <w:r>
        <w:instrText xml:space="preserve"> PAGEREF _Toc466546928 \h </w:instrText>
      </w:r>
      <w:r>
        <w:fldChar w:fldCharType="separate"/>
      </w:r>
      <w:r>
        <w:t>- 18 -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"_Toc466546929" </w:instrText>
      </w:r>
      <w:r>
        <w:fldChar w:fldCharType="separate"/>
      </w:r>
      <w:r>
        <w:rPr>
          <w:rStyle w:val="14"/>
          <w:rFonts w:hint="eastAsia" w:ascii="方正仿宋_GBK" w:eastAsia="方正仿宋_GBK"/>
        </w:rPr>
        <w:t>五、成交通知</w:t>
      </w:r>
      <w:r>
        <w:tab/>
      </w:r>
      <w:r>
        <w:fldChar w:fldCharType="begin"/>
      </w:r>
      <w:r>
        <w:instrText xml:space="preserve"> PAGEREF _Toc466546929 \h </w:instrText>
      </w:r>
      <w:r>
        <w:fldChar w:fldCharType="separate"/>
      </w:r>
      <w:r>
        <w:t>- 19 -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"_Toc466546930" </w:instrText>
      </w:r>
      <w:r>
        <w:fldChar w:fldCharType="separate"/>
      </w:r>
      <w:r>
        <w:rPr>
          <w:rStyle w:val="14"/>
          <w:rFonts w:hint="eastAsia" w:ascii="方正仿宋_GBK" w:eastAsia="方正仿宋_GBK"/>
        </w:rPr>
        <w:t>六、询问、质疑</w:t>
      </w:r>
      <w:r>
        <w:tab/>
      </w:r>
      <w:r>
        <w:fldChar w:fldCharType="begin"/>
      </w:r>
      <w:r>
        <w:instrText xml:space="preserve"> PAGEREF _Toc466546930 \h </w:instrText>
      </w:r>
      <w:r>
        <w:fldChar w:fldCharType="separate"/>
      </w:r>
      <w:r>
        <w:t>- 19 -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"_Toc466546933" </w:instrText>
      </w:r>
      <w:r>
        <w:fldChar w:fldCharType="separate"/>
      </w:r>
      <w:r>
        <w:rPr>
          <w:rStyle w:val="14"/>
          <w:rFonts w:hint="eastAsia" w:ascii="方正仿宋_GBK" w:eastAsia="方正仿宋_GBK"/>
        </w:rPr>
        <w:t>七、签订合同</w:t>
      </w:r>
      <w:r>
        <w:tab/>
      </w:r>
      <w:r>
        <w:fldChar w:fldCharType="begin"/>
      </w:r>
      <w:r>
        <w:instrText xml:space="preserve"> PAGEREF _Toc466546933 \h </w:instrText>
      </w:r>
      <w:r>
        <w:fldChar w:fldCharType="separate"/>
      </w:r>
      <w:r>
        <w:t>- 20 -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"_Toc466546934" </w:instrText>
      </w:r>
      <w:r>
        <w:fldChar w:fldCharType="separate"/>
      </w:r>
      <w:r>
        <w:rPr>
          <w:rStyle w:val="14"/>
          <w:rFonts w:hint="eastAsia" w:ascii="方正仿宋_GBK" w:eastAsia="方正仿宋_GBK"/>
        </w:rPr>
        <w:t>八、政府采购信用融资</w:t>
      </w:r>
      <w:r>
        <w:tab/>
      </w:r>
      <w:r>
        <w:fldChar w:fldCharType="begin"/>
      </w:r>
      <w:r>
        <w:instrText xml:space="preserve"> PAGEREF _Toc466546934 \h </w:instrText>
      </w:r>
      <w:r>
        <w:fldChar w:fldCharType="separate"/>
      </w:r>
      <w:r>
        <w:rPr>
          <w:b/>
        </w:rPr>
        <w:t>错误！未定义书签。</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"_Toc466546935" </w:instrText>
      </w:r>
      <w:r>
        <w:fldChar w:fldCharType="separate"/>
      </w:r>
      <w:r>
        <w:rPr>
          <w:rStyle w:val="14"/>
          <w:rFonts w:hint="eastAsia" w:ascii="方正小标宋_GBK" w:hAnsi="宋体" w:eastAsia="方正小标宋_GBK"/>
        </w:rPr>
        <w:t>第六篇合同草</w:t>
      </w:r>
      <w:bookmarkStart w:id="2" w:name="_Hlt474935513"/>
      <w:bookmarkStart w:id="3" w:name="_Hlt474935512"/>
      <w:r>
        <w:rPr>
          <w:rStyle w:val="14"/>
          <w:rFonts w:hint="eastAsia" w:ascii="方正小标宋_GBK" w:hAnsi="宋体" w:eastAsia="方正小标宋_GBK"/>
        </w:rPr>
        <w:t>案</w:t>
      </w:r>
      <w:bookmarkEnd w:id="2"/>
      <w:bookmarkEnd w:id="3"/>
      <w:r>
        <w:rPr>
          <w:rStyle w:val="14"/>
          <w:rFonts w:hint="eastAsia" w:ascii="方正小标宋_GBK" w:hAnsi="宋体" w:eastAsia="方正小标宋_GBK"/>
        </w:rPr>
        <w:t>条款</w:t>
      </w:r>
      <w:r>
        <w:tab/>
      </w:r>
      <w:r>
        <w:fldChar w:fldCharType="begin"/>
      </w:r>
      <w:r>
        <w:instrText xml:space="preserve"> PAGEREF _Toc466546935 \h </w:instrText>
      </w:r>
      <w:r>
        <w:fldChar w:fldCharType="separate"/>
      </w:r>
      <w:r>
        <w:t>- 21 -</w:t>
      </w:r>
      <w:r>
        <w:fldChar w:fldCharType="end"/>
      </w:r>
      <w:r>
        <w:fldChar w:fldCharType="end"/>
      </w:r>
    </w:p>
    <w:p>
      <w:pPr>
        <w:pStyle w:val="10"/>
        <w:tabs>
          <w:tab w:val="right" w:leader="dot" w:pos="9402"/>
        </w:tabs>
        <w:spacing w:line="480" w:lineRule="exact"/>
        <w:ind w:left="560"/>
        <w:rPr>
          <w:rFonts w:ascii="Calibri" w:hAnsi="Calibri"/>
          <w:sz w:val="21"/>
          <w:szCs w:val="22"/>
        </w:rPr>
      </w:pPr>
      <w:r>
        <w:fldChar w:fldCharType="begin"/>
      </w:r>
      <w:r>
        <w:instrText xml:space="preserve"> HYPERLINK \l "_Toc466546936" </w:instrText>
      </w:r>
      <w:r>
        <w:fldChar w:fldCharType="separate"/>
      </w:r>
      <w:r>
        <w:rPr>
          <w:rStyle w:val="14"/>
          <w:rFonts w:hint="eastAsia" w:ascii="方正小标宋_GBK" w:hAnsi="宋体" w:eastAsia="方正小标宋_GBK"/>
        </w:rPr>
        <w:t>第七篇响应文件编制要求</w:t>
      </w:r>
      <w:r>
        <w:tab/>
      </w:r>
      <w:r>
        <w:fldChar w:fldCharType="begin"/>
      </w:r>
      <w:r>
        <w:instrText xml:space="preserve"> PAGEREF _Toc466546936 \h </w:instrText>
      </w:r>
      <w:r>
        <w:fldChar w:fldCharType="separate"/>
      </w:r>
      <w:r>
        <w:t>- 22 -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"_Toc466546937" </w:instrText>
      </w:r>
      <w:r>
        <w:fldChar w:fldCharType="separate"/>
      </w:r>
      <w:r>
        <w:rPr>
          <w:rStyle w:val="14"/>
          <w:rFonts w:hint="eastAsia" w:ascii="方正仿宋_GBK" w:hAnsi="宋体" w:eastAsia="方正仿宋_GBK"/>
        </w:rPr>
        <w:t>一、经济部分</w:t>
      </w:r>
      <w:r>
        <w:tab/>
      </w:r>
      <w:r>
        <w:fldChar w:fldCharType="begin"/>
      </w:r>
      <w:r>
        <w:instrText xml:space="preserve"> PAGEREF _Toc466546937 \h </w:instrText>
      </w:r>
      <w:r>
        <w:fldChar w:fldCharType="separate"/>
      </w:r>
      <w:r>
        <w:t>- 24 -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"_Toc466546938" </w:instrText>
      </w:r>
      <w:r>
        <w:fldChar w:fldCharType="separate"/>
      </w:r>
      <w:r>
        <w:rPr>
          <w:rStyle w:val="14"/>
          <w:rFonts w:hint="eastAsia" w:ascii="方正仿宋_GBK" w:hAnsi="宋体" w:eastAsia="方正仿宋_GBK"/>
        </w:rPr>
        <w:t>二、服务部分</w:t>
      </w:r>
      <w:r>
        <w:tab/>
      </w:r>
      <w:r>
        <w:fldChar w:fldCharType="begin"/>
      </w:r>
      <w:r>
        <w:instrText xml:space="preserve"> PAGEREF _Toc466546938 \h </w:instrText>
      </w:r>
      <w:r>
        <w:fldChar w:fldCharType="separate"/>
      </w:r>
      <w:r>
        <w:t>- 25 -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"_Toc466546939" </w:instrText>
      </w:r>
      <w:r>
        <w:fldChar w:fldCharType="separate"/>
      </w:r>
      <w:r>
        <w:rPr>
          <w:rStyle w:val="14"/>
          <w:rFonts w:hint="eastAsia" w:ascii="方正仿宋_GBK" w:hAnsi="宋体" w:eastAsia="方正仿宋_GBK"/>
        </w:rPr>
        <w:t>三、商务部分</w:t>
      </w:r>
      <w:r>
        <w:tab/>
      </w:r>
      <w:r>
        <w:fldChar w:fldCharType="begin"/>
      </w:r>
      <w:r>
        <w:instrText xml:space="preserve"> PAGEREF _Toc466546939 \h </w:instrText>
      </w:r>
      <w:r>
        <w:fldChar w:fldCharType="separate"/>
      </w:r>
      <w:r>
        <w:t>- 27 -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"_Toc466546940" </w:instrText>
      </w:r>
      <w:r>
        <w:fldChar w:fldCharType="separate"/>
      </w:r>
      <w:r>
        <w:rPr>
          <w:rStyle w:val="14"/>
          <w:rFonts w:hint="eastAsia" w:ascii="方正仿宋_GBK" w:hAnsi="宋体" w:eastAsia="方正仿宋_GBK"/>
        </w:rPr>
        <w:t>四、资格条件及其他</w:t>
      </w:r>
      <w:r>
        <w:tab/>
      </w:r>
      <w:r>
        <w:fldChar w:fldCharType="begin"/>
      </w:r>
      <w:r>
        <w:instrText xml:space="preserve"> PAGEREF _Toc466546940 \h </w:instrText>
      </w:r>
      <w:r>
        <w:fldChar w:fldCharType="separate"/>
      </w:r>
      <w:r>
        <w:t>- 29 -</w:t>
      </w:r>
      <w:r>
        <w:fldChar w:fldCharType="end"/>
      </w:r>
      <w:r>
        <w:fldChar w:fldCharType="end"/>
      </w:r>
    </w:p>
    <w:p>
      <w:pPr>
        <w:pStyle w:val="4"/>
        <w:tabs>
          <w:tab w:val="right" w:leader="dot" w:pos="9402"/>
        </w:tabs>
        <w:spacing w:line="480" w:lineRule="exact"/>
        <w:ind w:left="1120"/>
        <w:rPr>
          <w:rFonts w:ascii="Calibri" w:hAnsi="Calibri"/>
          <w:sz w:val="21"/>
          <w:szCs w:val="22"/>
        </w:rPr>
      </w:pPr>
      <w:r>
        <w:fldChar w:fldCharType="begin"/>
      </w:r>
      <w:r>
        <w:instrText xml:space="preserve"> HYPERLINK \l "_Toc466546941" </w:instrText>
      </w:r>
      <w:r>
        <w:fldChar w:fldCharType="separate"/>
      </w:r>
      <w:r>
        <w:rPr>
          <w:rStyle w:val="14"/>
          <w:rFonts w:hint="eastAsia" w:ascii="方正仿宋_GBK" w:hAnsi="宋体" w:eastAsia="方正仿宋_GBK"/>
        </w:rPr>
        <w:t>五、</w:t>
      </w:r>
      <w:r>
        <w:rPr>
          <w:rStyle w:val="14"/>
          <w:rFonts w:hint="eastAsia" w:ascii="方正仿宋_GBK" w:eastAsia="方正仿宋_GBK"/>
        </w:rPr>
        <w:t>其他应提供的资料</w:t>
      </w:r>
      <w:r>
        <w:tab/>
      </w:r>
      <w:r>
        <w:fldChar w:fldCharType="begin"/>
      </w:r>
      <w:r>
        <w:instrText xml:space="preserve"> PAGEREF _Toc466546941 \h </w:instrText>
      </w:r>
      <w:r>
        <w:fldChar w:fldCharType="separate"/>
      </w:r>
      <w:r>
        <w:t>- 37 -</w:t>
      </w:r>
      <w:r>
        <w:fldChar w:fldCharType="end"/>
      </w:r>
      <w:r>
        <w:fldChar w:fldCharType="end"/>
      </w:r>
    </w:p>
    <w:p>
      <w:pPr>
        <w:pStyle w:val="10"/>
        <w:tabs>
          <w:tab w:val="right" w:leader="dot" w:pos="9402"/>
        </w:tabs>
        <w:spacing w:line="480" w:lineRule="exact"/>
        <w:ind w:left="560"/>
        <w:jc w:val="center"/>
        <w:rPr>
          <w:rFonts w:ascii="方正仿宋_GBK" w:hAnsi="Calibri" w:eastAsia="方正仿宋_GBK"/>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pPr>
        <w:pStyle w:val="2"/>
        <w:spacing w:line="360" w:lineRule="auto"/>
        <w:jc w:val="center"/>
        <w:rPr>
          <w:rFonts w:ascii="方正小标宋_GBK" w:hAnsi="宋体" w:eastAsia="方正小标宋_GBK"/>
          <w:b w:val="0"/>
          <w:szCs w:val="30"/>
        </w:rPr>
      </w:pPr>
      <w:bookmarkStart w:id="4" w:name="_Toc12789052"/>
      <w:bookmarkStart w:id="5" w:name="_Toc11641050"/>
      <w:bookmarkStart w:id="6" w:name="_Toc466546901"/>
      <w:r>
        <w:rPr>
          <w:rFonts w:hint="eastAsia" w:ascii="方正小标宋_GBK" w:hAnsi="宋体" w:eastAsia="方正小标宋_GBK"/>
          <w:b w:val="0"/>
          <w:sz w:val="36"/>
          <w:szCs w:val="30"/>
        </w:rPr>
        <w:t>第一篇  采购邀请书</w:t>
      </w:r>
      <w:bookmarkEnd w:id="4"/>
      <w:bookmarkEnd w:id="5"/>
      <w:bookmarkEnd w:id="6"/>
    </w:p>
    <w:p>
      <w:pPr>
        <w:spacing w:line="360" w:lineRule="auto"/>
        <w:rPr>
          <w:rFonts w:ascii="方正仿宋_GBK" w:hAnsi="宋体" w:eastAsia="方正仿宋_GBK"/>
          <w:sz w:val="24"/>
          <w:szCs w:val="24"/>
        </w:rPr>
      </w:pPr>
      <w:r>
        <w:rPr>
          <w:rFonts w:hint="eastAsia" w:ascii="方正仿宋_GBK" w:hAnsi="宋体" w:eastAsia="方正仿宋_GBK"/>
          <w:sz w:val="24"/>
          <w:szCs w:val="24"/>
        </w:rPr>
        <w:t>我司对建桥C区生物医药园新装正式用电工程设计项目进行竞争性磋商采购。欢迎有资格的竞标人前来参与磋商。</w:t>
      </w:r>
    </w:p>
    <w:p>
      <w:pPr>
        <w:pStyle w:val="3"/>
        <w:spacing w:before="0" w:after="0" w:line="400" w:lineRule="exact"/>
        <w:rPr>
          <w:rFonts w:ascii="方正仿宋_GBK" w:eastAsia="方正仿宋_GBK"/>
          <w:sz w:val="24"/>
          <w:szCs w:val="24"/>
        </w:rPr>
      </w:pPr>
      <w:bookmarkStart w:id="7" w:name="_Toc466546902"/>
      <w:bookmarkStart w:id="8" w:name="_Toc317775175"/>
      <w:bookmarkStart w:id="9" w:name="_Toc313893526"/>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7"/>
      <w:bookmarkEnd w:id="8"/>
      <w:bookmarkEnd w:id="9"/>
    </w:p>
    <w:tbl>
      <w:tblPr>
        <w:tblStyle w:val="11"/>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63"/>
        <w:gridCol w:w="1134"/>
        <w:gridCol w:w="1704"/>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188"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分包号</w:t>
            </w:r>
          </w:p>
        </w:tc>
        <w:tc>
          <w:tcPr>
            <w:tcW w:w="2263"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分包名称</w:t>
            </w:r>
          </w:p>
        </w:tc>
        <w:tc>
          <w:tcPr>
            <w:tcW w:w="1134"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采购预算</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704"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磋商保证金</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566" w:type="dxa"/>
            <w:tcBorders>
              <w:top w:val="single" w:color="auto" w:sz="4" w:space="0"/>
              <w:left w:val="single" w:color="auto" w:sz="4" w:space="0"/>
              <w:right w:val="single" w:color="auto" w:sz="4" w:space="0"/>
            </w:tcBorders>
            <w:noWrap/>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566"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188"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4"/>
              </w:rPr>
            </w:pPr>
            <w:bookmarkStart w:id="10" w:name="_Hlk344477914"/>
            <w:r>
              <w:rPr>
                <w:rFonts w:hint="eastAsia" w:ascii="方正仿宋_GBK" w:hAnsi="宋体" w:eastAsia="方正仿宋_GBK" w:cs="宋体"/>
                <w:kern w:val="0"/>
                <w:sz w:val="21"/>
                <w:szCs w:val="24"/>
              </w:rPr>
              <w:t>1</w:t>
            </w:r>
          </w:p>
        </w:tc>
        <w:tc>
          <w:tcPr>
            <w:tcW w:w="2263" w:type="dxa"/>
            <w:tcBorders>
              <w:top w:val="single" w:color="auto" w:sz="4" w:space="0"/>
              <w:left w:val="single" w:color="auto" w:sz="4" w:space="0"/>
              <w:right w:val="single" w:color="auto" w:sz="4" w:space="0"/>
            </w:tcBorders>
            <w:noWrap/>
            <w:vAlign w:val="center"/>
          </w:tcPr>
          <w:p>
            <w:pPr>
              <w:rPr>
                <w:rFonts w:ascii="方正仿宋_GBK" w:hAnsi="宋体" w:eastAsia="方正仿宋_GBK" w:cs="宋体"/>
                <w:kern w:val="0"/>
                <w:sz w:val="21"/>
                <w:szCs w:val="24"/>
              </w:rPr>
            </w:pPr>
            <w:r>
              <w:rPr>
                <w:rFonts w:hint="eastAsia" w:ascii="方正仿宋_GBK" w:hAnsi="宋体" w:eastAsia="方正仿宋_GBK"/>
                <w:sz w:val="24"/>
                <w:szCs w:val="24"/>
              </w:rPr>
              <w:t>建桥C区生物医药园新装正式用电工程设计</w:t>
            </w:r>
          </w:p>
        </w:tc>
        <w:tc>
          <w:tcPr>
            <w:tcW w:w="1134"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4"/>
                <w:highlight w:val="yellow"/>
              </w:rPr>
            </w:pPr>
            <w:r>
              <w:rPr>
                <w:rFonts w:hint="eastAsia" w:ascii="方正仿宋_GBK" w:hAnsi="宋体" w:eastAsia="方正仿宋_GBK" w:cs="宋体"/>
                <w:kern w:val="0"/>
                <w:sz w:val="21"/>
                <w:szCs w:val="24"/>
              </w:rPr>
              <w:t>3</w:t>
            </w:r>
            <w:r>
              <w:rPr>
                <w:rFonts w:ascii="方正仿宋_GBK" w:hAnsi="宋体" w:eastAsia="方正仿宋_GBK" w:cs="宋体"/>
                <w:kern w:val="0"/>
                <w:sz w:val="21"/>
                <w:szCs w:val="24"/>
              </w:rPr>
              <w:t>6.24</w:t>
            </w:r>
          </w:p>
        </w:tc>
        <w:tc>
          <w:tcPr>
            <w:tcW w:w="1704" w:type="dxa"/>
            <w:tcBorders>
              <w:top w:val="single" w:color="auto" w:sz="4" w:space="0"/>
              <w:left w:val="single" w:color="auto" w:sz="4" w:space="0"/>
              <w:right w:val="single" w:color="auto" w:sz="4" w:space="0"/>
            </w:tcBorders>
            <w:noWrap/>
            <w:vAlign w:val="center"/>
          </w:tcPr>
          <w:p>
            <w:pPr>
              <w:widowControl/>
              <w:jc w:val="center"/>
              <w:rPr>
                <w:rFonts w:hint="default" w:ascii="方正仿宋_GBK" w:hAnsi="宋体" w:eastAsia="方正仿宋_GBK" w:cs="宋体"/>
                <w:kern w:val="0"/>
                <w:sz w:val="21"/>
                <w:szCs w:val="24"/>
                <w:highlight w:val="yellow"/>
                <w:lang w:val="en-US" w:eastAsia="zh-CN"/>
              </w:rPr>
            </w:pPr>
            <w:r>
              <w:rPr>
                <w:rFonts w:hint="eastAsia" w:ascii="方正仿宋_GBK" w:hAnsi="宋体" w:eastAsia="方正仿宋_GBK" w:cs="宋体"/>
                <w:kern w:val="0"/>
                <w:sz w:val="21"/>
                <w:szCs w:val="24"/>
                <w:lang w:val="en-US" w:eastAsia="zh-CN"/>
              </w:rPr>
              <w:t>0.7</w:t>
            </w:r>
          </w:p>
        </w:tc>
        <w:tc>
          <w:tcPr>
            <w:tcW w:w="1566"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566"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4"/>
              </w:rPr>
            </w:pPr>
          </w:p>
        </w:tc>
      </w:tr>
      <w:bookmarkEnd w:id="10"/>
    </w:tbl>
    <w:p>
      <w:pPr>
        <w:pStyle w:val="3"/>
        <w:spacing w:before="0" w:after="0" w:line="400" w:lineRule="exact"/>
        <w:rPr>
          <w:rFonts w:ascii="方正仿宋_GBK" w:eastAsia="方正仿宋_GBK"/>
          <w:sz w:val="24"/>
          <w:szCs w:val="24"/>
        </w:rPr>
      </w:pPr>
      <w:bookmarkStart w:id="11" w:name="_Toc466546903"/>
      <w:bookmarkStart w:id="12" w:name="_Toc373860293"/>
      <w:bookmarkStart w:id="13" w:name="_Toc317775178"/>
      <w:r>
        <w:rPr>
          <w:rFonts w:hint="eastAsia" w:ascii="方正仿宋_GBK" w:eastAsia="方正仿宋_GBK"/>
          <w:sz w:val="24"/>
          <w:szCs w:val="24"/>
        </w:rPr>
        <w:t>二、资金来源</w:t>
      </w:r>
      <w:bookmarkEnd w:id="11"/>
    </w:p>
    <w:p>
      <w:pPr>
        <w:snapToGrid w:val="0"/>
        <w:spacing w:line="540" w:lineRule="exact"/>
        <w:rPr>
          <w:rFonts w:ascii="方正仿宋_GBK" w:hAnsi="宋体" w:eastAsia="方正仿宋_GBK"/>
          <w:sz w:val="24"/>
          <w:szCs w:val="24"/>
        </w:rPr>
      </w:pPr>
      <w:r>
        <w:rPr>
          <w:rFonts w:hint="eastAsia" w:ascii="仿宋_GB2312" w:eastAsia="仿宋_GB2312"/>
          <w:sz w:val="24"/>
          <w:szCs w:val="24"/>
        </w:rPr>
        <w:t>单位自筹</w:t>
      </w:r>
      <w:r>
        <w:rPr>
          <w:rFonts w:hint="eastAsia" w:ascii="方正仿宋_GBK" w:hAnsi="宋体" w:eastAsia="方正仿宋_GBK"/>
          <w:sz w:val="24"/>
          <w:szCs w:val="24"/>
        </w:rPr>
        <w:t>。</w:t>
      </w:r>
    </w:p>
    <w:p>
      <w:pPr>
        <w:pStyle w:val="3"/>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三、竞标人资格条件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竞标人是指向采购人提供服务或者货物的法人、其他组织或者自然人。合格的竞标人应首先符合政府采购法第二十二条规定的基本资格条件，同时符合根据该项目特殊要求设置的特定资格条件。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不接受联合体竞标。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bookmarkStart w:id="15" w:name="_Toc46654690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1、投标人具有独立的法人资格，持有效营业执照。</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2、投标人须同时具备以下资质：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（1）具备建设行政主管部门颁发的工程设计电力行业（变电工程、送电工程）专业丙级及以上资质。</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（2）具备建设行政主管部门颁发的工程设计市政行业（道路工程）专业丙级及以上资质或具备建设行政主管部门颁发的工程设计建筑行业（建筑工程）专业丙级及以上资质。</w:t>
      </w:r>
    </w:p>
    <w:p>
      <w:pPr>
        <w:pStyle w:val="3"/>
        <w:spacing w:before="0" w:after="0" w:line="480" w:lineRule="exact"/>
        <w:rPr>
          <w:rFonts w:ascii="仿宋_GB2312" w:hAnsi="宋体" w:eastAsia="仿宋_GB2312"/>
          <w:b w:val="0"/>
          <w:sz w:val="24"/>
        </w:rPr>
      </w:pPr>
      <w:r>
        <w:rPr>
          <w:rFonts w:hint="eastAsia" w:ascii="仿宋_GB2312" w:hAnsi="宋体" w:eastAsia="仿宋_GB2312"/>
          <w:b w:val="0"/>
          <w:sz w:val="24"/>
        </w:rPr>
        <w:t>3、市外企业按《重庆市市外勘察设计企业入渝登记备案管理办法》（渝建〔2013〕310号）规定取得入渝登记备案证。未取得入渝登记备案证的不得参与本次投标。</w:t>
      </w:r>
    </w:p>
    <w:p>
      <w:pPr>
        <w:pStyle w:val="3"/>
        <w:spacing w:before="0" w:after="0" w:line="480" w:lineRule="exact"/>
        <w:rPr>
          <w:rFonts w:ascii="方正仿宋_GBK" w:eastAsia="方正仿宋_GBK"/>
          <w:sz w:val="24"/>
          <w:szCs w:val="24"/>
        </w:rPr>
      </w:pPr>
      <w:r>
        <w:rPr>
          <w:rFonts w:hint="eastAsia" w:ascii="方正仿宋_GBK" w:eastAsia="方正仿宋_GBK"/>
          <w:sz w:val="24"/>
          <w:szCs w:val="24"/>
        </w:rPr>
        <w:t>四、磋商有关说明</w:t>
      </w:r>
      <w:bookmarkEnd w:id="12"/>
      <w:bookmarkEnd w:id="1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（一）凡有意参加磋商的竞标人，请在</w:t>
      </w:r>
      <w:r>
        <w:rPr>
          <w:rFonts w:hint="eastAsia" w:ascii="仿宋_GB2312" w:eastAsia="仿宋_GB2312"/>
          <w:sz w:val="24"/>
          <w:szCs w:val="24"/>
        </w:rPr>
        <w:t>“</w:t>
      </w:r>
      <w:r>
        <w:rPr>
          <w:rFonts w:hint="eastAsia" w:ascii="黑体" w:hAnsi="黑体" w:eastAsia="黑体"/>
          <w:sz w:val="24"/>
        </w:rPr>
        <w:t>建桥工业园</w:t>
      </w:r>
      <w:r>
        <w:rPr>
          <w:rFonts w:hint="eastAsia" w:ascii="仿宋_GB2312" w:hAnsi="宋体" w:eastAsia="仿宋_GB2312"/>
          <w:sz w:val="24"/>
          <w:szCs w:val="24"/>
        </w:rPr>
        <w:t>（</w:t>
      </w:r>
      <w:r>
        <w:rPr>
          <w:rFonts w:ascii="黑体" w:hAnsi="黑体" w:eastAsia="黑体"/>
          <w:sz w:val="24"/>
          <w:u w:val="single"/>
        </w:rPr>
        <w:t>http://www.jqgyy.com/</w:t>
      </w:r>
      <w:r>
        <w:rPr>
          <w:rFonts w:hint="eastAsia" w:ascii="仿宋_GB2312" w:hAnsi="宋体" w:eastAsia="仿宋_GB2312"/>
          <w:sz w:val="24"/>
          <w:szCs w:val="24"/>
        </w:rPr>
        <w:t>）</w:t>
      </w:r>
      <w:r>
        <w:rPr>
          <w:rFonts w:hint="eastAsia" w:ascii="仿宋_GB2312" w:eastAsia="仿宋_GB2312"/>
          <w:sz w:val="24"/>
          <w:szCs w:val="24"/>
        </w:rPr>
        <w:t>”</w:t>
      </w:r>
      <w:r>
        <w:rPr>
          <w:rFonts w:hint="eastAsia" w:ascii="方正仿宋_GBK" w:hAnsi="宋体" w:eastAsia="方正仿宋_GBK"/>
          <w:sz w:val="24"/>
          <w:szCs w:val="24"/>
        </w:rPr>
        <w:t>网站下载本项目竞争性磋商文件以及补遗等磋商前公布的所有项目资料，无论竞标人领取或下载与否，均视为已知晓所有磋商实质性要求内容。</w:t>
      </w:r>
    </w:p>
    <w:p>
      <w:pPr>
        <w:spacing w:line="480" w:lineRule="exact"/>
        <w:ind w:firstLine="480" w:firstLineChars="200"/>
        <w:rPr>
          <w:rFonts w:hint="eastAsia" w:ascii="仿宋_GB2312" w:eastAsia="仿宋_GB2312"/>
          <w:b/>
          <w:sz w:val="24"/>
          <w:szCs w:val="24"/>
          <w:u w:val="single"/>
        </w:rPr>
      </w:pPr>
      <w:r>
        <w:rPr>
          <w:rFonts w:hint="eastAsia" w:ascii="方正仿宋_GBK" w:hAnsi="宋体" w:eastAsia="方正仿宋_GBK"/>
          <w:sz w:val="24"/>
          <w:szCs w:val="24"/>
        </w:rPr>
        <w:t>（二）</w:t>
      </w:r>
      <w:r>
        <w:rPr>
          <w:rFonts w:hint="eastAsia" w:ascii="仿宋_GB2312" w:eastAsia="仿宋_GB2312"/>
          <w:b/>
          <w:sz w:val="24"/>
          <w:szCs w:val="24"/>
          <w:u w:val="single"/>
        </w:rPr>
        <w:t>磋商文件公告期限（对磋商文件的质疑时间）：</w:t>
      </w:r>
      <w:r>
        <w:rPr>
          <w:rFonts w:ascii="仿宋_GB2312" w:eastAsia="仿宋_GB2312"/>
          <w:b/>
          <w:sz w:val="24"/>
          <w:szCs w:val="24"/>
          <w:u w:val="single"/>
        </w:rPr>
        <w:t>自</w:t>
      </w:r>
      <w:r>
        <w:rPr>
          <w:rFonts w:hint="eastAsia" w:ascii="仿宋_GB2312" w:eastAsia="仿宋_GB2312"/>
          <w:b/>
          <w:sz w:val="24"/>
          <w:szCs w:val="24"/>
          <w:u w:val="single"/>
        </w:rPr>
        <w:t>磋商</w:t>
      </w:r>
      <w:r>
        <w:rPr>
          <w:rFonts w:ascii="仿宋_GB2312" w:eastAsia="仿宋_GB2312"/>
          <w:b/>
          <w:sz w:val="24"/>
          <w:szCs w:val="24"/>
          <w:u w:val="single"/>
        </w:rPr>
        <w:t>公告发布之</w:t>
      </w:r>
      <w:r>
        <w:rPr>
          <w:rFonts w:hint="eastAsia" w:ascii="仿宋_GB2312" w:eastAsia="仿宋_GB2312"/>
          <w:b/>
          <w:sz w:val="24"/>
          <w:szCs w:val="24"/>
          <w:u w:val="single"/>
        </w:rPr>
        <w:t>日（2021年</w:t>
      </w:r>
      <w:r>
        <w:rPr>
          <w:rFonts w:hint="eastAsia" w:ascii="仿宋_GB2312" w:eastAsia="仿宋_GB2312"/>
          <w:b/>
          <w:sz w:val="24"/>
          <w:szCs w:val="24"/>
          <w:u w:val="single"/>
          <w:lang w:val="en-US" w:eastAsia="zh-CN"/>
        </w:rPr>
        <w:t>2</w:t>
      </w:r>
      <w:r>
        <w:rPr>
          <w:rFonts w:hint="eastAsia" w:ascii="仿宋_GB2312" w:eastAsia="仿宋_GB2312"/>
          <w:b/>
          <w:sz w:val="24"/>
          <w:szCs w:val="24"/>
          <w:u w:val="single"/>
        </w:rPr>
        <w:t>月</w:t>
      </w:r>
      <w:r>
        <w:rPr>
          <w:rFonts w:hint="eastAsia" w:ascii="仿宋_GB2312" w:eastAsia="仿宋_GB2312"/>
          <w:b/>
          <w:sz w:val="24"/>
          <w:szCs w:val="24"/>
          <w:u w:val="single"/>
          <w:lang w:val="en-US" w:eastAsia="zh-CN"/>
        </w:rPr>
        <w:t>4</w:t>
      </w:r>
      <w:r>
        <w:rPr>
          <w:rFonts w:hint="eastAsia" w:ascii="仿宋_GB2312" w:eastAsia="仿宋_GB2312"/>
          <w:b/>
          <w:sz w:val="24"/>
          <w:szCs w:val="24"/>
          <w:u w:val="single"/>
        </w:rPr>
        <w:t>日）起三个工作日内。</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（三）竞标人须满足以下三种要件，其响应文件才被接受：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1、按磋商文件要求缴纳了竞标保证金；</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3、按时报名签到。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（四）递交响应文件地点：重庆市大渡口区金桥路1号鑫鹏大厦15楼开标室</w:t>
      </w:r>
    </w:p>
    <w:p>
      <w:pPr>
        <w:spacing w:line="480" w:lineRule="exact"/>
        <w:ind w:firstLine="482" w:firstLineChars="200"/>
        <w:rPr>
          <w:rFonts w:hint="eastAsia" w:ascii="仿宋_GB2312" w:eastAsia="仿宋_GB2312"/>
          <w:b/>
          <w:sz w:val="24"/>
          <w:szCs w:val="24"/>
          <w:u w:val="single"/>
        </w:rPr>
      </w:pPr>
      <w:r>
        <w:rPr>
          <w:rFonts w:hint="eastAsia" w:ascii="仿宋_GB2312" w:eastAsia="仿宋_GB2312"/>
          <w:b/>
          <w:sz w:val="24"/>
          <w:szCs w:val="24"/>
          <w:u w:val="single"/>
        </w:rPr>
        <w:t>（五）提交响应文件时间：2021年</w:t>
      </w:r>
      <w:r>
        <w:rPr>
          <w:rFonts w:hint="eastAsia" w:ascii="仿宋_GB2312" w:eastAsia="仿宋_GB2312"/>
          <w:b/>
          <w:sz w:val="24"/>
          <w:szCs w:val="24"/>
          <w:u w:val="single"/>
          <w:lang w:val="en-US" w:eastAsia="zh-CN"/>
        </w:rPr>
        <w:t>2</w:t>
      </w:r>
      <w:r>
        <w:rPr>
          <w:rFonts w:hint="eastAsia" w:ascii="仿宋_GB2312" w:eastAsia="仿宋_GB2312"/>
          <w:b/>
          <w:sz w:val="24"/>
          <w:szCs w:val="24"/>
          <w:u w:val="single"/>
        </w:rPr>
        <w:t>月</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日北京时间</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:00至2021年</w:t>
      </w:r>
      <w:r>
        <w:rPr>
          <w:rFonts w:hint="eastAsia" w:ascii="仿宋_GB2312" w:eastAsia="仿宋_GB2312"/>
          <w:b/>
          <w:sz w:val="24"/>
          <w:szCs w:val="24"/>
          <w:u w:val="single"/>
          <w:lang w:val="en-US" w:eastAsia="zh-CN"/>
        </w:rPr>
        <w:t>2</w:t>
      </w:r>
      <w:r>
        <w:rPr>
          <w:rFonts w:hint="eastAsia" w:ascii="仿宋_GB2312" w:eastAsia="仿宋_GB2312"/>
          <w:b/>
          <w:sz w:val="24"/>
          <w:szCs w:val="24"/>
          <w:u w:val="single"/>
        </w:rPr>
        <w:t>月</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日北京时间</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:30</w:t>
      </w:r>
    </w:p>
    <w:p>
      <w:pPr>
        <w:spacing w:line="480" w:lineRule="exact"/>
        <w:ind w:firstLine="482" w:firstLineChars="200"/>
        <w:rPr>
          <w:rFonts w:hint="eastAsia" w:ascii="仿宋_GB2312" w:eastAsia="仿宋_GB2312"/>
          <w:b/>
          <w:sz w:val="24"/>
          <w:szCs w:val="24"/>
          <w:u w:val="single"/>
        </w:rPr>
      </w:pPr>
      <w:r>
        <w:rPr>
          <w:rFonts w:hint="eastAsia" w:ascii="仿宋_GB2312" w:eastAsia="仿宋_GB2312"/>
          <w:b/>
          <w:sz w:val="24"/>
          <w:szCs w:val="24"/>
          <w:u w:val="single"/>
        </w:rPr>
        <w:t>（六）提交响应文件截止时间：2021年</w:t>
      </w:r>
      <w:r>
        <w:rPr>
          <w:rFonts w:hint="eastAsia" w:ascii="仿宋_GB2312" w:eastAsia="仿宋_GB2312"/>
          <w:b/>
          <w:sz w:val="24"/>
          <w:szCs w:val="24"/>
          <w:u w:val="single"/>
          <w:lang w:val="en-US" w:eastAsia="zh-CN"/>
        </w:rPr>
        <w:t>2</w:t>
      </w:r>
      <w:r>
        <w:rPr>
          <w:rFonts w:hint="eastAsia" w:ascii="仿宋_GB2312" w:eastAsia="仿宋_GB2312"/>
          <w:b/>
          <w:sz w:val="24"/>
          <w:szCs w:val="24"/>
          <w:u w:val="single"/>
        </w:rPr>
        <w:t>月</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日北京时间</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:30</w:t>
      </w:r>
    </w:p>
    <w:p>
      <w:pPr>
        <w:spacing w:line="480" w:lineRule="exact"/>
        <w:ind w:firstLine="482" w:firstLineChars="200"/>
        <w:rPr>
          <w:rFonts w:hint="eastAsia" w:ascii="仿宋_GB2312" w:eastAsia="仿宋_GB2312"/>
          <w:b/>
          <w:sz w:val="24"/>
          <w:szCs w:val="24"/>
          <w:u w:val="single"/>
        </w:rPr>
      </w:pPr>
      <w:r>
        <w:rPr>
          <w:rFonts w:hint="eastAsia" w:ascii="仿宋_GB2312" w:eastAsia="仿宋_GB2312"/>
          <w:b/>
          <w:sz w:val="24"/>
          <w:szCs w:val="24"/>
          <w:u w:val="single"/>
        </w:rPr>
        <w:t>（七）磋商开始时间：2021年</w:t>
      </w:r>
      <w:r>
        <w:rPr>
          <w:rFonts w:hint="eastAsia" w:ascii="仿宋_GB2312" w:eastAsia="仿宋_GB2312"/>
          <w:b/>
          <w:sz w:val="24"/>
          <w:szCs w:val="24"/>
          <w:u w:val="single"/>
          <w:lang w:val="en-US" w:eastAsia="zh-CN"/>
        </w:rPr>
        <w:t>2</w:t>
      </w:r>
      <w:r>
        <w:rPr>
          <w:rFonts w:hint="eastAsia" w:ascii="仿宋_GB2312" w:eastAsia="仿宋_GB2312"/>
          <w:b/>
          <w:sz w:val="24"/>
          <w:szCs w:val="24"/>
          <w:u w:val="single"/>
        </w:rPr>
        <w:t>月</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日北京时间</w:t>
      </w:r>
      <w:r>
        <w:rPr>
          <w:rFonts w:hint="eastAsia" w:ascii="仿宋_GB2312" w:eastAsia="仿宋_GB2312"/>
          <w:b/>
          <w:sz w:val="24"/>
          <w:szCs w:val="24"/>
          <w:u w:val="single"/>
          <w:lang w:val="en-US" w:eastAsia="zh-CN"/>
        </w:rPr>
        <w:t>9</w:t>
      </w:r>
      <w:r>
        <w:rPr>
          <w:rFonts w:hint="eastAsia" w:ascii="仿宋_GB2312" w:eastAsia="仿宋_GB2312"/>
          <w:b/>
          <w:sz w:val="24"/>
          <w:szCs w:val="24"/>
          <w:u w:val="single"/>
        </w:rPr>
        <w:t>:30</w:t>
      </w:r>
    </w:p>
    <w:p>
      <w:pPr>
        <w:pStyle w:val="3"/>
        <w:spacing w:before="0" w:after="0" w:line="480" w:lineRule="exact"/>
        <w:rPr>
          <w:rFonts w:ascii="方正仿宋_GBK" w:eastAsia="方正仿宋_GBK"/>
          <w:sz w:val="24"/>
          <w:szCs w:val="24"/>
        </w:rPr>
      </w:pPr>
      <w:bookmarkStart w:id="16" w:name="_Toc373860294"/>
      <w:bookmarkStart w:id="17" w:name="_Toc466546906"/>
      <w:r>
        <w:rPr>
          <w:rFonts w:hint="eastAsia" w:ascii="方正仿宋_GBK" w:eastAsia="方正仿宋_GBK"/>
          <w:sz w:val="24"/>
          <w:szCs w:val="24"/>
        </w:rPr>
        <w:t>五、磋商保证金</w:t>
      </w:r>
      <w:bookmarkEnd w:id="16"/>
      <w:bookmarkEnd w:id="1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（一）保证金递交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1、竞标保证金交款形式及要求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①竞标人在开标前登录</w:t>
      </w:r>
      <w:r>
        <w:rPr>
          <w:rFonts w:hint="eastAsia" w:ascii="仿宋_GB2312" w:eastAsia="仿宋_GB2312"/>
          <w:sz w:val="24"/>
          <w:szCs w:val="24"/>
        </w:rPr>
        <w:t>“</w:t>
      </w:r>
      <w:r>
        <w:rPr>
          <w:rFonts w:hint="eastAsia" w:ascii="黑体" w:hAnsi="黑体" w:eastAsia="黑体"/>
          <w:sz w:val="24"/>
        </w:rPr>
        <w:t>建桥工业园</w:t>
      </w:r>
      <w:r>
        <w:rPr>
          <w:rFonts w:hint="eastAsia" w:ascii="仿宋_GB2312" w:hAnsi="宋体" w:eastAsia="仿宋_GB2312"/>
          <w:sz w:val="24"/>
          <w:szCs w:val="24"/>
        </w:rPr>
        <w:t>（</w:t>
      </w:r>
      <w:r>
        <w:rPr>
          <w:rFonts w:ascii="黑体" w:hAnsi="黑体" w:eastAsia="黑体"/>
          <w:sz w:val="24"/>
          <w:u w:val="single"/>
        </w:rPr>
        <w:t>http://www.jqgyy.com/</w:t>
      </w:r>
      <w:r>
        <w:rPr>
          <w:rFonts w:hint="eastAsia" w:ascii="仿宋_GB2312" w:hAnsi="宋体" w:eastAsia="仿宋_GB2312"/>
          <w:sz w:val="24"/>
          <w:szCs w:val="24"/>
        </w:rPr>
        <w:t>）</w:t>
      </w:r>
      <w:r>
        <w:rPr>
          <w:rFonts w:hint="eastAsia" w:ascii="仿宋_GB2312" w:eastAsia="仿宋_GB2312"/>
          <w:sz w:val="24"/>
          <w:szCs w:val="24"/>
        </w:rPr>
        <w:t>”</w:t>
      </w:r>
      <w:r>
        <w:rPr>
          <w:rFonts w:hint="eastAsia" w:ascii="仿宋" w:hAnsi="仿宋" w:eastAsia="仿宋"/>
          <w:sz w:val="24"/>
          <w:szCs w:val="24"/>
        </w:rPr>
        <w:t>网</w:t>
      </w:r>
      <w:r>
        <w:rPr>
          <w:rFonts w:hint="eastAsia" w:ascii="方正仿宋_GBK" w:hAnsi="宋体" w:eastAsia="方正仿宋_GBK"/>
          <w:sz w:val="24"/>
          <w:szCs w:val="24"/>
        </w:rPr>
        <w:t>，在网站园区公告版块中选定需要参与的项目，在采购公告最下方获取该项目唯一竞标保证金缴纳帐户与帐号。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②投标人从单位基本银行账户在2021年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北京时间18时00分前（指保证金到账时间，建议通过网上银行方式）直接划付至指定的投标保证金账户，否则投标保证金无效。投标人自行考虑汇入时间风险（如同城汇入、异地汇入、跨行汇入的时间要求）。投标人提交的投标保证金未由投标人单位的基本银行账户划付或划付的投标保证金金额不足的或未按时到账的，其投标保证金交纳无效。</w:t>
      </w:r>
    </w:p>
    <w:p>
      <w:pPr>
        <w:spacing w:line="480" w:lineRule="exact"/>
        <w:ind w:firstLine="480" w:firstLineChars="200"/>
        <w:rPr>
          <w:rFonts w:ascii="仿宋_GB2312" w:eastAsia="仿宋_GB2312"/>
          <w:sz w:val="24"/>
          <w:szCs w:val="24"/>
        </w:rPr>
      </w:pPr>
      <w:r>
        <w:rPr>
          <w:rFonts w:hint="eastAsia" w:ascii="方正仿宋_GBK" w:hAnsi="宋体" w:eastAsia="方正仿宋_GBK"/>
          <w:sz w:val="24"/>
          <w:szCs w:val="24"/>
        </w:rPr>
        <w:t>2、</w:t>
      </w:r>
      <w:r>
        <w:rPr>
          <w:rFonts w:hint="eastAsia" w:ascii="仿宋_GB2312" w:eastAsia="仿宋_GB2312"/>
          <w:b/>
          <w:sz w:val="24"/>
          <w:szCs w:val="24"/>
          <w:u w:val="single"/>
        </w:rPr>
        <w:t>竞标保证金的金额：人民币</w:t>
      </w:r>
      <w:r>
        <w:rPr>
          <w:rFonts w:hint="eastAsia" w:ascii="仿宋_GB2312" w:eastAsia="仿宋_GB2312"/>
          <w:b/>
          <w:sz w:val="24"/>
          <w:szCs w:val="24"/>
          <w:u w:val="single"/>
          <w:lang w:eastAsia="zh-CN"/>
        </w:rPr>
        <w:t>柒仟</w:t>
      </w:r>
      <w:r>
        <w:rPr>
          <w:rFonts w:hint="eastAsia" w:ascii="仿宋_GB2312" w:eastAsia="仿宋_GB2312"/>
          <w:b/>
          <w:sz w:val="24"/>
          <w:szCs w:val="24"/>
          <w:u w:val="single"/>
        </w:rPr>
        <w:t>元（大写：</w:t>
      </w:r>
      <w:r>
        <w:rPr>
          <w:rFonts w:hint="eastAsia" w:ascii="仿宋_GB2312" w:eastAsia="仿宋_GB2312"/>
          <w:b/>
          <w:sz w:val="24"/>
          <w:szCs w:val="24"/>
          <w:u w:val="single"/>
          <w:lang w:val="en-US" w:eastAsia="zh-CN"/>
        </w:rPr>
        <w:t>7000</w:t>
      </w:r>
      <w:r>
        <w:rPr>
          <w:rFonts w:hint="eastAsia" w:ascii="仿宋_GB2312" w:eastAsia="仿宋_GB2312"/>
          <w:b/>
          <w:sz w:val="24"/>
          <w:szCs w:val="24"/>
          <w:u w:val="single"/>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3、竞标保证金有效期等同竞标有效期。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4、未在指定时间内到账的竞标保证金为无效竞标保证金，当场退还其响应文件。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bookmarkStart w:id="18" w:name="_Toc466546907"/>
    </w:p>
    <w:p>
      <w:pPr>
        <w:snapToGrid w:val="0"/>
        <w:spacing w:line="540" w:lineRule="exact"/>
        <w:ind w:firstLine="480" w:firstLineChars="200"/>
        <w:rPr>
          <w:rFonts w:ascii="仿宋" w:eastAsia="仿宋"/>
          <w:color w:val="000000"/>
          <w:sz w:val="24"/>
        </w:rPr>
      </w:pPr>
      <w:r>
        <w:rPr>
          <w:rFonts w:hint="eastAsia" w:ascii="仿宋" w:eastAsia="仿宋"/>
          <w:color w:val="000000"/>
          <w:sz w:val="24"/>
        </w:rPr>
        <w:t>在公示期结束后五个工作日内，竞标人应持采购人开具的收据，方能退还投（竞）标保证金，否则责任自负。采购人向除成交人以外的竞标人无息退还竞标保证金。成交人的竞标保证金在采购人与成交人签订的项目合同（原件）后五个工作日内无息退还。竞标保证金通过网上银行转账的方式退还至各竞标人缴纳保证金的帐户。</w:t>
      </w:r>
    </w:p>
    <w:p>
      <w:pPr>
        <w:snapToGrid w:val="0"/>
        <w:spacing w:line="540" w:lineRule="exact"/>
        <w:ind w:firstLine="480" w:firstLineChars="200"/>
        <w:rPr>
          <w:rFonts w:ascii="仿宋" w:eastAsia="仿宋"/>
          <w:color w:val="000000"/>
          <w:sz w:val="24"/>
          <w:szCs w:val="22"/>
        </w:rPr>
      </w:pPr>
      <w:r>
        <w:rPr>
          <w:rFonts w:hint="eastAsia" w:ascii="仿宋" w:eastAsia="仿宋"/>
          <w:color w:val="000000"/>
          <w:sz w:val="24"/>
          <w:szCs w:val="22"/>
        </w:rPr>
        <w:t>保证金联系人：袁老师；      咨询电话：023-68562591</w:t>
      </w:r>
    </w:p>
    <w:p>
      <w:pPr>
        <w:spacing w:line="480" w:lineRule="exact"/>
        <w:rPr>
          <w:rFonts w:ascii="方正仿宋_GBK" w:hAnsi="宋体" w:eastAsia="方正仿宋_GBK"/>
          <w:b/>
          <w:sz w:val="24"/>
          <w:szCs w:val="24"/>
        </w:rPr>
      </w:pPr>
      <w:r>
        <w:rPr>
          <w:rFonts w:hint="eastAsia" w:ascii="方正仿宋_GBK" w:hAnsi="宋体" w:eastAsia="方正仿宋_GBK"/>
          <w:b/>
          <w:sz w:val="24"/>
          <w:szCs w:val="24"/>
        </w:rPr>
        <w:t>六、</w:t>
      </w:r>
      <w:bookmarkEnd w:id="13"/>
      <w:r>
        <w:rPr>
          <w:rFonts w:hint="eastAsia" w:ascii="方正仿宋_GBK" w:hAnsi="宋体" w:eastAsia="方正仿宋_GBK"/>
          <w:b/>
          <w:sz w:val="24"/>
          <w:szCs w:val="24"/>
        </w:rPr>
        <w:t>履约保证金</w:t>
      </w:r>
    </w:p>
    <w:p>
      <w:pPr>
        <w:framePr w:hSpace="180" w:wrap="around" w:vAnchor="text" w:hAnchor="margin" w:y="782"/>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中标合同金额的10%（具体缴纳金额请与采购人联系汇入采购人指定账户）</w:t>
      </w:r>
    </w:p>
    <w:p>
      <w:pPr>
        <w:framePr w:hSpace="180" w:wrap="around" w:vAnchor="text" w:hAnchor="margin" w:y="782"/>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担保形式：银行转账；</w:t>
      </w:r>
    </w:p>
    <w:p>
      <w:pPr>
        <w:framePr w:hSpace="180" w:wrap="around" w:vAnchor="text" w:hAnchor="margin" w:y="782"/>
        <w:snapToGrid w:val="0"/>
        <w:spacing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递交时间：在中标通知书发出后合同签订前向采购人递交上述履约担保</w:t>
      </w:r>
      <w:r>
        <w:rPr>
          <w:rFonts w:hint="eastAsia" w:ascii="方正仿宋_GBK" w:hAnsi="宋体" w:eastAsia="方正仿宋_GBK"/>
          <w:sz w:val="24"/>
          <w:lang w:eastAsia="zh-CN"/>
        </w:rPr>
        <w:t>。</w:t>
      </w:r>
    </w:p>
    <w:p>
      <w:pPr>
        <w:snapToGrid w:val="0"/>
        <w:spacing w:line="540" w:lineRule="exact"/>
        <w:ind w:firstLine="480" w:firstLineChars="200"/>
        <w:rPr>
          <w:rFonts w:ascii="仿宋" w:eastAsia="仿宋"/>
          <w:color w:val="000000"/>
          <w:sz w:val="24"/>
          <w:szCs w:val="22"/>
        </w:rPr>
      </w:pPr>
      <w:r>
        <w:rPr>
          <w:rFonts w:hint="eastAsia" w:ascii="仿宋" w:eastAsia="仿宋"/>
          <w:color w:val="000000"/>
          <w:sz w:val="24"/>
          <w:szCs w:val="22"/>
        </w:rPr>
        <w:t>退还时间：完成本次招标范围所有内容后7个工作日内无息退还。</w:t>
      </w:r>
    </w:p>
    <w:p>
      <w:pPr>
        <w:pStyle w:val="3"/>
        <w:spacing w:line="480" w:lineRule="exact"/>
        <w:rPr>
          <w:rFonts w:ascii="方正仿宋_GBK" w:hAnsi="宋体" w:eastAsia="方正仿宋_GBK"/>
          <w:sz w:val="24"/>
          <w:szCs w:val="24"/>
        </w:rPr>
      </w:pPr>
      <w:r>
        <w:rPr>
          <w:rFonts w:hint="eastAsia" w:ascii="方正仿宋_GBK" w:hAnsi="宋体" w:eastAsia="方正仿宋_GBK"/>
          <w:sz w:val="24"/>
          <w:szCs w:val="24"/>
        </w:rPr>
        <w:t>七、其它有关规定</w:t>
      </w:r>
    </w:p>
    <w:bookmarkEnd w:id="18"/>
    <w:p>
      <w:pPr>
        <w:spacing w:line="4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（一）单位负责人为同一人或者存在直接控股、管理关系的不同竞标人，不得参加同一合同项下的政府采购活动，否则均为无效响应。</w:t>
      </w:r>
    </w:p>
    <w:p>
      <w:pPr>
        <w:spacing w:line="4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（二）为采购项目提供整体设计、规范编制或者项目管理、监理、检测等服务的竞标人，不得再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，否则均为无效响应。</w:t>
      </w:r>
    </w:p>
    <w:p>
      <w:pPr>
        <w:spacing w:line="4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（三）本项目的补遗文件（如果有）一律在</w:t>
      </w:r>
      <w:r>
        <w:rPr>
          <w:rFonts w:hint="eastAsia" w:ascii="仿宋_GB2312" w:eastAsia="仿宋_GB2312"/>
          <w:sz w:val="24"/>
          <w:szCs w:val="24"/>
        </w:rPr>
        <w:t>“</w:t>
      </w:r>
      <w:r>
        <w:rPr>
          <w:rFonts w:hint="eastAsia" w:ascii="黑体" w:hAnsi="黑体" w:eastAsia="黑体"/>
          <w:sz w:val="24"/>
        </w:rPr>
        <w:t>建桥工业园</w:t>
      </w:r>
      <w:r>
        <w:rPr>
          <w:rFonts w:hint="eastAsia" w:ascii="仿宋_GB2312" w:hAnsi="宋体" w:eastAsia="仿宋_GB2312"/>
          <w:sz w:val="24"/>
          <w:szCs w:val="24"/>
        </w:rPr>
        <w:t>（</w:t>
      </w:r>
      <w:r>
        <w:rPr>
          <w:rFonts w:ascii="黑体" w:hAnsi="黑体" w:eastAsia="黑体"/>
          <w:sz w:val="24"/>
          <w:u w:val="single"/>
        </w:rPr>
        <w:t>http://www.jqgyy.com/</w:t>
      </w:r>
      <w:r>
        <w:rPr>
          <w:rFonts w:hint="eastAsia" w:ascii="仿宋_GB2312" w:hAnsi="宋体" w:eastAsia="仿宋_GB2312"/>
          <w:sz w:val="24"/>
          <w:szCs w:val="24"/>
        </w:rPr>
        <w:t>）</w:t>
      </w:r>
      <w:r>
        <w:rPr>
          <w:rFonts w:hint="eastAsia" w:ascii="仿宋_GB2312" w:eastAsia="仿宋_GB2312"/>
          <w:sz w:val="24"/>
          <w:szCs w:val="24"/>
        </w:rPr>
        <w:t>”</w:t>
      </w:r>
      <w:r>
        <w:rPr>
          <w:rFonts w:hint="eastAsia" w:ascii="方正仿宋_GBK" w:hAnsi="宋体" w:eastAsia="方正仿宋_GBK"/>
          <w:sz w:val="24"/>
          <w:szCs w:val="24"/>
        </w:rPr>
        <w:t>上发布，请各竞标人注意下载；无论竞标人下载或领取与否，均视同竞标人已知晓本项目补遗文件（如果有）的内容。</w:t>
      </w:r>
    </w:p>
    <w:p>
      <w:pPr>
        <w:spacing w:line="4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pacing w:line="480" w:lineRule="exact"/>
        <w:rPr>
          <w:rFonts w:ascii="方正仿宋_GBK" w:hAnsi="宋体" w:eastAsia="方正仿宋_GBK"/>
          <w:sz w:val="24"/>
          <w:szCs w:val="24"/>
        </w:rPr>
      </w:pPr>
      <w:r>
        <w:rPr>
          <w:rFonts w:hint="eastAsia" w:ascii="方正仿宋_GBK" w:hAnsi="宋体" w:eastAsia="方正仿宋_GBK"/>
          <w:sz w:val="24"/>
          <w:szCs w:val="24"/>
        </w:rPr>
        <w:t xml:space="preserve">   （五）磋商费用：无论磋商结果如何，竞标人参与本项目磋商的所有费用均应由竞标人自行承担。</w:t>
      </w:r>
    </w:p>
    <w:p>
      <w:pPr>
        <w:spacing w:line="360" w:lineRule="auto"/>
        <w:rPr>
          <w:rFonts w:hint="eastAsia" w:ascii="方正仿宋_GBK" w:hAnsi="宋体" w:eastAsia="方正仿宋_GBK" w:cs="Times New Roman"/>
          <w:b/>
          <w:kern w:val="2"/>
          <w:sz w:val="24"/>
          <w:szCs w:val="24"/>
          <w:lang w:val="en-US" w:eastAsia="zh-CN" w:bidi="ar-SA"/>
        </w:rPr>
      </w:pPr>
      <w:bookmarkStart w:id="19" w:name="_Toc466546908"/>
      <w:r>
        <w:rPr>
          <w:rFonts w:hint="eastAsia" w:ascii="方正仿宋_GBK" w:hAnsi="宋体" w:eastAsia="方正仿宋_GBK" w:cs="Times New Roman"/>
          <w:b/>
          <w:kern w:val="2"/>
          <w:sz w:val="24"/>
          <w:szCs w:val="24"/>
          <w:lang w:val="en-US" w:eastAsia="zh-CN" w:bidi="ar-SA"/>
        </w:rPr>
        <w:t>八、采购项目需落实的政府采购政策</w:t>
      </w:r>
    </w:p>
    <w:p>
      <w:pPr>
        <w:spacing w:line="360" w:lineRule="auto"/>
        <w:rPr>
          <w:rFonts w:hint="eastAsia" w:ascii="方正仿宋_GBK" w:hAnsi="宋体" w:eastAsia="方正仿宋_GBK"/>
          <w:sz w:val="24"/>
          <w:szCs w:val="24"/>
        </w:rPr>
      </w:pPr>
      <w:r>
        <w:rPr>
          <w:rFonts w:hint="eastAsia" w:ascii="仿宋_GB2312" w:eastAsia="仿宋_GB2312"/>
          <w:sz w:val="24"/>
          <w:szCs w:val="24"/>
        </w:rPr>
        <w:t>（一）按照《政府采购促进中小企业发展暂行办法》（财库[2011]181号）之规定，落实促进中小企业发展政策；以及《关于简化中小微企业享受政府采购扶持政策证明材料的通知》（渝财采购[2019]4号）之规定，提供《中小微企业声明函》作为证明依据（格式见第七篇）</w:t>
      </w:r>
    </w:p>
    <w:p>
      <w:pPr>
        <w:pStyle w:val="3"/>
        <w:spacing w:before="0" w:after="0" w:line="480" w:lineRule="exact"/>
        <w:rPr>
          <w:rFonts w:ascii="方正仿宋_GBK" w:hAnsi="宋体" w:eastAsia="方正仿宋_GBK"/>
          <w:sz w:val="24"/>
          <w:szCs w:val="24"/>
        </w:rPr>
      </w:pPr>
      <w:r>
        <w:rPr>
          <w:rFonts w:hint="eastAsia" w:ascii="仿宋_GB2312" w:eastAsia="仿宋_GB2312"/>
          <w:sz w:val="24"/>
          <w:szCs w:val="24"/>
          <w:lang w:eastAsia="zh-CN"/>
        </w:rPr>
        <w:t>九</w:t>
      </w:r>
      <w:r>
        <w:rPr>
          <w:rFonts w:hint="eastAsia" w:ascii="仿宋_GB2312" w:eastAsia="仿宋_GB2312"/>
          <w:sz w:val="24"/>
          <w:szCs w:val="24"/>
        </w:rPr>
        <w:t>、</w:t>
      </w:r>
      <w:r>
        <w:rPr>
          <w:rFonts w:hint="eastAsia" w:ascii="方正仿宋_GBK" w:hAnsi="宋体" w:eastAsia="方正仿宋_GBK"/>
          <w:sz w:val="24"/>
          <w:szCs w:val="24"/>
        </w:rPr>
        <w:t>联系方式</w:t>
      </w:r>
      <w:bookmarkEnd w:id="19"/>
    </w:p>
    <w:p>
      <w:pPr>
        <w:spacing w:line="480" w:lineRule="exact"/>
        <w:ind w:firstLine="480" w:firstLineChars="200"/>
        <w:rPr>
          <w:rFonts w:ascii="仿宋_GB2312" w:eastAsia="仿宋_GB2312"/>
          <w:sz w:val="24"/>
        </w:rPr>
      </w:pPr>
      <w:r>
        <w:rPr>
          <w:rFonts w:hint="eastAsia" w:ascii="方正仿宋_GBK" w:hAnsi="宋体" w:eastAsia="方正仿宋_GBK"/>
          <w:sz w:val="24"/>
          <w:szCs w:val="24"/>
        </w:rPr>
        <w:t>采购人：</w:t>
      </w:r>
      <w:r>
        <w:rPr>
          <w:rFonts w:hint="eastAsia" w:ascii="仿宋_GB2312" w:eastAsia="仿宋_GB2312"/>
          <w:sz w:val="24"/>
        </w:rPr>
        <w:t>重庆建桥置业有限公司</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联系人：周老师 </w:t>
      </w:r>
    </w:p>
    <w:p>
      <w:pPr>
        <w:spacing w:line="480" w:lineRule="exact"/>
        <w:ind w:firstLine="480" w:firstLineChars="200"/>
        <w:rPr>
          <w:rFonts w:ascii="仿宋_GB2312" w:eastAsia="仿宋_GB2312"/>
          <w:sz w:val="24"/>
          <w:szCs w:val="22"/>
        </w:rPr>
      </w:pPr>
      <w:r>
        <w:rPr>
          <w:rFonts w:hint="eastAsia" w:ascii="仿宋_GB2312" w:eastAsia="仿宋_GB2312"/>
          <w:sz w:val="24"/>
          <w:szCs w:val="22"/>
        </w:rPr>
        <w:t>电  话：023-68562591</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联系地点：重庆市大渡口区金桥路1号鑫鹏大厦15楼</w:t>
      </w:r>
    </w:p>
    <w:p>
      <w:pPr>
        <w:spacing w:line="480" w:lineRule="exact"/>
        <w:ind w:firstLine="480" w:firstLineChars="200"/>
        <w:rPr>
          <w:rFonts w:ascii="仿宋_GB2312" w:eastAsia="仿宋_GB2312"/>
          <w:sz w:val="24"/>
          <w:szCs w:val="22"/>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hAnsi="宋体" w:eastAsia="方正小标宋_GBK"/>
          <w:b w:val="0"/>
          <w:sz w:val="30"/>
          <w:szCs w:val="30"/>
        </w:rPr>
      </w:pPr>
      <w:bookmarkStart w:id="20" w:name="_Toc466546909"/>
      <w:r>
        <w:rPr>
          <w:rFonts w:hint="eastAsia" w:ascii="方正小标宋_GBK" w:hAnsi="宋体" w:eastAsia="方正小标宋_GBK"/>
          <w:b w:val="0"/>
          <w:sz w:val="36"/>
          <w:szCs w:val="30"/>
        </w:rPr>
        <w:t>第二篇  采购服务需求</w:t>
      </w:r>
      <w:bookmarkEnd w:id="20"/>
      <w:bookmarkStart w:id="21" w:name="_Toc12789058"/>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hAnsi="宋体" w:eastAsia="仿宋_GB2312"/>
          <w:b/>
          <w:color w:val="000000"/>
          <w:sz w:val="24"/>
        </w:rPr>
      </w:pPr>
      <w:r>
        <w:rPr>
          <w:rFonts w:hint="eastAsia" w:ascii="仿宋_GB2312" w:hAnsi="宋体" w:eastAsia="仿宋_GB2312"/>
          <w:b/>
          <w:color w:val="000000"/>
          <w:sz w:val="24"/>
        </w:rPr>
        <w:t>一、建设地点：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olor w:val="000000"/>
          <w:sz w:val="24"/>
          <w:szCs w:val="22"/>
        </w:rPr>
      </w:pPr>
      <w:r>
        <w:rPr>
          <w:rFonts w:hint="eastAsia" w:ascii="仿宋_GB2312" w:hAnsi="宋体" w:eastAsia="仿宋_GB2312"/>
          <w:color w:val="000000"/>
          <w:sz w:val="24"/>
          <w:szCs w:val="22"/>
        </w:rPr>
        <w:t>重庆市大渡口区。</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ascii="仿宋_GB2312" w:hAnsi="宋体" w:eastAsia="仿宋_GB2312"/>
          <w:b/>
          <w:color w:val="000000"/>
          <w:sz w:val="24"/>
        </w:rPr>
      </w:pPr>
      <w:r>
        <w:rPr>
          <w:rFonts w:hint="eastAsia" w:ascii="仿宋_GB2312" w:hAnsi="宋体" w:eastAsia="仿宋_GB2312"/>
          <w:b/>
          <w:color w:val="000000"/>
          <w:sz w:val="24"/>
        </w:rPr>
        <w:t>建设规模：</w:t>
      </w:r>
      <w:bookmarkStart w:id="22" w:name="_Toc4665469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eastAsia="仿宋_GB2312"/>
          <w:color w:val="000000"/>
          <w:sz w:val="24"/>
          <w:szCs w:val="22"/>
          <w:highlight w:val="yellow"/>
        </w:rPr>
      </w:pPr>
      <w:r>
        <w:rPr>
          <w:rFonts w:hint="eastAsia" w:ascii="仿宋_GB2312" w:hAnsi="宋体" w:eastAsia="仿宋_GB2312"/>
          <w:color w:val="000000"/>
          <w:sz w:val="24"/>
          <w:szCs w:val="22"/>
        </w:rPr>
        <w:t>专用配电房三座,新安装9台（1台800KVA、1台1000KVA、4台1250KVA、1台1600KVA、1台2000KVA和1台2500KVA）变压器及配套高低压屏，新建高压电缆通道约20米；ZRB-YJV22-3X150电缆约1600米；ZR-YJV22-3X70电缆约300米；新建电力桥架约500米；专用配电房槽钢基础、接地系统等配套设施的完善；完成该配电工程需要的其他配套服务工作等，工程费用约1</w:t>
      </w:r>
      <w:r>
        <w:rPr>
          <w:rFonts w:ascii="仿宋_GB2312" w:hAnsi="宋体" w:eastAsia="仿宋_GB2312"/>
          <w:color w:val="000000"/>
          <w:sz w:val="24"/>
          <w:szCs w:val="22"/>
        </w:rPr>
        <w:t>2</w:t>
      </w:r>
      <w:r>
        <w:rPr>
          <w:rFonts w:hint="eastAsia" w:ascii="仿宋_GB2312" w:hAnsi="宋体" w:eastAsia="仿宋_GB2312"/>
          <w:color w:val="000000"/>
          <w:sz w:val="24"/>
          <w:szCs w:val="22"/>
        </w:rPr>
        <w:t>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
      <w:pPr>
        <w:rPr>
          <w:rFonts w:ascii="方正小标宋_GBK" w:hAnsi="宋体" w:eastAsia="方正小标宋_GBK"/>
          <w:b/>
          <w:sz w:val="36"/>
          <w:szCs w:val="30"/>
        </w:rPr>
      </w:pPr>
    </w:p>
    <w:p>
      <w:pPr>
        <w:rPr>
          <w:rFonts w:ascii="方正小标宋_GBK" w:hAnsi="宋体" w:eastAsia="方正小标宋_GBK"/>
          <w:b/>
          <w:sz w:val="36"/>
          <w:szCs w:val="30"/>
        </w:rPr>
      </w:pPr>
    </w:p>
    <w:p>
      <w:pPr>
        <w:rPr>
          <w:rFonts w:ascii="方正小标宋_GBK" w:hAnsi="宋体" w:eastAsia="方正小标宋_GBK"/>
          <w:sz w:val="36"/>
          <w:szCs w:val="30"/>
        </w:rPr>
      </w:pPr>
    </w:p>
    <w:p>
      <w:pPr>
        <w:rPr>
          <w:rFonts w:ascii="方正小标宋_GBK" w:hAnsi="宋体" w:eastAsia="方正小标宋_GBK"/>
          <w:b/>
          <w:sz w:val="36"/>
          <w:szCs w:val="30"/>
        </w:rPr>
      </w:pPr>
    </w:p>
    <w:p>
      <w:pPr>
        <w:rPr>
          <w:rFonts w:ascii="方正小标宋_GBK" w:hAnsi="宋体" w:eastAsia="方正小标宋_GBK"/>
          <w:sz w:val="36"/>
          <w:szCs w:val="30"/>
        </w:rPr>
      </w:pPr>
      <w:r>
        <w:rPr>
          <w:rFonts w:ascii="方正小标宋_GBK" w:hAnsi="宋体" w:eastAsia="方正小标宋_GBK"/>
          <w:sz w:val="36"/>
          <w:szCs w:val="30"/>
        </w:rPr>
        <w:br w:type="page"/>
      </w:r>
    </w:p>
    <w:p>
      <w:pPr>
        <w:pStyle w:val="2"/>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采购商务需求</w:t>
      </w:r>
      <w:bookmarkEnd w:id="21"/>
      <w:bookmarkEnd w:id="22"/>
    </w:p>
    <w:p>
      <w:pPr>
        <w:pStyle w:val="3"/>
        <w:spacing w:before="0" w:after="0" w:line="440" w:lineRule="exact"/>
        <w:rPr>
          <w:rFonts w:ascii="方正仿宋_GBK" w:hAnsi="宋体" w:eastAsia="方正仿宋_GBK"/>
          <w:sz w:val="24"/>
          <w:szCs w:val="24"/>
        </w:rPr>
      </w:pPr>
      <w:bookmarkStart w:id="23" w:name="_Toc344475120"/>
      <w:bookmarkStart w:id="24" w:name="_Toc466546913"/>
      <w:r>
        <w:rPr>
          <w:rFonts w:hint="eastAsia" w:ascii="方正仿宋_GBK" w:hAnsi="宋体" w:eastAsia="方正仿宋_GBK"/>
          <w:sz w:val="24"/>
          <w:szCs w:val="24"/>
        </w:rPr>
        <w:t>一、服务期、地点、成果提交份数及验收方式</w:t>
      </w:r>
      <w:bookmarkEnd w:id="23"/>
      <w:bookmarkEnd w:id="24"/>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w:t>
      </w:r>
    </w:p>
    <w:p>
      <w:pPr>
        <w:pStyle w:val="7"/>
        <w:spacing w:line="400" w:lineRule="exact"/>
        <w:ind w:firstLine="480" w:firstLineChars="200"/>
        <w:rPr>
          <w:rFonts w:ascii="方正仿宋_GBK" w:hAnsi="宋体" w:eastAsia="方正仿宋_GBK"/>
          <w:kern w:val="2"/>
          <w:sz w:val="24"/>
          <w:szCs w:val="24"/>
        </w:rPr>
      </w:pPr>
      <w:r>
        <w:rPr>
          <w:rFonts w:hint="eastAsia" w:ascii="方正仿宋_GBK" w:hAnsi="宋体" w:eastAsia="方正仿宋_GBK"/>
          <w:kern w:val="2"/>
          <w:sz w:val="24"/>
          <w:szCs w:val="24"/>
        </w:rPr>
        <w:t>施工图设计阶段20日历天，完成施工图设计后20日历天内通过电力部门审核。</w:t>
      </w:r>
    </w:p>
    <w:p>
      <w:pPr>
        <w:pStyle w:val="7"/>
        <w:numPr>
          <w:ilvl w:val="0"/>
          <w:numId w:val="2"/>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kern w:val="2"/>
          <w:sz w:val="24"/>
          <w:szCs w:val="24"/>
        </w:rPr>
        <w:t>服务地点：采购人指定</w:t>
      </w:r>
      <w:r>
        <w:rPr>
          <w:rFonts w:hint="eastAsia" w:ascii="方正仿宋_GBK" w:hAnsi="宋体" w:eastAsia="方正仿宋_GBK"/>
          <w:sz w:val="24"/>
          <w:szCs w:val="24"/>
        </w:rPr>
        <w:t>地点。</w:t>
      </w:r>
    </w:p>
    <w:p>
      <w:pPr>
        <w:pStyle w:val="7"/>
        <w:numPr>
          <w:ilvl w:val="0"/>
          <w:numId w:val="2"/>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成果提交份数</w:t>
      </w:r>
    </w:p>
    <w:tbl>
      <w:tblPr>
        <w:tblStyle w:val="11"/>
        <w:tblpPr w:leftFromText="180" w:rightFromText="180" w:vertAnchor="text" w:horzAnchor="page" w:tblpX="2213" w:tblpY="37"/>
        <w:tblW w:w="3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785" w:type="dxa"/>
            <w:vAlign w:val="center"/>
          </w:tcPr>
          <w:p>
            <w:pPr>
              <w:jc w:val="center"/>
              <w:rPr>
                <w:rFonts w:ascii="宋体" w:hAnsi="宋体"/>
                <w:bCs/>
                <w:sz w:val="21"/>
                <w:szCs w:val="21"/>
              </w:rPr>
            </w:pPr>
            <w:r>
              <w:rPr>
                <w:rFonts w:ascii="宋体" w:hAnsi="宋体"/>
                <w:bCs/>
                <w:sz w:val="21"/>
                <w:szCs w:val="21"/>
              </w:rPr>
              <w:t>施工图设计</w:t>
            </w:r>
            <w:r>
              <w:rPr>
                <w:rFonts w:hint="eastAsia" w:ascii="宋体" w:hAnsi="宋体"/>
                <w:bCs/>
                <w:sz w:val="21"/>
                <w:szCs w:val="21"/>
              </w:rPr>
              <w:t>成果资料</w:t>
            </w:r>
          </w:p>
        </w:tc>
        <w:tc>
          <w:tcPr>
            <w:tcW w:w="1680" w:type="dxa"/>
            <w:vAlign w:val="center"/>
          </w:tcPr>
          <w:p>
            <w:pPr>
              <w:jc w:val="center"/>
              <w:rPr>
                <w:rFonts w:ascii="宋体" w:hAnsi="宋体"/>
                <w:bCs/>
                <w:sz w:val="21"/>
                <w:szCs w:val="21"/>
              </w:rPr>
            </w:pPr>
            <w:r>
              <w:rPr>
                <w:rFonts w:hint="eastAsia" w:ascii="宋体" w:hAnsi="宋体"/>
                <w:bCs/>
                <w:sz w:val="21"/>
                <w:szCs w:val="21"/>
              </w:rPr>
              <w:t>A3—A1装订蓝图8份</w:t>
            </w:r>
          </w:p>
        </w:tc>
      </w:tr>
    </w:tbl>
    <w:p>
      <w:pPr>
        <w:pStyle w:val="7"/>
        <w:spacing w:line="400" w:lineRule="exact"/>
        <w:ind w:firstLine="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（四）验收方式：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1、由采购人自行验收；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2、竞标人提供的服务未达到竞争性磋商文件规定要求，且对采购人造成损失的，由竞标人承担一切责任，并赔偿所造成的损失。</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达到国家现行有关施工质量验收规范要求，并达到合格标准，设计文件应满足国家、行业、地区有关规定及设计标准、规范、规程、定额和办法等的要求及行业设计深度规定要求，满足招标人要求，各阶段设计内容必须修改到招标人满意为止，直至施工图审查合格。</w:t>
      </w:r>
      <w:bookmarkStart w:id="25" w:name="_Toc344475121"/>
      <w:bookmarkStart w:id="26" w:name="_Toc466546914"/>
    </w:p>
    <w:p>
      <w:pPr>
        <w:pStyle w:val="3"/>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5"/>
      <w:r>
        <w:rPr>
          <w:rFonts w:hint="eastAsia" w:ascii="方正仿宋_GBK" w:hAnsi="宋体" w:eastAsia="方正仿宋_GBK"/>
          <w:sz w:val="24"/>
          <w:szCs w:val="24"/>
        </w:rPr>
        <w:t>报价要求</w:t>
      </w:r>
      <w:bookmarkEnd w:id="26"/>
      <w:bookmarkStart w:id="27" w:name="_Toc46654691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（一）报价方式：报价方式：按《工程勘察设计收费管理规定》（计价格【2002】10号）中的工程设计收费标准的百分比报价。（保留两位小数，例如</w:t>
      </w:r>
      <w:r>
        <w:rPr>
          <w:rFonts w:hint="eastAsia" w:ascii="方正仿宋_GBK" w:hAnsi="宋体" w:eastAsia="方正仿宋_GBK"/>
          <w:sz w:val="24"/>
          <w:szCs w:val="24"/>
          <w:lang w:val="en-US" w:eastAsia="zh-CN"/>
        </w:rPr>
        <w:t>80</w:t>
      </w:r>
      <w:r>
        <w:rPr>
          <w:rFonts w:hint="eastAsia" w:ascii="方正仿宋_GBK" w:hAnsi="宋体" w:eastAsia="方正仿宋_GBK"/>
          <w:sz w:val="24"/>
          <w:szCs w:val="24"/>
        </w:rPr>
        <w:t>.00%）</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1．报价依据：本工程设计服务收费按《工程勘察设计收费管理规定》（计价格【2002】10号）执行；设计费按有关部门审核的设计概算建安费为计算基数计算设计收费基价。</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工程设计费取费百分比最高限价为按《工程勘察设计收费管理规定》（计价格【2002】10号）工程设计收费标准的80%，即投标人所报道路工程设计费百分比必须≤工程设计收费标准的80 %，否则为废标。所报工程暂定设计费不得超过暂定最高限价，暂定最高限价为人民币</w:t>
      </w:r>
      <w:r>
        <w:rPr>
          <w:rFonts w:ascii="方正仿宋_GBK" w:hAnsi="宋体" w:eastAsia="方正仿宋_GBK"/>
          <w:sz w:val="24"/>
          <w:szCs w:val="24"/>
        </w:rPr>
        <w:t>362400</w:t>
      </w:r>
      <w:r>
        <w:rPr>
          <w:rFonts w:hint="eastAsia" w:ascii="方正仿宋_GBK" w:hAnsi="宋体" w:eastAsia="方正仿宋_GBK"/>
          <w:sz w:val="24"/>
          <w:szCs w:val="24"/>
        </w:rPr>
        <w:t>元（注：本项目建安投资暂按1</w:t>
      </w:r>
      <w:r>
        <w:rPr>
          <w:rFonts w:ascii="方正仿宋_GBK" w:hAnsi="宋体" w:eastAsia="方正仿宋_GBK"/>
          <w:sz w:val="24"/>
          <w:szCs w:val="24"/>
        </w:rPr>
        <w:t>2</w:t>
      </w:r>
      <w:r>
        <w:rPr>
          <w:rFonts w:hint="eastAsia" w:ascii="方正仿宋_GBK" w:hAnsi="宋体" w:eastAsia="方正仿宋_GBK"/>
          <w:sz w:val="24"/>
          <w:szCs w:val="24"/>
        </w:rPr>
        <w:t>00万元予以考虑、专业调整系数按1、复杂程度按1、附加调整系数按1予以计算），否则为废标。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投标人的投标报价应包括完成该工程施工图设计、配合各阶段专项论证、施工及竣工验收阶段和质量保修期的设计服务等工作，以及协助招标人完成各项审批手续办理等工作）的设计服务人员和相关工作人员的人工成本、劳保、医疗、福利、津贴、保险、差旅费、资料费、各阶段评审会务费用（含专家费），外业见证费、审核费以及设计单位的管理费、税金、利润等一切可预见和不可预见费用。采购人不再另行支付任何费用，投标人也不得与本项目的任何承包商、材料供应商等发生任何经济关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投标人应先到项目所在地踏勘，以充分了解项目位置、地质地貌、气候与水文条件、交通状况、电力、给水、排水、热力和天然气等市政基础设施及任何其他足以影响其提交设计方案的可实现性和承包价的情况。任何因中标人忽视或误解项目基本情况，而使采购人在项目实施过程中蒙受的损失，将由中标人按一定比例对采购人进行赔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6．中标报价百分比和中标综合单价不作调整。即在本工程招标范围内，无论设计方案如何调整和修正，无论国家政策调整，无论法规、标准及市场因素的变化，中标报价百分比不作调整。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7.在本次招标范围内的设计，如因招标人要求减少工作内容或分期进行设计的，投标人需按招标人要求减少工作内容或分期进行设计，不得拒绝，但设计费用按各项目分别按实结算。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8．本工程的投标货币为人民币，投标报价中的百分比报价、暂定费总额、设计费综合单价保留小数点后两位。</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 竞标人需自行考虑电力部门的施工图审核时间及费用，确保在合同服务期内完成相关工作。若合同服务期内无法完成设计任务并取得审核合格意见，采购人有权终止合同，并无须支付任何合同或赔偿费用。</w:t>
      </w:r>
    </w:p>
    <w:p>
      <w:pPr>
        <w:spacing w:line="400" w:lineRule="exact"/>
        <w:rPr>
          <w:rFonts w:ascii="方正仿宋_GBK" w:hAnsi="宋体" w:eastAsia="方正仿宋_GBK"/>
          <w:b/>
          <w:sz w:val="24"/>
          <w:szCs w:val="24"/>
        </w:rPr>
      </w:pPr>
      <w:r>
        <w:rPr>
          <w:rFonts w:hint="eastAsia" w:ascii="方正仿宋_GBK" w:hAnsi="宋体" w:eastAsia="方正仿宋_GBK"/>
          <w:b/>
          <w:sz w:val="24"/>
          <w:szCs w:val="24"/>
        </w:rPr>
        <w:t>三、</w:t>
      </w:r>
      <w:bookmarkStart w:id="28" w:name="_Toc398650620"/>
      <w:bookmarkStart w:id="29" w:name="_Toc344475122"/>
      <w:r>
        <w:rPr>
          <w:rFonts w:hint="eastAsia" w:ascii="方正仿宋_GBK" w:hAnsi="宋体" w:eastAsia="方正仿宋_GBK"/>
          <w:b/>
          <w:sz w:val="24"/>
          <w:szCs w:val="24"/>
        </w:rPr>
        <w:t>质量保证及售后服务</w:t>
      </w:r>
      <w:bookmarkEnd w:id="27"/>
      <w:bookmarkEnd w:id="28"/>
      <w:bookmarkStart w:id="30" w:name="_Toc46654691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1.中标人应保证在规定的时间内完成各阶段设计。</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2.在项目实施过程中提供必要的技术服务。</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达到国家现行有关设计规范和设计深度要求，施工做法及材料选用必须满足可施工性和便于采购的原则，符合有关规划、建委、消防、环保等行政管理部门专项审查要求，并确保通过各级管理部门的审批和验收合格。中标人交付的设计成果必须签字盖章齐全，图文清楚，图面清晰，完整齐全。</w:t>
      </w:r>
    </w:p>
    <w:p>
      <w:pPr>
        <w:pStyle w:val="3"/>
        <w:spacing w:before="0" w:after="0" w:line="400" w:lineRule="exact"/>
        <w:rPr>
          <w:rFonts w:eastAsia="方正仿宋_GBK"/>
        </w:rPr>
      </w:pPr>
      <w:r>
        <w:rPr>
          <w:rFonts w:hint="eastAsia" w:ascii="方正仿宋_GBK" w:hAnsi="宋体" w:eastAsia="方正仿宋_GBK"/>
          <w:sz w:val="24"/>
          <w:szCs w:val="24"/>
        </w:rPr>
        <w:t>四、付款方式</w:t>
      </w:r>
      <w:bookmarkEnd w:id="29"/>
      <w:bookmarkEnd w:id="30"/>
      <w:r>
        <w:rPr>
          <w:rFonts w:hint="eastAsia" w:ascii="方正仿宋_GBK" w:hAnsi="宋体" w:eastAsia="方正仿宋_GBK"/>
          <w:sz w:val="24"/>
          <w:szCs w:val="24"/>
        </w:rPr>
        <w:t>及结算方式</w:t>
      </w:r>
    </w:p>
    <w:p>
      <w:pPr>
        <w:spacing w:line="400" w:lineRule="exact"/>
        <w:ind w:firstLine="480" w:firstLineChars="200"/>
        <w:rPr>
          <w:rFonts w:ascii="方正仿宋_GBK" w:hAnsi="宋体" w:eastAsia="方正仿宋_GBK"/>
          <w:sz w:val="24"/>
          <w:szCs w:val="24"/>
        </w:rPr>
      </w:pPr>
      <w:bookmarkStart w:id="31" w:name="_Toc466546917"/>
      <w:bookmarkStart w:id="32" w:name="_Toc344475123"/>
      <w:r>
        <w:rPr>
          <w:rFonts w:hint="eastAsia" w:ascii="方正仿宋_GBK" w:hAnsi="宋体" w:eastAsia="方正仿宋_GBK"/>
          <w:sz w:val="24"/>
          <w:szCs w:val="24"/>
        </w:rPr>
        <w:t>设计费支付方式：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完成施工图设计并经电力部门审核合格后一个月内支付至合同金额的70%；采购人完成工程施工预算评审后一个月内支付至结算金额的85%，工程完工并验收合格后一个月内支付至结算金额的100%。每次付款前，设计人需提供真实、有效、等额的增值税专用发票，否则发包人有权拒绝支付，由此造成的损失设计人自行承担。</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结算方式：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设计费结算金额为：设计费收费基价×1.0（专业调整系数）×1.0（复杂程度）×1.0（附加调整系数）×成交的设计费百分比报价。</w:t>
      </w:r>
    </w:p>
    <w:p>
      <w:pPr>
        <w:spacing w:line="400" w:lineRule="exact"/>
        <w:ind w:firstLine="480" w:firstLineChars="200"/>
        <w:rPr>
          <w:rFonts w:ascii="仿宋" w:hAnsi="仿宋" w:eastAsia="仿宋" w:cs="仿宋"/>
          <w:b/>
          <w:sz w:val="24"/>
        </w:rPr>
      </w:pPr>
      <w:r>
        <w:rPr>
          <w:rFonts w:hint="eastAsia" w:ascii="方正仿宋_GBK" w:hAnsi="宋体" w:eastAsia="方正仿宋_GBK"/>
          <w:sz w:val="24"/>
          <w:szCs w:val="24"/>
        </w:rPr>
        <w:t>其中设计费收费基价为：以经相关主管部门审定的初步设计概算中的建安投资为计费基数（如该项目未进行初设概算审批，以区财政局预算审定金额为准。（包括但不限于供电工程等相关工程），按照《工程勘察设计收费管理规定》（计价格[2002]10号）的附件《2002年修订本工程设计收费标准》中“附表一：工程设计收费基价表”规定的收费基价计算出的金额。</w:t>
      </w:r>
    </w:p>
    <w:p>
      <w:pPr>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五、知识产权</w:t>
      </w:r>
      <w:bookmarkEnd w:id="31"/>
      <w:bookmarkEnd w:id="32"/>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3"/>
        <w:spacing w:before="0" w:after="0" w:line="400" w:lineRule="exact"/>
        <w:rPr>
          <w:rFonts w:ascii="方正仿宋_GBK" w:hAnsi="宋体" w:eastAsia="方正仿宋_GBK"/>
          <w:sz w:val="24"/>
          <w:szCs w:val="24"/>
        </w:rPr>
      </w:pPr>
      <w:bookmarkStart w:id="33" w:name="_Toc344475124"/>
      <w:bookmarkStart w:id="34" w:name="_Toc466546918"/>
      <w:r>
        <w:rPr>
          <w:rFonts w:hint="eastAsia" w:ascii="方正仿宋_GBK" w:hAnsi="宋体" w:eastAsia="方正仿宋_GBK"/>
          <w:sz w:val="24"/>
          <w:szCs w:val="24"/>
        </w:rPr>
        <w:t>六、</w:t>
      </w:r>
      <w:bookmarkEnd w:id="33"/>
      <w:bookmarkStart w:id="35" w:name="_Toc344475125"/>
      <w:r>
        <w:rPr>
          <w:rFonts w:hint="eastAsia" w:ascii="方正仿宋_GBK" w:hAnsi="宋体" w:eastAsia="方正仿宋_GBK"/>
          <w:sz w:val="24"/>
          <w:szCs w:val="24"/>
        </w:rPr>
        <w:t>其他</w:t>
      </w:r>
      <w:bookmarkEnd w:id="34"/>
    </w:p>
    <w:bookmarkEnd w:id="35"/>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（一）竞标人必须在响应文件中对以上条款和服务承诺明确列出，承诺内容必须达到本篇及竞争性磋商文件其他条款的要求。</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snapToGrid w:val="0"/>
        <w:spacing w:line="400" w:lineRule="exact"/>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pPr>
        <w:snapToGrid w:val="0"/>
        <w:spacing w:line="400" w:lineRule="exact"/>
        <w:ind w:firstLine="360" w:firstLineChars="150"/>
        <w:rPr>
          <w:rFonts w:ascii="方正仿宋_GBK" w:hAnsi="宋体" w:eastAsia="方正仿宋_GBK"/>
          <w:sz w:val="24"/>
          <w:szCs w:val="24"/>
        </w:rPr>
      </w:pPr>
    </w:p>
    <w:p>
      <w:bookmarkStart w:id="36" w:name="_Toc466546919"/>
    </w:p>
    <w:p/>
    <w:p/>
    <w:p>
      <w:pPr>
        <w:rPr>
          <w:rFonts w:ascii="方正小标宋_GBK" w:hAnsi="宋体" w:eastAsia="方正小标宋_GBK"/>
          <w:sz w:val="36"/>
          <w:szCs w:val="30"/>
        </w:rPr>
      </w:pPr>
    </w:p>
    <w:p>
      <w:pPr>
        <w:rPr>
          <w:rFonts w:ascii="方正小标宋_GBK" w:hAnsi="宋体" w:eastAsia="方正小标宋_GBK"/>
          <w:sz w:val="36"/>
          <w:szCs w:val="30"/>
        </w:rPr>
      </w:pPr>
    </w:p>
    <w:p>
      <w:pPr>
        <w:pStyle w:val="2"/>
        <w:spacing w:before="0" w:after="0" w:line="360" w:lineRule="auto"/>
        <w:rPr>
          <w:rFonts w:ascii="方正小标宋_GBK" w:hAnsi="宋体" w:eastAsia="方正小标宋_GBK"/>
          <w:b w:val="0"/>
          <w:sz w:val="36"/>
          <w:szCs w:val="30"/>
        </w:rPr>
      </w:pPr>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36"/>
    </w:p>
    <w:p>
      <w:pPr>
        <w:pStyle w:val="3"/>
        <w:spacing w:before="0" w:after="0" w:line="440" w:lineRule="exact"/>
        <w:rPr>
          <w:rFonts w:ascii="方正仿宋_GBK" w:hAnsi="宋体" w:eastAsia="方正仿宋_GBK"/>
          <w:sz w:val="24"/>
          <w:szCs w:val="24"/>
        </w:rPr>
      </w:pPr>
      <w:bookmarkStart w:id="37" w:name="_Toc466546920"/>
      <w:r>
        <w:rPr>
          <w:rFonts w:hint="eastAsia" w:ascii="方正仿宋_GBK" w:hAnsi="宋体" w:eastAsia="方正仿宋_GBK"/>
          <w:sz w:val="24"/>
          <w:szCs w:val="24"/>
        </w:rPr>
        <w:t>一、磋商程序及方法</w:t>
      </w:r>
      <w:bookmarkEnd w:id="3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（一）磋商按竞争性磋商文件规定的时间和地点进行，竞标人须有法定代表人或其授权代表参加并签到，</w:t>
      </w:r>
      <w:r>
        <w:rPr>
          <w:rFonts w:hint="eastAsia" w:ascii="方正仿宋_GBK" w:hAnsi="宋体" w:eastAsia="方正仿宋_GBK"/>
          <w:b/>
          <w:szCs w:val="28"/>
        </w:rPr>
        <w:t>法定代表人或其授权代表须提供身份证原件核验身份，如无身份证原件核验身份的，无权行使相应权利</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（二）磋商小组对各竞标人的资格条件、响应文件的有效性、完整性和响应程度进行审查。各竞标人只有在完全符合要求的前提下，才能参与正式磋商。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资格性检查。依据法律法规和竞争性磋商文件的规定，对响应文件中的资格证明、磋商保证金等进行审查，以确定竞标人是否具备磋商资格。资格性检查资料表如下：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76" w:type="dxa"/>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trPr>
        <w:tc>
          <w:tcPr>
            <w:tcW w:w="676" w:type="dxa"/>
            <w:vMerge w:val="restart"/>
            <w:noWrap/>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竞标人</w:t>
            </w:r>
            <w:r>
              <w:rPr>
                <w:rFonts w:hint="eastAsia" w:ascii="方正仿宋_GBK" w:hAnsi="宋体" w:eastAsia="方正仿宋_GBK" w:cs="仿宋_GB2312"/>
                <w:sz w:val="21"/>
                <w:szCs w:val="21"/>
                <w:lang w:val="zh-CN"/>
              </w:rPr>
              <w:t>应符合的基本资格条件</w:t>
            </w:r>
          </w:p>
        </w:tc>
        <w:tc>
          <w:tcPr>
            <w:tcW w:w="4679"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 xml:space="preserve">竞标人法人营业执照（副本）或事业单位法人证书（副本）或个体工商户营业执照、组织机构代码证复印件（注：已取得“一照一码”营业执照的企业提供有效的营业执照复印件）；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竞标人法定代表人身份证明和法定代表人授权代表委托书。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76" w:type="dxa"/>
            <w:vMerge w:val="continue"/>
            <w:noWrap/>
            <w:vAlign w:val="center"/>
          </w:tcPr>
          <w:p>
            <w:pPr>
              <w:spacing w:line="240" w:lineRule="exact"/>
              <w:jc w:val="center"/>
              <w:rPr>
                <w:rFonts w:ascii="方正仿宋_GBK" w:hAnsi="宋体" w:eastAsia="方正仿宋_GBK"/>
                <w:sz w:val="21"/>
                <w:szCs w:val="21"/>
              </w:rPr>
            </w:pPr>
          </w:p>
        </w:tc>
        <w:tc>
          <w:tcPr>
            <w:tcW w:w="709" w:type="dxa"/>
            <w:vMerge w:val="continue"/>
            <w:noWrap/>
            <w:vAlign w:val="center"/>
          </w:tcPr>
          <w:p>
            <w:pPr>
              <w:spacing w:line="240" w:lineRule="exact"/>
              <w:rPr>
                <w:rFonts w:ascii="方正仿宋_GBK" w:hAnsi="宋体" w:eastAsia="方正仿宋_GBK" w:cs="仿宋_GB2312"/>
                <w:sz w:val="21"/>
                <w:szCs w:val="21"/>
                <w:lang w:val="zh-CN"/>
              </w:rPr>
            </w:pPr>
          </w:p>
        </w:tc>
        <w:tc>
          <w:tcPr>
            <w:tcW w:w="4679"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提供2019年度会计师事务所提供的财务状况报告（表）复印件，本年度新成立的公司提供递交响应文件截止时间前一个月的财务状况报告（表）复印件。（新成立公司不足一个月的除外）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676" w:type="dxa"/>
            <w:vMerge w:val="continue"/>
            <w:noWrap/>
            <w:vAlign w:val="center"/>
          </w:tcPr>
          <w:p>
            <w:pPr>
              <w:spacing w:line="240" w:lineRule="exact"/>
              <w:jc w:val="center"/>
              <w:rPr>
                <w:rFonts w:ascii="方正仿宋_GBK" w:hAnsi="宋体" w:eastAsia="方正仿宋_GBK"/>
                <w:sz w:val="21"/>
                <w:szCs w:val="21"/>
              </w:rPr>
            </w:pPr>
          </w:p>
        </w:tc>
        <w:tc>
          <w:tcPr>
            <w:tcW w:w="709" w:type="dxa"/>
            <w:vMerge w:val="continue"/>
            <w:noWrap/>
            <w:vAlign w:val="center"/>
          </w:tcPr>
          <w:p>
            <w:pPr>
              <w:spacing w:line="240" w:lineRule="exact"/>
              <w:rPr>
                <w:rFonts w:ascii="方正仿宋_GBK" w:hAnsi="宋体" w:eastAsia="方正仿宋_GBK" w:cs="仿宋_GB2312"/>
                <w:sz w:val="21"/>
                <w:szCs w:val="21"/>
                <w:lang w:val="zh-CN"/>
              </w:rPr>
            </w:pPr>
          </w:p>
        </w:tc>
        <w:tc>
          <w:tcPr>
            <w:tcW w:w="4679"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竞标人提供书面声明（见格式文件）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noWrap/>
            <w:vAlign w:val="center"/>
          </w:tcPr>
          <w:p>
            <w:pPr>
              <w:spacing w:line="240" w:lineRule="exact"/>
              <w:jc w:val="center"/>
              <w:rPr>
                <w:rFonts w:ascii="方正仿宋_GBK" w:hAnsi="宋体" w:eastAsia="方正仿宋_GBK"/>
                <w:sz w:val="21"/>
                <w:szCs w:val="21"/>
              </w:rPr>
            </w:pPr>
          </w:p>
        </w:tc>
        <w:tc>
          <w:tcPr>
            <w:tcW w:w="709" w:type="dxa"/>
            <w:vMerge w:val="continue"/>
            <w:noWrap/>
            <w:vAlign w:val="center"/>
          </w:tcPr>
          <w:p>
            <w:pPr>
              <w:spacing w:line="240" w:lineRule="exact"/>
              <w:rPr>
                <w:rFonts w:ascii="方正仿宋_GBK" w:hAnsi="宋体" w:eastAsia="方正仿宋_GBK" w:cs="仿宋_GB2312"/>
                <w:sz w:val="21"/>
                <w:szCs w:val="21"/>
                <w:lang w:val="zh-CN"/>
              </w:rPr>
            </w:pPr>
          </w:p>
        </w:tc>
        <w:tc>
          <w:tcPr>
            <w:tcW w:w="4679"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（4）有依法缴纳税收良好记录</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noWrap/>
            <w:vAlign w:val="center"/>
          </w:tcPr>
          <w:p>
            <w:pPr>
              <w:spacing w:line="240" w:lineRule="exact"/>
              <w:jc w:val="center"/>
              <w:rPr>
                <w:rFonts w:ascii="方正仿宋_GBK" w:hAnsi="宋体" w:eastAsia="方正仿宋_GBK"/>
                <w:sz w:val="21"/>
                <w:szCs w:val="21"/>
              </w:rPr>
            </w:pPr>
          </w:p>
        </w:tc>
        <w:tc>
          <w:tcPr>
            <w:tcW w:w="709" w:type="dxa"/>
            <w:vMerge w:val="continue"/>
            <w:noWrap/>
            <w:vAlign w:val="center"/>
          </w:tcPr>
          <w:p>
            <w:pPr>
              <w:spacing w:line="240" w:lineRule="exact"/>
              <w:rPr>
                <w:rFonts w:ascii="方正仿宋_GBK" w:hAnsi="宋体" w:eastAsia="方正仿宋_GBK" w:cs="仿宋_GB2312"/>
                <w:sz w:val="21"/>
                <w:szCs w:val="21"/>
                <w:lang w:val="zh-CN"/>
              </w:rPr>
            </w:pPr>
          </w:p>
        </w:tc>
        <w:tc>
          <w:tcPr>
            <w:tcW w:w="4679"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1.竞标人提供书面声明（见格式文件）；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2.竞标人提供信用中国网站（</w:t>
            </w:r>
            <w:r>
              <w:fldChar w:fldCharType="begin"/>
            </w:r>
            <w:r>
              <w:instrText xml:space="preserve"> HYPERLINK "http://www.creditchina.gov.cn" </w:instrText>
            </w:r>
            <w:r>
              <w:fldChar w:fldCharType="separate"/>
            </w:r>
            <w:r>
              <w:rPr>
                <w:rStyle w:val="14"/>
                <w:rFonts w:hint="eastAsia" w:ascii="方正仿宋_GBK" w:hAnsi="宋体" w:eastAsia="方正仿宋_GBK"/>
                <w:color w:val="auto"/>
                <w:sz w:val="21"/>
                <w:szCs w:val="21"/>
              </w:rPr>
              <w:t>www.creditchina.gov.cn</w:t>
            </w:r>
            <w:r>
              <w:rPr>
                <w:rStyle w:val="14"/>
                <w:rFonts w:hint="eastAsia" w:ascii="方正仿宋_GBK" w:hAnsi="宋体" w:eastAsia="方正仿宋_GBK"/>
                <w:color w:val="auto"/>
                <w:sz w:val="21"/>
                <w:szCs w:val="21"/>
              </w:rPr>
              <w:fldChar w:fldCharType="end"/>
            </w:r>
            <w:r>
              <w:rPr>
                <w:rFonts w:hint="eastAsia" w:ascii="方正仿宋_GBK" w:hAnsi="宋体" w:eastAsia="方正仿宋_GBK"/>
                <w:sz w:val="21"/>
                <w:szCs w:val="21"/>
              </w:rPr>
              <w:t>）以下内容的查询结果网页打印件并加盖竞标人公章（查询信息为竞标人名称）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中国政府采购网（www.ccgp.gov.cn）“政府采购严重违法失信行为记录名单”查询结果，提供查询结果网页打印件并加盖竞标人公章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noWrap/>
            <w:vAlign w:val="center"/>
          </w:tcPr>
          <w:p>
            <w:pPr>
              <w:spacing w:line="240" w:lineRule="exact"/>
              <w:jc w:val="center"/>
              <w:rPr>
                <w:rFonts w:ascii="方正仿宋_GBK" w:hAnsi="宋体" w:eastAsia="方正仿宋_GBK"/>
                <w:sz w:val="21"/>
                <w:szCs w:val="21"/>
              </w:rPr>
            </w:pPr>
          </w:p>
        </w:tc>
        <w:tc>
          <w:tcPr>
            <w:tcW w:w="709" w:type="dxa"/>
            <w:vMerge w:val="continue"/>
            <w:noWrap/>
            <w:vAlign w:val="center"/>
          </w:tcPr>
          <w:p>
            <w:pPr>
              <w:spacing w:line="240" w:lineRule="exact"/>
              <w:rPr>
                <w:rFonts w:ascii="方正仿宋_GBK" w:hAnsi="宋体" w:eastAsia="方正仿宋_GBK" w:cs="仿宋_GB2312"/>
                <w:sz w:val="21"/>
                <w:szCs w:val="21"/>
              </w:rPr>
            </w:pPr>
          </w:p>
        </w:tc>
        <w:tc>
          <w:tcPr>
            <w:tcW w:w="4679"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noWrap/>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676" w:type="dxa"/>
            <w:noWrap/>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证明材料的复印件</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竞标人按“三证合一”登记制度办理营业执照的，组织机构代码证和税务登记证（副本）以竞标人所提供的营业执照（副本）复印件为准。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noWrap/>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noWrap/>
            <w:vAlign w:val="center"/>
          </w:tcPr>
          <w:p>
            <w:pPr>
              <w:spacing w:line="240" w:lineRule="exact"/>
              <w:jc w:val="center"/>
              <w:rPr>
                <w:rFonts w:ascii="方正仿宋_GBK" w:hAnsi="宋体" w:eastAsia="方正仿宋_GBK" w:cs="宋体"/>
                <w:kern w:val="0"/>
                <w:sz w:val="21"/>
                <w:szCs w:val="21"/>
              </w:rPr>
            </w:pPr>
          </w:p>
        </w:tc>
        <w:tc>
          <w:tcPr>
            <w:tcW w:w="1560" w:type="dxa"/>
            <w:vMerge w:val="continue"/>
            <w:noWrap/>
            <w:vAlign w:val="center"/>
          </w:tcPr>
          <w:p>
            <w:pPr>
              <w:spacing w:line="240" w:lineRule="exact"/>
              <w:rPr>
                <w:rFonts w:ascii="方正仿宋_GBK" w:hAnsi="宋体" w:eastAsia="方正仿宋_GBK" w:cs="宋体"/>
                <w:kern w:val="0"/>
                <w:sz w:val="21"/>
                <w:szCs w:val="21"/>
              </w:rPr>
            </w:pPr>
          </w:p>
        </w:tc>
        <w:tc>
          <w:tcPr>
            <w:tcW w:w="1984"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noWrap/>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noWrap/>
            <w:vAlign w:val="center"/>
          </w:tcPr>
          <w:p>
            <w:pPr>
              <w:spacing w:line="240" w:lineRule="exact"/>
              <w:jc w:val="center"/>
              <w:rPr>
                <w:rFonts w:ascii="方正仿宋_GBK" w:hAnsi="宋体" w:eastAsia="方正仿宋_GBK" w:cs="宋体"/>
                <w:kern w:val="0"/>
                <w:sz w:val="21"/>
                <w:szCs w:val="21"/>
              </w:rPr>
            </w:pPr>
          </w:p>
        </w:tc>
        <w:tc>
          <w:tcPr>
            <w:tcW w:w="1560" w:type="dxa"/>
            <w:vMerge w:val="continue"/>
            <w:noWrap/>
            <w:vAlign w:val="center"/>
          </w:tcPr>
          <w:p>
            <w:pPr>
              <w:spacing w:line="240" w:lineRule="exact"/>
              <w:rPr>
                <w:rFonts w:ascii="方正仿宋_GBK" w:hAnsi="宋体" w:eastAsia="方正仿宋_GBK" w:cs="宋体"/>
                <w:kern w:val="0"/>
                <w:sz w:val="21"/>
                <w:szCs w:val="21"/>
              </w:rPr>
            </w:pPr>
          </w:p>
        </w:tc>
        <w:tc>
          <w:tcPr>
            <w:tcW w:w="1984"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noWrap/>
            <w:vAlign w:val="center"/>
          </w:tcPr>
          <w:p>
            <w:pPr>
              <w:spacing w:line="240" w:lineRule="exact"/>
              <w:jc w:val="center"/>
              <w:rPr>
                <w:rFonts w:ascii="方正仿宋_GBK" w:hAnsi="宋体" w:eastAsia="方正仿宋_GBK" w:cs="宋体"/>
                <w:kern w:val="0"/>
                <w:sz w:val="21"/>
                <w:szCs w:val="21"/>
              </w:rPr>
            </w:pPr>
          </w:p>
        </w:tc>
        <w:tc>
          <w:tcPr>
            <w:tcW w:w="1560" w:type="dxa"/>
            <w:vMerge w:val="continue"/>
            <w:noWrap/>
            <w:vAlign w:val="center"/>
          </w:tcPr>
          <w:p>
            <w:pPr>
              <w:spacing w:line="240" w:lineRule="exact"/>
              <w:rPr>
                <w:rFonts w:ascii="方正仿宋_GBK" w:hAnsi="宋体" w:eastAsia="方正仿宋_GBK" w:cs="宋体"/>
                <w:kern w:val="0"/>
                <w:sz w:val="21"/>
                <w:szCs w:val="21"/>
              </w:rPr>
            </w:pPr>
          </w:p>
        </w:tc>
        <w:tc>
          <w:tcPr>
            <w:tcW w:w="1984"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noWrap/>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noWrap/>
            <w:vAlign w:val="center"/>
          </w:tcPr>
          <w:p>
            <w:pPr>
              <w:spacing w:line="240" w:lineRule="exact"/>
              <w:jc w:val="center"/>
              <w:rPr>
                <w:rFonts w:ascii="方正仿宋_GBK" w:hAnsi="宋体" w:eastAsia="方正仿宋_GBK" w:cs="宋体"/>
                <w:kern w:val="0"/>
                <w:sz w:val="21"/>
                <w:szCs w:val="21"/>
              </w:rPr>
            </w:pPr>
          </w:p>
        </w:tc>
        <w:tc>
          <w:tcPr>
            <w:tcW w:w="1560" w:type="dxa"/>
            <w:vMerge w:val="continue"/>
            <w:noWrap/>
            <w:vAlign w:val="center"/>
          </w:tcPr>
          <w:p>
            <w:pPr>
              <w:spacing w:line="240" w:lineRule="exact"/>
              <w:rPr>
                <w:rFonts w:ascii="方正仿宋_GBK" w:hAnsi="宋体" w:eastAsia="方正仿宋_GBK" w:cs="宋体"/>
                <w:kern w:val="0"/>
                <w:sz w:val="21"/>
                <w:szCs w:val="21"/>
              </w:rPr>
            </w:pPr>
          </w:p>
        </w:tc>
        <w:tc>
          <w:tcPr>
            <w:tcW w:w="1984"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noWrap/>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noWrap/>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noWrap/>
            <w:vAlign w:val="center"/>
          </w:tcPr>
          <w:p>
            <w:pPr>
              <w:pStyle w:val="6"/>
              <w:spacing w:line="240" w:lineRule="exact"/>
              <w:rPr>
                <w:rFonts w:ascii="方正仿宋_GBK" w:hAnsi="宋体" w:eastAsia="方正仿宋_GBK" w:cs="宋体"/>
                <w:sz w:val="21"/>
                <w:szCs w:val="21"/>
              </w:rPr>
            </w:pPr>
            <w:r>
              <w:rPr>
                <w:rFonts w:hint="eastAsia" w:ascii="方正仿宋_GBK" w:hAnsi="宋体" w:eastAsia="方正仿宋_GBK" w:cs="宋体"/>
                <w:sz w:val="21"/>
                <w:szCs w:val="21"/>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noWrap/>
            <w:vAlign w:val="center"/>
          </w:tcPr>
          <w:p>
            <w:pPr>
              <w:spacing w:line="240" w:lineRule="exact"/>
              <w:jc w:val="center"/>
              <w:rPr>
                <w:rFonts w:ascii="方正仿宋_GBK" w:hAnsi="宋体" w:eastAsia="方正仿宋_GBK" w:cs="宋体"/>
                <w:kern w:val="0"/>
                <w:sz w:val="21"/>
                <w:szCs w:val="21"/>
              </w:rPr>
            </w:pPr>
          </w:p>
        </w:tc>
        <w:tc>
          <w:tcPr>
            <w:tcW w:w="1560" w:type="dxa"/>
            <w:vMerge w:val="continue"/>
            <w:noWrap/>
            <w:vAlign w:val="center"/>
          </w:tcPr>
          <w:p>
            <w:pPr>
              <w:spacing w:line="240" w:lineRule="exact"/>
              <w:rPr>
                <w:rFonts w:ascii="方正仿宋_GBK" w:hAnsi="宋体" w:eastAsia="方正仿宋_GBK" w:cs="仿宋_GB2312"/>
                <w:sz w:val="21"/>
                <w:szCs w:val="21"/>
                <w:lang w:val="zh-CN"/>
              </w:rPr>
            </w:pPr>
          </w:p>
        </w:tc>
        <w:tc>
          <w:tcPr>
            <w:tcW w:w="1984"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noWrap/>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（四）磋商小组要求竞标人澄清、说明或者更正响应文件应当以书面形式作出。竞标人的澄清、说明或者更正应当由法定代表人或其授权代表签字或者加盖公章。由授权代表签字的，应当附法定代表人授权书。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竞标人。</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（七）竞标人在磋商时作出的所有书面承诺须由法定代表人或其授权代表签字。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竞标人应当按照竞争性磋商文件的变动情况和磋商小组的要求重新提交响应文件或重新做出相关的书面承诺，最后报价及有关承诺（由法定代表人或其授权代表现场填写《最后报价表》并按手印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的竞标人，</w:t>
      </w:r>
      <w:r>
        <w:rPr>
          <w:rFonts w:hint="eastAsia" w:ascii="方正仿宋_GBK" w:hAnsi="宋体" w:eastAsia="方正仿宋_GBK"/>
          <w:sz w:val="24"/>
          <w:szCs w:val="24"/>
        </w:rPr>
        <w:t>视为放弃最后报价，以竞标人响应文件中的报价为准；若第二次报价高于报价文件报价，则视为无效报价，不能成为成交候选人。</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（九）磋商小组采用综合评分法对提交最后报价的竞标人的响应文件和最后报价（含有效书面承诺）进行综合评分。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文件全部实质性要求且按照评审因素的量化指标评审得分最高的竞标人为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竞标人</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。竞标人总得分为价格、商务、技术等评定因素分别按照相应权重值计算分项得分后相加</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竞标人每项评分因素的得分，并根据综合评分情况按照评审得分由高到低顺序推荐3名以上成交候选竞标人，并编写评审报告。若竞标人的评审得分相同的，按照最后报价由低到高的顺序排列推荐。评审得分且最后报价相同的，按照服务指标优劣顺序排列推荐。</w:t>
      </w:r>
    </w:p>
    <w:p>
      <w:pPr>
        <w:pStyle w:val="3"/>
        <w:spacing w:before="0" w:after="0" w:line="440" w:lineRule="exact"/>
        <w:rPr>
          <w:rFonts w:ascii="方正仿宋_GBK" w:eastAsia="方正仿宋_GBK"/>
          <w:sz w:val="24"/>
          <w:szCs w:val="24"/>
        </w:rPr>
      </w:pPr>
      <w:bookmarkStart w:id="38" w:name="_Toc466546921"/>
      <w:r>
        <w:rPr>
          <w:rFonts w:hint="eastAsia" w:ascii="方正仿宋_GBK" w:hAnsi="宋体" w:eastAsia="方正仿宋_GBK"/>
          <w:sz w:val="24"/>
          <w:szCs w:val="24"/>
        </w:rPr>
        <w:t>二、</w:t>
      </w:r>
      <w:bookmarkStart w:id="39" w:name="_Toc102227320"/>
      <w:bookmarkStart w:id="40" w:name="_Toc342913394"/>
      <w:r>
        <w:rPr>
          <w:rFonts w:hint="eastAsia" w:ascii="方正仿宋_GBK" w:eastAsia="方正仿宋_GBK"/>
          <w:sz w:val="24"/>
          <w:szCs w:val="24"/>
        </w:rPr>
        <w:t>评审标准</w:t>
      </w:r>
      <w:bookmarkEnd w:id="38"/>
    </w:p>
    <w:tbl>
      <w:tblPr>
        <w:tblStyle w:val="11"/>
        <w:tblW w:w="9455" w:type="dxa"/>
        <w:jc w:val="center"/>
        <w:tblInd w:w="0" w:type="dxa"/>
        <w:tblLayout w:type="fixed"/>
        <w:tblCellMar>
          <w:top w:w="0" w:type="dxa"/>
          <w:left w:w="0" w:type="dxa"/>
          <w:bottom w:w="0" w:type="dxa"/>
          <w:right w:w="0" w:type="dxa"/>
        </w:tblCellMar>
      </w:tblPr>
      <w:tblGrid>
        <w:gridCol w:w="1044"/>
        <w:gridCol w:w="1028"/>
        <w:gridCol w:w="2374"/>
        <w:gridCol w:w="5009"/>
      </w:tblGrid>
      <w:tr>
        <w:tblPrEx>
          <w:tblLayout w:type="fixed"/>
          <w:tblCellMar>
            <w:top w:w="0" w:type="dxa"/>
            <w:left w:w="0" w:type="dxa"/>
            <w:bottom w:w="0" w:type="dxa"/>
            <w:right w:w="0" w:type="dxa"/>
          </w:tblCellMar>
        </w:tblPrEx>
        <w:trPr>
          <w:trHeight w:val="1670" w:hRule="atLeast"/>
          <w:jc w:val="center"/>
        </w:trPr>
        <w:tc>
          <w:tcPr>
            <w:tcW w:w="104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jc w:val="center"/>
              <w:rPr>
                <w:rFonts w:ascii="宋体" w:hAnsi="宋体"/>
                <w:b/>
                <w:sz w:val="20"/>
              </w:rPr>
            </w:pPr>
            <w:r>
              <w:rPr>
                <w:rFonts w:ascii="宋体" w:hAnsi="宋体"/>
                <w:sz w:val="20"/>
              </w:rPr>
              <w:t>（1）</w:t>
            </w:r>
          </w:p>
        </w:tc>
        <w:tc>
          <w:tcPr>
            <w:tcW w:w="102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jc w:val="center"/>
              <w:rPr>
                <w:rFonts w:ascii="宋体" w:hAnsi="宋体"/>
                <w:sz w:val="20"/>
              </w:rPr>
            </w:pPr>
            <w:r>
              <w:rPr>
                <w:rFonts w:ascii="宋体" w:hAnsi="宋体"/>
                <w:sz w:val="20"/>
              </w:rPr>
              <w:t>投标报价得分（A）</w:t>
            </w:r>
          </w:p>
          <w:p>
            <w:pPr>
              <w:widowControl/>
              <w:snapToGrid w:val="0"/>
              <w:jc w:val="center"/>
              <w:rPr>
                <w:rFonts w:ascii="宋体" w:hAnsi="宋体"/>
                <w:b/>
                <w:sz w:val="20"/>
              </w:rPr>
            </w:pPr>
            <w:r>
              <w:rPr>
                <w:rFonts w:hint="eastAsia" w:ascii="宋体" w:hAnsi="宋体"/>
                <w:sz w:val="20"/>
              </w:rPr>
              <w:t>3</w:t>
            </w:r>
            <w:r>
              <w:rPr>
                <w:rFonts w:ascii="宋体" w:hAnsi="宋体"/>
                <w:sz w:val="20"/>
              </w:rPr>
              <w:t>0分</w:t>
            </w: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400" w:lineRule="exact"/>
              <w:jc w:val="center"/>
              <w:rPr>
                <w:rFonts w:ascii="宋体" w:hAnsi="宋体"/>
                <w:b/>
                <w:sz w:val="20"/>
              </w:rPr>
            </w:pPr>
            <w:r>
              <w:rPr>
                <w:rFonts w:ascii="宋体" w:hAnsi="宋体"/>
                <w:sz w:val="20"/>
              </w:rPr>
              <w:t>设计费评标价</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400" w:lineRule="exact"/>
              <w:ind w:firstLine="420"/>
              <w:jc w:val="left"/>
              <w:rPr>
                <w:rFonts w:ascii="宋体" w:hAnsi="宋体"/>
                <w:sz w:val="20"/>
              </w:rPr>
            </w:pPr>
            <w:r>
              <w:rPr>
                <w:rFonts w:hint="eastAsia" w:ascii="宋体" w:hAnsi="宋体"/>
                <w:sz w:val="20"/>
                <w:szCs w:val="22"/>
              </w:rPr>
              <w:t>满足资格要求且最后报价最低的供应商的价格为磋商基准价，按照下列公式计算每个供应商的磋商报价得分。磋商设计报价得分=（磋商设计基准价/最后磋商设计报价）×价格权值×100</w:t>
            </w:r>
          </w:p>
        </w:tc>
      </w:tr>
      <w:tr>
        <w:tblPrEx>
          <w:tblLayout w:type="fixed"/>
          <w:tblCellMar>
            <w:top w:w="0" w:type="dxa"/>
            <w:left w:w="0" w:type="dxa"/>
            <w:bottom w:w="0" w:type="dxa"/>
            <w:right w:w="0" w:type="dxa"/>
          </w:tblCellMar>
        </w:tblPrEx>
        <w:trPr>
          <w:trHeight w:val="530"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jc w:val="center"/>
              <w:rPr>
                <w:rFonts w:ascii="宋体" w:hAnsi="宋体"/>
                <w:sz w:val="20"/>
              </w:rPr>
            </w:pPr>
          </w:p>
          <w:p>
            <w:pPr>
              <w:widowControl/>
              <w:snapToGrid w:val="0"/>
              <w:jc w:val="center"/>
              <w:rPr>
                <w:rFonts w:ascii="宋体" w:hAnsi="宋体"/>
                <w:sz w:val="20"/>
              </w:rPr>
            </w:pPr>
            <w:r>
              <w:rPr>
                <w:rFonts w:ascii="宋体" w:hAnsi="宋体"/>
                <w:sz w:val="20"/>
              </w:rPr>
              <w:t>(2)</w:t>
            </w:r>
          </w:p>
        </w:tc>
        <w:tc>
          <w:tcPr>
            <w:tcW w:w="1028"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jc w:val="center"/>
              <w:rPr>
                <w:rFonts w:ascii="宋体" w:hAnsi="宋体"/>
                <w:sz w:val="20"/>
              </w:rPr>
            </w:pPr>
            <w:r>
              <w:rPr>
                <w:rFonts w:ascii="宋体" w:hAnsi="宋体"/>
                <w:sz w:val="20"/>
              </w:rPr>
              <w:t>技术部分（B）</w:t>
            </w:r>
          </w:p>
          <w:p>
            <w:pPr>
              <w:widowControl/>
              <w:snapToGrid w:val="0"/>
              <w:jc w:val="center"/>
              <w:rPr>
                <w:rFonts w:ascii="宋体" w:hAnsi="宋体"/>
                <w:sz w:val="20"/>
              </w:rPr>
            </w:pPr>
            <w:r>
              <w:rPr>
                <w:rFonts w:hint="eastAsia" w:ascii="宋体" w:hAnsi="宋体"/>
                <w:sz w:val="20"/>
              </w:rPr>
              <w:t>60</w:t>
            </w:r>
            <w:r>
              <w:rPr>
                <w:rFonts w:ascii="宋体" w:hAnsi="宋体"/>
                <w:sz w:val="20"/>
              </w:rPr>
              <w:t>分</w:t>
            </w: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sz w:val="20"/>
              </w:rPr>
            </w:pPr>
            <w:r>
              <w:rPr>
                <w:rFonts w:ascii="宋体"/>
                <w:sz w:val="20"/>
              </w:rPr>
              <w:t>0-</w:t>
            </w:r>
            <w:r>
              <w:rPr>
                <w:rFonts w:hint="eastAsia" w:ascii="宋体"/>
                <w:sz w:val="20"/>
              </w:rPr>
              <w:t>15</w:t>
            </w:r>
            <w:r>
              <w:rPr>
                <w:rFonts w:ascii="宋体"/>
                <w:sz w:val="20"/>
              </w:rPr>
              <w:t>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r>
              <w:rPr>
                <w:rFonts w:ascii="宋体"/>
                <w:sz w:val="20"/>
              </w:rPr>
              <w:t>有电源侧的设计图，符合现场实际情况。</w:t>
            </w:r>
          </w:p>
        </w:tc>
      </w:tr>
      <w:tr>
        <w:tblPrEx>
          <w:tblLayout w:type="fixed"/>
          <w:tblCellMar>
            <w:top w:w="0" w:type="dxa"/>
            <w:left w:w="0" w:type="dxa"/>
            <w:bottom w:w="0" w:type="dxa"/>
            <w:right w:w="0" w:type="dxa"/>
          </w:tblCellMar>
        </w:tblPrEx>
        <w:trPr>
          <w:trHeight w:val="83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sz w:val="20"/>
              </w:rPr>
            </w:pPr>
            <w:r>
              <w:rPr>
                <w:rFonts w:ascii="宋体"/>
                <w:sz w:val="20"/>
              </w:rPr>
              <w:t>0-</w:t>
            </w:r>
            <w:r>
              <w:rPr>
                <w:rFonts w:hint="eastAsia" w:ascii="宋体"/>
                <w:sz w:val="20"/>
              </w:rPr>
              <w:t>20</w:t>
            </w:r>
            <w:r>
              <w:rPr>
                <w:rFonts w:ascii="宋体"/>
                <w:sz w:val="20"/>
              </w:rPr>
              <w:t>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r>
              <w:rPr>
                <w:rFonts w:ascii="宋体"/>
                <w:sz w:val="20"/>
              </w:rPr>
              <w:t>有相关设备一、二次接线图；有电缆管沟平面路径、断面图及设备基础图，并满足现行有关规范，内容完整，符合现场实际情况。</w:t>
            </w:r>
          </w:p>
        </w:tc>
      </w:tr>
      <w:tr>
        <w:tblPrEx>
          <w:tblLayout w:type="fixed"/>
          <w:tblCellMar>
            <w:top w:w="0" w:type="dxa"/>
            <w:left w:w="0" w:type="dxa"/>
            <w:bottom w:w="0" w:type="dxa"/>
            <w:right w:w="0" w:type="dxa"/>
          </w:tblCellMar>
        </w:tblPrEx>
        <w:trPr>
          <w:trHeight w:val="625"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sz w:val="20"/>
              </w:rPr>
            </w:pPr>
            <w:r>
              <w:rPr>
                <w:rFonts w:ascii="宋体"/>
                <w:sz w:val="20"/>
              </w:rPr>
              <w:t>0-</w:t>
            </w:r>
            <w:r>
              <w:rPr>
                <w:rFonts w:hint="eastAsia" w:ascii="宋体"/>
                <w:sz w:val="20"/>
              </w:rPr>
              <w:t>15</w:t>
            </w:r>
            <w:r>
              <w:rPr>
                <w:rFonts w:ascii="宋体"/>
                <w:sz w:val="20"/>
              </w:rPr>
              <w:t>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left"/>
              <w:rPr>
                <w:rFonts w:ascii="宋体"/>
                <w:sz w:val="20"/>
              </w:rPr>
            </w:pPr>
            <w:r>
              <w:rPr>
                <w:rFonts w:ascii="宋体"/>
                <w:sz w:val="20"/>
              </w:rPr>
              <w:t>方案清晰、合理、可行，有项目内容完整的概算书。</w:t>
            </w:r>
          </w:p>
          <w:p>
            <w:pPr>
              <w:widowControl/>
              <w:snapToGrid w:val="0"/>
              <w:spacing w:line="276" w:lineRule="auto"/>
              <w:jc w:val="center"/>
              <w:rPr>
                <w:rFonts w:ascii="宋体" w:hAnsi="宋体"/>
                <w:sz w:val="20"/>
              </w:rPr>
            </w:pPr>
            <w:r>
              <w:rPr>
                <w:rFonts w:ascii="宋体"/>
                <w:sz w:val="20"/>
              </w:rPr>
              <w:t>注：需附方案设计图，否则不得分。</w:t>
            </w:r>
          </w:p>
        </w:tc>
      </w:tr>
      <w:tr>
        <w:tblPrEx>
          <w:tblLayout w:type="fixed"/>
          <w:tblCellMar>
            <w:top w:w="0" w:type="dxa"/>
            <w:left w:w="0" w:type="dxa"/>
            <w:bottom w:w="0" w:type="dxa"/>
            <w:right w:w="0" w:type="dxa"/>
          </w:tblCellMar>
        </w:tblPrEx>
        <w:trPr>
          <w:trHeight w:val="685"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center"/>
              <w:rPr>
                <w:rFonts w:ascii="宋体" w:hAnsi="宋体"/>
                <w:sz w:val="20"/>
              </w:rPr>
            </w:pP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sz w:val="20"/>
              </w:rPr>
            </w:pPr>
            <w:r>
              <w:rPr>
                <w:rFonts w:ascii="宋体"/>
                <w:sz w:val="20"/>
              </w:rPr>
              <w:t>0-5分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left"/>
              <w:rPr>
                <w:rFonts w:ascii="宋体" w:hAnsi="宋体"/>
                <w:sz w:val="20"/>
              </w:rPr>
            </w:pPr>
            <w:r>
              <w:rPr>
                <w:rFonts w:ascii="宋体"/>
                <w:sz w:val="20"/>
              </w:rPr>
              <w:t>主要设备材料配置准确；符合项目实际情况及相关标准。</w:t>
            </w:r>
          </w:p>
        </w:tc>
      </w:tr>
      <w:tr>
        <w:tblPrEx>
          <w:tblLayout w:type="fixed"/>
          <w:tblCellMar>
            <w:top w:w="0" w:type="dxa"/>
            <w:left w:w="0" w:type="dxa"/>
            <w:bottom w:w="0" w:type="dxa"/>
            <w:right w:w="0" w:type="dxa"/>
          </w:tblCellMar>
        </w:tblPrEx>
        <w:trPr>
          <w:trHeight w:val="88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left"/>
              <w:rPr>
                <w:rFonts w:ascii="宋体" w:hAnsi="宋体"/>
                <w:sz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left"/>
              <w:rPr>
                <w:rFonts w:ascii="宋体" w:hAnsi="宋体"/>
                <w:sz w:val="20"/>
              </w:rPr>
            </w:pP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sz w:val="20"/>
              </w:rPr>
            </w:pPr>
            <w:r>
              <w:rPr>
                <w:rFonts w:ascii="宋体"/>
                <w:sz w:val="20"/>
              </w:rPr>
              <w:t>0-5分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276" w:lineRule="auto"/>
              <w:jc w:val="left"/>
              <w:rPr>
                <w:rFonts w:ascii="宋体" w:hAnsi="宋体"/>
                <w:sz w:val="20"/>
              </w:rPr>
            </w:pPr>
            <w:r>
              <w:rPr>
                <w:rFonts w:ascii="宋体"/>
                <w:sz w:val="20"/>
              </w:rPr>
              <w:t>选择的主要设备材料技术参数，满足国家及国网重庆市电力公司标准，并与项目实际情况吻合。</w:t>
            </w:r>
          </w:p>
        </w:tc>
      </w:tr>
      <w:tr>
        <w:tblPrEx>
          <w:tblLayout w:type="fixed"/>
          <w:tblCellMar>
            <w:top w:w="0" w:type="dxa"/>
            <w:left w:w="0" w:type="dxa"/>
            <w:bottom w:w="0" w:type="dxa"/>
            <w:right w:w="0" w:type="dxa"/>
          </w:tblCellMar>
        </w:tblPrEx>
        <w:trPr>
          <w:trHeight w:val="779" w:hRule="atLeast"/>
          <w:jc w:val="center"/>
        </w:trPr>
        <w:tc>
          <w:tcPr>
            <w:tcW w:w="104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jc w:val="center"/>
              <w:rPr>
                <w:rFonts w:ascii="宋体" w:hAnsi="宋体"/>
                <w:sz w:val="20"/>
              </w:rPr>
            </w:pPr>
            <w:r>
              <w:rPr>
                <w:rFonts w:ascii="宋体" w:hAnsi="宋体"/>
                <w:sz w:val="20"/>
              </w:rPr>
              <w:t>（3）</w:t>
            </w:r>
          </w:p>
        </w:tc>
        <w:tc>
          <w:tcPr>
            <w:tcW w:w="102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sz w:val="20"/>
              </w:rPr>
            </w:pPr>
            <w:r>
              <w:rPr>
                <w:rFonts w:ascii="宋体" w:hAnsi="宋体"/>
                <w:sz w:val="20"/>
              </w:rPr>
              <w:t>商务部分（C）</w:t>
            </w:r>
          </w:p>
          <w:p>
            <w:pPr>
              <w:widowControl/>
              <w:snapToGrid w:val="0"/>
              <w:spacing w:line="360" w:lineRule="auto"/>
              <w:jc w:val="center"/>
              <w:rPr>
                <w:rFonts w:ascii="宋体" w:hAnsi="宋体"/>
                <w:sz w:val="20"/>
              </w:rPr>
            </w:pPr>
            <w:r>
              <w:rPr>
                <w:rFonts w:hint="eastAsia" w:ascii="宋体" w:hAnsi="宋体"/>
                <w:sz w:val="20"/>
              </w:rPr>
              <w:t>10</w:t>
            </w:r>
            <w:r>
              <w:rPr>
                <w:rFonts w:ascii="宋体" w:hAnsi="宋体"/>
                <w:sz w:val="20"/>
              </w:rPr>
              <w:t>分</w:t>
            </w:r>
          </w:p>
        </w:tc>
        <w:tc>
          <w:tcPr>
            <w:tcW w:w="23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420" w:lineRule="exact"/>
              <w:jc w:val="center"/>
              <w:rPr>
                <w:rFonts w:ascii="宋体" w:hAnsi="宋体"/>
                <w:sz w:val="20"/>
              </w:rPr>
            </w:pPr>
            <w:r>
              <w:rPr>
                <w:rFonts w:ascii="宋体" w:hAnsi="宋体"/>
                <w:sz w:val="20"/>
              </w:rPr>
              <w:t>企业业绩</w:t>
            </w:r>
          </w:p>
          <w:p>
            <w:pPr>
              <w:widowControl/>
              <w:snapToGrid w:val="0"/>
              <w:spacing w:line="420" w:lineRule="exact"/>
              <w:jc w:val="center"/>
              <w:rPr>
                <w:rFonts w:ascii="宋体" w:hAnsi="宋体"/>
                <w:sz w:val="20"/>
              </w:rPr>
            </w:pPr>
            <w:r>
              <w:rPr>
                <w:rFonts w:ascii="宋体" w:hAnsi="宋体"/>
                <w:sz w:val="20"/>
              </w:rPr>
              <w:t>（</w:t>
            </w:r>
            <w:r>
              <w:rPr>
                <w:rFonts w:hint="eastAsia" w:ascii="宋体" w:hAnsi="宋体"/>
                <w:sz w:val="20"/>
              </w:rPr>
              <w:t>10</w:t>
            </w:r>
            <w:r>
              <w:rPr>
                <w:rFonts w:ascii="宋体" w:hAnsi="宋体"/>
                <w:sz w:val="20"/>
              </w:rPr>
              <w:t>分）</w:t>
            </w:r>
          </w:p>
        </w:tc>
        <w:tc>
          <w:tcPr>
            <w:tcW w:w="50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snapToGrid w:val="0"/>
              <w:spacing w:line="360" w:lineRule="auto"/>
              <w:jc w:val="left"/>
              <w:rPr>
                <w:rFonts w:ascii="宋体" w:hAnsi="宋体"/>
                <w:sz w:val="20"/>
                <w:szCs w:val="22"/>
              </w:rPr>
            </w:pPr>
            <w:r>
              <w:rPr>
                <w:rFonts w:ascii="宋体" w:hAnsi="宋体"/>
                <w:sz w:val="20"/>
              </w:rPr>
              <w:t>满足资格要求</w:t>
            </w:r>
            <w:r>
              <w:rPr>
                <w:rFonts w:hint="eastAsia" w:ascii="宋体" w:hAnsi="宋体"/>
                <w:sz w:val="20"/>
              </w:rPr>
              <w:t>的前提下</w:t>
            </w:r>
            <w:r>
              <w:rPr>
                <w:rFonts w:ascii="宋体" w:hAnsi="宋体"/>
                <w:sz w:val="20"/>
              </w:rPr>
              <w:t>，2016年1月1日至今，每具有1</w:t>
            </w:r>
            <w:r>
              <w:rPr>
                <w:rFonts w:ascii="宋体" w:hAnsi="宋体"/>
                <w:sz w:val="20"/>
                <w:szCs w:val="22"/>
              </w:rPr>
              <w:t>项供配电用户项目设计合同设计费</w:t>
            </w:r>
            <w:r>
              <w:rPr>
                <w:rFonts w:hint="eastAsia" w:ascii="宋体" w:hAnsi="宋体"/>
                <w:sz w:val="20"/>
                <w:szCs w:val="22"/>
              </w:rPr>
              <w:t>30</w:t>
            </w:r>
            <w:r>
              <w:rPr>
                <w:rFonts w:ascii="宋体" w:hAnsi="宋体"/>
                <w:sz w:val="20"/>
                <w:szCs w:val="22"/>
              </w:rPr>
              <w:t>万</w:t>
            </w:r>
            <w:r>
              <w:rPr>
                <w:rFonts w:hint="eastAsia" w:ascii="宋体" w:hAnsi="宋体"/>
                <w:sz w:val="20"/>
                <w:szCs w:val="22"/>
              </w:rPr>
              <w:t>（含30万元）以上</w:t>
            </w:r>
            <w:r>
              <w:rPr>
                <w:rFonts w:ascii="宋体" w:hAnsi="宋体"/>
                <w:sz w:val="20"/>
                <w:szCs w:val="22"/>
              </w:rPr>
              <w:t>业绩得</w:t>
            </w:r>
            <w:r>
              <w:rPr>
                <w:rFonts w:hint="eastAsia" w:ascii="宋体" w:hAnsi="宋体"/>
                <w:sz w:val="20"/>
                <w:szCs w:val="22"/>
              </w:rPr>
              <w:t>5</w:t>
            </w:r>
            <w:r>
              <w:rPr>
                <w:rFonts w:ascii="宋体" w:hAnsi="宋体"/>
                <w:sz w:val="20"/>
                <w:szCs w:val="22"/>
              </w:rPr>
              <w:t>分，最多得</w:t>
            </w:r>
            <w:r>
              <w:rPr>
                <w:rFonts w:hint="eastAsia" w:ascii="宋体" w:hAnsi="宋体"/>
                <w:sz w:val="20"/>
                <w:szCs w:val="22"/>
              </w:rPr>
              <w:t>10</w:t>
            </w:r>
            <w:r>
              <w:rPr>
                <w:rFonts w:ascii="宋体" w:hAnsi="宋体"/>
                <w:sz w:val="20"/>
                <w:szCs w:val="22"/>
              </w:rPr>
              <w:t>分。</w:t>
            </w:r>
          </w:p>
          <w:p>
            <w:pPr>
              <w:widowControl/>
              <w:snapToGrid w:val="0"/>
              <w:spacing w:line="360" w:lineRule="auto"/>
              <w:ind w:firstLine="310"/>
              <w:jc w:val="left"/>
              <w:rPr>
                <w:rFonts w:ascii="宋体" w:hAnsi="宋体"/>
                <w:sz w:val="20"/>
              </w:rPr>
            </w:pPr>
            <w:r>
              <w:rPr>
                <w:rFonts w:ascii="宋体" w:hAnsi="宋体"/>
                <w:b/>
                <w:sz w:val="20"/>
              </w:rPr>
              <w:t>[须提供加盖投标人单位鲜章的合同复印件，且同一设计合同不能重复加分。]</w:t>
            </w:r>
          </w:p>
        </w:tc>
      </w:tr>
    </w:tbl>
    <w:p>
      <w:pPr>
        <w:snapToGrid w:val="0"/>
        <w:spacing w:before="0" w:beforeAutospacing="0" w:after="0" w:afterAutospacing="0" w:line="520" w:lineRule="atLeast"/>
        <w:jc w:val="both"/>
        <w:textAlignment w:val="baseline"/>
        <w:rPr>
          <w:rFonts w:ascii="仿宋_GB2312" w:eastAsia="仿宋_GB2312"/>
          <w:b/>
          <w:i w:val="0"/>
          <w:caps w:val="0"/>
          <w:spacing w:val="0"/>
          <w:w w:val="100"/>
          <w:sz w:val="24"/>
          <w:szCs w:val="24"/>
        </w:rPr>
      </w:pPr>
      <w:r>
        <w:rPr>
          <w:rFonts w:hint="eastAsia" w:ascii="仿宋_GB2312" w:eastAsia="仿宋_GB2312"/>
          <w:b/>
          <w:i w:val="0"/>
          <w:caps w:val="0"/>
          <w:spacing w:val="0"/>
          <w:w w:val="100"/>
          <w:sz w:val="24"/>
          <w:szCs w:val="24"/>
        </w:rPr>
        <w:t>备注：</w:t>
      </w:r>
    </w:p>
    <w:p>
      <w:pPr>
        <w:snapToGrid w:val="0"/>
        <w:spacing w:before="0" w:beforeAutospacing="0" w:after="0" w:afterAutospacing="0" w:line="520" w:lineRule="atLeast"/>
        <w:ind w:firstLine="361" w:firstLineChars="150"/>
        <w:jc w:val="both"/>
        <w:textAlignment w:val="baseline"/>
        <w:rPr>
          <w:rFonts w:ascii="仿宋_GB2312" w:eastAsia="仿宋_GB2312"/>
          <w:b/>
          <w:i w:val="0"/>
          <w:caps w:val="0"/>
          <w:spacing w:val="0"/>
          <w:w w:val="100"/>
          <w:sz w:val="24"/>
          <w:szCs w:val="24"/>
        </w:rPr>
      </w:pPr>
      <w:r>
        <w:rPr>
          <w:rFonts w:hint="eastAsia" w:ascii="仿宋_GB2312" w:eastAsia="仿宋_GB2312"/>
          <w:b/>
          <w:i w:val="0"/>
          <w:caps w:val="0"/>
          <w:spacing w:val="0"/>
          <w:w w:val="100"/>
          <w:sz w:val="24"/>
          <w:szCs w:val="24"/>
        </w:rPr>
        <w:t>关于小微企业报价扣除比例说明：对小型企业给予6%的扣除，微型企业给予8%的扣除（注册资金十五万及以下的微型企业给予10%的扣除），以扣除后的报价参与评审。</w:t>
      </w:r>
    </w:p>
    <w:p/>
    <w:p>
      <w:pPr>
        <w:pStyle w:val="3"/>
        <w:spacing w:before="0" w:after="0" w:line="400" w:lineRule="exact"/>
        <w:rPr>
          <w:rFonts w:ascii="方正仿宋_GBK" w:eastAsia="方正仿宋_GBK"/>
          <w:sz w:val="24"/>
          <w:szCs w:val="24"/>
        </w:rPr>
      </w:pPr>
      <w:bookmarkStart w:id="41" w:name="_Toc466546922"/>
      <w:r>
        <w:rPr>
          <w:rFonts w:hint="eastAsia" w:ascii="方正仿宋_GBK" w:eastAsia="方正仿宋_GBK"/>
          <w:sz w:val="24"/>
          <w:szCs w:val="24"/>
        </w:rPr>
        <w:t>三、无效响应</w:t>
      </w:r>
      <w:bookmarkEnd w:id="41"/>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方正仿宋_GBK" w:hAnsi="宋体" w:eastAsia="方正仿宋_GBK"/>
          <w:sz w:val="24"/>
          <w:szCs w:val="24"/>
        </w:rPr>
      </w:pPr>
      <w:r>
        <w:rPr>
          <w:rFonts w:hint="eastAsia" w:ascii="方正仿宋_GBK" w:hAnsi="宋体" w:eastAsia="方正仿宋_GBK"/>
          <w:sz w:val="24"/>
          <w:szCs w:val="24"/>
        </w:rPr>
        <w:t>竞标人发生以下条款情况之一者，视为无效响应，其响应文件将被拒绝：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方正仿宋_GBK" w:hAnsi="宋体" w:eastAsia="方正仿宋_GBK"/>
          <w:sz w:val="24"/>
          <w:szCs w:val="24"/>
        </w:rPr>
      </w:pPr>
      <w:r>
        <w:rPr>
          <w:rFonts w:hint="eastAsia" w:ascii="方正仿宋_GBK" w:hAnsi="宋体" w:eastAsia="方正仿宋_GBK"/>
          <w:sz w:val="24"/>
          <w:szCs w:val="24"/>
        </w:rPr>
        <w:t>（一）竞标人不符合规定的基本资格条件或特定资格条件的；</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方正仿宋_GBK" w:hAnsi="宋体" w:eastAsia="方正仿宋_GBK"/>
          <w:sz w:val="24"/>
          <w:szCs w:val="24"/>
        </w:rPr>
      </w:pPr>
      <w:r>
        <w:rPr>
          <w:rFonts w:hint="eastAsia" w:ascii="方正仿宋_GBK" w:hAnsi="宋体" w:eastAsia="方正仿宋_GBK"/>
          <w:sz w:val="24"/>
          <w:szCs w:val="24"/>
        </w:rPr>
        <w:t>（二）竞标人的法定代表人或其授权代表未参加磋商；</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方正仿宋_GBK" w:hAnsi="宋体" w:eastAsia="方正仿宋_GBK"/>
          <w:sz w:val="24"/>
          <w:szCs w:val="24"/>
        </w:rPr>
      </w:pPr>
      <w:r>
        <w:rPr>
          <w:rFonts w:hint="eastAsia" w:ascii="方正仿宋_GBK" w:hAnsi="宋体" w:eastAsia="方正仿宋_GBK"/>
          <w:sz w:val="24"/>
          <w:szCs w:val="24"/>
        </w:rPr>
        <w:t>（三）竞标人未按照竞争性磋商文件的要求缴纳磋商保证金；</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hint="eastAsia" w:ascii="方正仿宋_GBK" w:hAnsi="宋体" w:eastAsia="方正仿宋_GBK"/>
          <w:sz w:val="24"/>
          <w:szCs w:val="24"/>
        </w:rPr>
      </w:pPr>
      <w:r>
        <w:rPr>
          <w:rFonts w:hint="eastAsia" w:ascii="方正仿宋_GBK" w:hAnsi="宋体" w:eastAsia="方正仿宋_GBK"/>
          <w:sz w:val="24"/>
          <w:szCs w:val="24"/>
        </w:rPr>
        <w:t>（四）竞标人所提交的响应文件不按第七篇“响应文件编制要求”规定编制或签字、盖章；</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ascii="方正仿宋_GBK" w:hAnsi="宋体" w:eastAsia="方正仿宋_GBK"/>
          <w:sz w:val="24"/>
          <w:szCs w:val="24"/>
        </w:rPr>
      </w:pPr>
      <w:r>
        <w:rPr>
          <w:rFonts w:hint="eastAsia" w:ascii="方正仿宋_GBK" w:hAnsi="宋体" w:eastAsia="方正仿宋_GBK"/>
          <w:sz w:val="24"/>
          <w:szCs w:val="24"/>
        </w:rPr>
        <w:t>（五）竞标人的最后报价超过采购预算的；</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（七）单位负责人为同一人或者存在直接控股、管理关系的不同竞标人，参加同一合同项下的政府采购活动的；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为采购项目提供整体设计、规范编制或者项目管理、监理、检测等服务的竞标人，再参加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（九）“第二篇 采购服务需求”、“第三篇 采购商务需求”有一条及以上不能满足竞争性磋商文件要求的；</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ascii="方正仿宋_GBK" w:hAnsi="宋体" w:eastAsia="方正仿宋_GBK"/>
          <w:sz w:val="24"/>
          <w:szCs w:val="24"/>
        </w:rPr>
      </w:pPr>
      <w:r>
        <w:rPr>
          <w:rFonts w:hint="eastAsia" w:ascii="方正仿宋_GBK" w:hAnsi="宋体" w:eastAsia="方正仿宋_GBK"/>
          <w:sz w:val="24"/>
          <w:szCs w:val="24"/>
        </w:rPr>
        <w:t>（十）竞标人响应文件内容有与国家现行法律法规相违背的内容，或附有采购人无法接受的条件。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rPr>
          <w:rFonts w:ascii="方正仿宋_GBK" w:hAnsi="宋体" w:eastAsia="方正仿宋_GBK"/>
          <w:sz w:val="24"/>
          <w:szCs w:val="24"/>
        </w:rPr>
      </w:pPr>
      <w:r>
        <w:rPr>
          <w:rFonts w:hint="eastAsia" w:ascii="方正仿宋_GBK" w:hAnsi="宋体" w:eastAsia="方正仿宋_GBK"/>
          <w:sz w:val="24"/>
          <w:szCs w:val="24"/>
        </w:rPr>
        <w:t>（十一）本磋商文件规定的其它情形。</w:t>
      </w:r>
    </w:p>
    <w:p>
      <w:pPr>
        <w:pStyle w:val="3"/>
        <w:spacing w:before="0" w:after="0" w:line="400" w:lineRule="exact"/>
        <w:rPr>
          <w:rFonts w:ascii="方正仿宋_GBK" w:eastAsia="方正仿宋_GBK"/>
          <w:sz w:val="24"/>
          <w:szCs w:val="24"/>
        </w:rPr>
      </w:pPr>
      <w:bookmarkStart w:id="42" w:name="_Toc466546923"/>
      <w:r>
        <w:rPr>
          <w:rFonts w:hint="eastAsia" w:ascii="方正仿宋_GBK" w:eastAsia="方正仿宋_GBK"/>
          <w:sz w:val="24"/>
          <w:szCs w:val="24"/>
        </w:rPr>
        <w:t>四、</w:t>
      </w:r>
      <w:bookmarkEnd w:id="39"/>
      <w:bookmarkEnd w:id="40"/>
      <w:r>
        <w:rPr>
          <w:rFonts w:hint="eastAsia" w:ascii="方正仿宋_GBK" w:eastAsia="方正仿宋_GBK"/>
          <w:sz w:val="24"/>
          <w:szCs w:val="24"/>
        </w:rPr>
        <w:t>采购终止</w:t>
      </w:r>
      <w:bookmarkEnd w:id="4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在采购过程中符合要求的竞标人或者报价未超过采购预算的竞标人不足3家的，但《政府采购竞争性磋商采购方式管理暂行办法》第二十一条第三款规定的情形,以及财政部财库[2015]124号文件规定的情形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pPr>
        <w:pStyle w:val="2"/>
        <w:spacing w:line="360" w:lineRule="auto"/>
        <w:ind w:firstLine="2880" w:firstLineChars="800"/>
        <w:rPr>
          <w:rFonts w:hint="eastAsia" w:ascii="方正小标宋_GBK" w:hAnsi="宋体" w:eastAsia="方正小标宋_GBK"/>
          <w:b w:val="0"/>
          <w:sz w:val="36"/>
          <w:szCs w:val="30"/>
        </w:rPr>
      </w:pPr>
      <w:bookmarkStart w:id="43" w:name="_Toc466546924"/>
      <w:bookmarkStart w:id="44" w:name="_Toc102227313"/>
      <w:r>
        <w:rPr>
          <w:rFonts w:hint="eastAsia" w:ascii="方正小标宋_GBK" w:hAnsi="宋体" w:eastAsia="方正小标宋_GBK"/>
          <w:b w:val="0"/>
          <w:sz w:val="36"/>
          <w:szCs w:val="30"/>
        </w:rPr>
        <w:t>第五篇  竞标人须知</w:t>
      </w:r>
      <w:bookmarkEnd w:id="43"/>
      <w:bookmarkEnd w:id="44"/>
      <w:bookmarkStart w:id="45" w:name="_Toc342913389"/>
      <w:bookmarkStart w:id="46" w:name="_Toc466546925"/>
    </w:p>
    <w:p>
      <w:pPr>
        <w:snapToGrid w:val="0"/>
        <w:spacing w:line="400" w:lineRule="exact"/>
        <w:rPr>
          <w:rFonts w:hint="eastAsia" w:ascii="方正仿宋_GBK" w:hAnsi="Times New Roman" w:eastAsia="方正仿宋_GBK" w:cs="Times New Roman"/>
          <w:b/>
          <w:kern w:val="2"/>
          <w:sz w:val="24"/>
          <w:szCs w:val="24"/>
          <w:lang w:val="en-US" w:eastAsia="zh-CN" w:bidi="ar-SA"/>
        </w:rPr>
      </w:pPr>
      <w:bookmarkStart w:id="93" w:name="_GoBack"/>
      <w:bookmarkEnd w:id="93"/>
      <w:r>
        <w:rPr>
          <w:rFonts w:hint="eastAsia" w:ascii="方正仿宋_GBK" w:hAnsi="Times New Roman" w:eastAsia="方正仿宋_GBK" w:cs="Times New Roman"/>
          <w:b/>
          <w:kern w:val="2"/>
          <w:sz w:val="24"/>
          <w:szCs w:val="24"/>
          <w:lang w:val="en-US" w:eastAsia="zh-CN" w:bidi="ar-SA"/>
        </w:rPr>
        <w:t>一、磋商费用</w:t>
      </w:r>
      <w:bookmarkEnd w:id="45"/>
      <w:bookmarkEnd w:id="4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参与磋商的竞标人应承担其编制响应文件与递交响应文件所涉及的一切费用，不论磋商结果如何，采购人在任何情况下无义务也无责任承担这些费用。</w:t>
      </w:r>
    </w:p>
    <w:p>
      <w:pPr>
        <w:pStyle w:val="3"/>
        <w:tabs>
          <w:tab w:val="left" w:pos="2640"/>
        </w:tabs>
        <w:spacing w:before="0" w:after="0" w:line="400" w:lineRule="exact"/>
        <w:rPr>
          <w:rFonts w:ascii="方正仿宋_GBK" w:eastAsia="方正仿宋_GBK"/>
          <w:sz w:val="24"/>
          <w:szCs w:val="24"/>
        </w:rPr>
      </w:pPr>
      <w:bookmarkStart w:id="47" w:name="_Toc466546926"/>
      <w:bookmarkStart w:id="48" w:name="_Toc342913391"/>
      <w:r>
        <w:rPr>
          <w:rFonts w:hint="eastAsia" w:ascii="方正仿宋_GBK" w:eastAsia="方正仿宋_GBK"/>
          <w:sz w:val="24"/>
          <w:szCs w:val="24"/>
        </w:rPr>
        <w:t>二、竞争性磋商文件</w:t>
      </w:r>
      <w:bookmarkEnd w:id="47"/>
      <w:bookmarkEnd w:id="4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（一）竞争性磋商文件由采购邀请书、竞标人须知、采购服务需求、采购商务需求、合同草案条款、响应文件编制要求六部分组成。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（二）采购人所作的一切有效的书面通知、修改及补充，都是竞争性磋商文件不可分割的部分。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bookmarkStart w:id="49" w:name="_Toc318159349"/>
      <w:bookmarkStart w:id="50" w:name="_Toc318166429"/>
      <w:bookmarkStart w:id="51" w:name="_Toc318159780"/>
      <w:bookmarkStart w:id="52" w:name="_Toc318159160"/>
      <w:r>
        <w:rPr>
          <w:rFonts w:hint="eastAsia" w:ascii="方正仿宋_GBK" w:hAnsi="宋体" w:eastAsia="方正仿宋_GBK"/>
          <w:sz w:val="24"/>
          <w:szCs w:val="24"/>
        </w:rPr>
        <w:t>本竞争性磋商文件中，磋商小组根据与竞标人进行磋商可能实质性变动的内容为竞争性磋商文件第三、四、五篇全部内容。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（四）评审的依据为竞争性磋商文件和响应文件（含有效的书面承诺）。磋商小组判断响应文件对竞争性磋商文件的响应，仅基于响应文件本身而不靠外部证据。</w:t>
      </w:r>
    </w:p>
    <w:bookmarkEnd w:id="49"/>
    <w:bookmarkEnd w:id="50"/>
    <w:bookmarkEnd w:id="51"/>
    <w:bookmarkEnd w:id="52"/>
    <w:p>
      <w:pPr>
        <w:pStyle w:val="3"/>
        <w:spacing w:before="0" w:after="0" w:line="400" w:lineRule="exact"/>
        <w:rPr>
          <w:rFonts w:ascii="方正仿宋_GBK" w:eastAsia="方正仿宋_GBK"/>
          <w:sz w:val="24"/>
          <w:szCs w:val="24"/>
        </w:rPr>
      </w:pPr>
      <w:bookmarkStart w:id="53" w:name="_Toc179714297"/>
      <w:bookmarkStart w:id="54" w:name="_Toc466546927"/>
      <w:bookmarkStart w:id="55" w:name="_Toc342913392"/>
      <w:bookmarkStart w:id="56" w:name="_Toc102227318"/>
      <w:r>
        <w:rPr>
          <w:rFonts w:hint="eastAsia" w:ascii="方正仿宋_GBK" w:eastAsia="方正仿宋_GBK"/>
          <w:sz w:val="24"/>
          <w:szCs w:val="24"/>
        </w:rPr>
        <w:t>三、磋商要求</w:t>
      </w:r>
      <w:bookmarkEnd w:id="53"/>
      <w:bookmarkEnd w:id="54"/>
      <w:bookmarkEnd w:id="55"/>
      <w:bookmarkEnd w:id="5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1、竞标人应当按照竞争性磋商文件的要求编制响应文件，并对竞争性磋商文件提出的要求和条件作出实质性响应，响应文件原则上采用软面订本，同时应编制完整的页码、目录。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竞标人所作的一切有效补充、修改和承诺等文件组成，竞标人应按照第七篇“响应文件编制要求”规定的目录顺序组织编写和装订，也可在基本格式基础上对表格进行扩展，未规定格式的由竞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1、竞标人提交保证金金额和方式详见“</w:t>
      </w:r>
      <w:r>
        <w:rPr>
          <w:rFonts w:hint="eastAsia" w:ascii="方正仿宋_GBK" w:hAnsi="宋体" w:eastAsia="方正仿宋_GBK"/>
          <w:b/>
          <w:sz w:val="24"/>
          <w:szCs w:val="24"/>
          <w:u w:val="single"/>
        </w:rPr>
        <w:t>第一篇  五、磋商保证金”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2、发生以下情况之一者，磋商保证金不予退还：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2.1竞标人在提交响应文件截止时间后撤回响应文件的；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2.2竞标人在响应文件中提供虚假材料的；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2.3除因不可抗力或竞争性磋商文件认可的情形以外，成交竞标人不与采购人签订合同的；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2.4竞标人与采购人、其他竞标人恶意串通的；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2.5成交竞标人不按规定的时间或拒绝按成交状态签订合同（即不按照采购文件确定的合同文本以及采购标的、规格型号、采购金额、采购数量、技术和服务要求等事项签订政府采购合同的。）。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1、若竞标人所递交的响应文件或最后报价中的价格出现大写金额和小写金额不一致的错误，以大写金额修正为准。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2、磋商小组按上述修正错误的原则及方法修正竞标人的报价，竞标人同意并签字确认后，修正后的报价对竞标人具有约束作用。如果竞标人不接受修正后的价格，将失去成为成交竞标人的资格。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1、响应文件一式两份，其中正本一份，副本一份（注明正副本）；副本可为正本的复印件，应与正本一致，如出现不一致情况以正本为准。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在响应文件正本中，竞争性磋商文件第七篇响应文件编制要求中规定签字、盖章的地方必须按其规定签字、盖章。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w:t>
      </w:r>
      <w:r>
        <w:rPr>
          <w:rFonts w:hint="eastAsia" w:ascii="方正仿宋_GBK" w:hAnsi="宋体" w:eastAsia="方正仿宋_GBK"/>
          <w:sz w:val="24"/>
          <w:szCs w:val="24"/>
        </w:rPr>
        <w:t xml:space="preserve"> 响应文件</w:t>
      </w:r>
      <w:r>
        <w:rPr>
          <w:rFonts w:hint="eastAsia" w:ascii="方正仿宋_GBK" w:hAnsi="宋体" w:eastAsia="方正仿宋_GBK"/>
          <w:sz w:val="24"/>
        </w:rPr>
        <w:t>的密封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w:t>
      </w:r>
      <w:r>
        <w:rPr>
          <w:rFonts w:hint="eastAsia" w:ascii="方正仿宋_GBK" w:hAnsi="宋体" w:eastAsia="方正仿宋_GBK"/>
          <w:sz w:val="24"/>
          <w:szCs w:val="24"/>
        </w:rPr>
        <w:t>响应文件</w:t>
      </w:r>
      <w:r>
        <w:rPr>
          <w:rFonts w:hint="eastAsia" w:ascii="方正仿宋_GBK" w:hAnsi="宋体" w:eastAsia="方正仿宋_GBK"/>
          <w:sz w:val="24"/>
        </w:rPr>
        <w:t>的正本、副本（响应文件封面标注正副本）应密封送达</w:t>
      </w:r>
      <w:r>
        <w:rPr>
          <w:rFonts w:hint="eastAsia" w:ascii="方正仿宋_GBK" w:hAnsi="宋体" w:eastAsia="方正仿宋_GBK"/>
          <w:sz w:val="24"/>
          <w:szCs w:val="24"/>
        </w:rPr>
        <w:t>递交响应文件地点</w:t>
      </w:r>
      <w:r>
        <w:rPr>
          <w:rFonts w:hint="eastAsia" w:ascii="方正仿宋_GBK" w:hAnsi="宋体" w:eastAsia="方正仿宋_GBK"/>
          <w:sz w:val="24"/>
        </w:rPr>
        <w:t>，应在封套上注明项目名称、竞标人名称。若正本、副本分别进行密封的，还应在封套上注明“正本”、“副本”字样。</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1.2封套的封口处应加盖竞标人公章或由法定代表人授权代表签字。</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2.如果未按上述规定进行密封，采购人对响应文件误投、丢失或提前拆封不负责任。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（七）竞标人参与人员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各个竞标人应当派1-2名代表参与磋商，至少1人应为法定代表人或具有法定代表人授权委托书的授权代表。</w:t>
      </w:r>
    </w:p>
    <w:p>
      <w:pPr>
        <w:pStyle w:val="3"/>
        <w:spacing w:before="0" w:after="0" w:line="480" w:lineRule="exact"/>
        <w:rPr>
          <w:rFonts w:ascii="方正仿宋_GBK" w:eastAsia="方正仿宋_GBK"/>
          <w:sz w:val="24"/>
          <w:szCs w:val="24"/>
        </w:rPr>
      </w:pPr>
      <w:bookmarkStart w:id="57" w:name="_Toc466546928"/>
      <w:r>
        <w:rPr>
          <w:rFonts w:hint="eastAsia" w:ascii="方正仿宋_GBK" w:eastAsia="方正仿宋_GBK"/>
          <w:sz w:val="24"/>
          <w:szCs w:val="24"/>
        </w:rPr>
        <w:t>四、成交竞标人的确认和变更</w:t>
      </w:r>
      <w:bookmarkEnd w:id="5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（一）成交竞标人的确认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磋商小组认为，排在前面的成交候选人的最后报价或者某些分项报价明显不合理或者低于成本，有可能影响商品质量和不能诚信履约的，将要求其在规定的期限内提供书面文件予以解释说明，并提交相关证明材料；否则，磋商小组可以取消该成交候选人成为成交竞标人的资格，按顺序由排在后面的成交候选人递补，以此类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2、磋商小组将依照评审办法提出3名成交候选人。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3、采购人将磋商结果在</w:t>
      </w:r>
      <w:r>
        <w:rPr>
          <w:rFonts w:hint="eastAsia" w:ascii="仿宋_GB2312" w:hAnsi="宋体" w:eastAsia="仿宋_GB2312"/>
          <w:sz w:val="24"/>
          <w:szCs w:val="24"/>
        </w:rPr>
        <w:t>“</w:t>
      </w:r>
      <w:r>
        <w:rPr>
          <w:rFonts w:hint="eastAsia" w:ascii="黑体" w:hAnsi="黑体" w:eastAsia="黑体"/>
          <w:sz w:val="24"/>
        </w:rPr>
        <w:t>建桥工业园</w:t>
      </w:r>
      <w:r>
        <w:rPr>
          <w:rFonts w:hint="eastAsia" w:ascii="仿宋_GB2312" w:hAnsi="宋体" w:eastAsia="仿宋_GB2312"/>
          <w:sz w:val="24"/>
          <w:szCs w:val="24"/>
        </w:rPr>
        <w:t>”（</w:t>
      </w:r>
      <w:r>
        <w:rPr>
          <w:rFonts w:ascii="黑体" w:hAnsi="黑体" w:eastAsia="黑体"/>
          <w:sz w:val="24"/>
          <w:u w:val="single"/>
        </w:rPr>
        <w:t>http://www.jqgyy.com/</w:t>
      </w:r>
      <w:r>
        <w:rPr>
          <w:rFonts w:hint="eastAsia" w:ascii="仿宋_GB2312" w:hAnsi="宋体" w:eastAsia="仿宋_GB2312"/>
          <w:sz w:val="24"/>
          <w:szCs w:val="24"/>
        </w:rPr>
        <w:t>）</w:t>
      </w:r>
      <w:r>
        <w:rPr>
          <w:rFonts w:hint="eastAsia" w:ascii="方正仿宋_GBK" w:hAnsi="宋体" w:eastAsia="方正仿宋_GBK"/>
          <w:sz w:val="24"/>
          <w:szCs w:val="24"/>
        </w:rPr>
        <w:t>网站上公示</w:t>
      </w:r>
      <w:r>
        <w:rPr>
          <w:rFonts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（二）成交竞标人的变更</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1、若为下列情况之一的，成交竞标人因不可抗力或者自身原因不能履行合同的，采购人可以确定排名其后一位的成交候选人为成交竞标人：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1.1拟成交金额在100万以下的，报价不超过前一名报价5%的成交候选人；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1.2拟成交金额在100～200万的，报价不超过前一名报价4%的成交候选人；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1.3拟成交金额在200万以上的，报价不超过前一名报价3%的成交候选人；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1.4采购人须按以上程序确认成交竞标人，否则应重新组织采购。</w:t>
      </w:r>
    </w:p>
    <w:p>
      <w:pPr>
        <w:pStyle w:val="3"/>
        <w:spacing w:before="0" w:after="0" w:line="400" w:lineRule="exact"/>
        <w:rPr>
          <w:rFonts w:ascii="方正仿宋_GBK" w:eastAsia="方正仿宋_GBK"/>
          <w:sz w:val="24"/>
          <w:szCs w:val="24"/>
        </w:rPr>
      </w:pPr>
      <w:bookmarkStart w:id="58" w:name="_Toc342913395"/>
      <w:bookmarkStart w:id="59" w:name="_Toc466546929"/>
      <w:bookmarkStart w:id="60" w:name="_Toc102227321"/>
      <w:r>
        <w:rPr>
          <w:rFonts w:hint="eastAsia" w:ascii="方正仿宋_GBK" w:eastAsia="方正仿宋_GBK"/>
          <w:sz w:val="24"/>
          <w:szCs w:val="24"/>
        </w:rPr>
        <w:t>五、成交通知</w:t>
      </w:r>
      <w:bookmarkEnd w:id="58"/>
      <w:bookmarkEnd w:id="59"/>
      <w:bookmarkEnd w:id="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（一）成交竞标人确定后，采购人将</w:t>
      </w:r>
      <w:r>
        <w:rPr>
          <w:rFonts w:hint="eastAsia" w:ascii="仿宋_GB2312" w:hAnsi="宋体" w:eastAsia="仿宋_GB2312"/>
          <w:sz w:val="24"/>
          <w:szCs w:val="24"/>
        </w:rPr>
        <w:t>“</w:t>
      </w:r>
      <w:r>
        <w:rPr>
          <w:rFonts w:hint="eastAsia" w:ascii="黑体" w:hAnsi="黑体" w:eastAsia="黑体"/>
          <w:sz w:val="24"/>
        </w:rPr>
        <w:t>建桥工业园</w:t>
      </w:r>
      <w:r>
        <w:rPr>
          <w:rFonts w:hint="eastAsia" w:ascii="仿宋_GB2312" w:hAnsi="宋体" w:eastAsia="仿宋_GB2312"/>
          <w:sz w:val="24"/>
          <w:szCs w:val="24"/>
        </w:rPr>
        <w:t>”（</w:t>
      </w:r>
      <w:r>
        <w:rPr>
          <w:rFonts w:ascii="黑体" w:hAnsi="黑体" w:eastAsia="黑体"/>
          <w:sz w:val="24"/>
          <w:u w:val="single"/>
        </w:rPr>
        <w:t>http://www.jqgyy.com/</w:t>
      </w:r>
      <w:r>
        <w:rPr>
          <w:rFonts w:hint="eastAsia" w:ascii="仿宋_GB2312" w:hAnsi="宋体" w:eastAsia="仿宋_GB2312"/>
          <w:sz w:val="24"/>
          <w:szCs w:val="24"/>
        </w:rPr>
        <w:t>）</w:t>
      </w:r>
      <w:r>
        <w:rPr>
          <w:rFonts w:hint="eastAsia" w:ascii="方正仿宋_GBK" w:hAnsi="宋体" w:eastAsia="方正仿宋_GBK"/>
          <w:sz w:val="24"/>
          <w:szCs w:val="24"/>
        </w:rPr>
        <w:t>网站上发布成交结果公告。</w:t>
      </w:r>
    </w:p>
    <w:p>
      <w:pPr>
        <w:snapToGrid w:val="0"/>
        <w:spacing w:line="400" w:lineRule="exact"/>
        <w:ind w:firstLine="480" w:firstLineChars="200"/>
        <w:rPr>
          <w:rFonts w:ascii="方正仿宋_GBK" w:hAnsi="宋体" w:eastAsia="方正仿宋_GBK"/>
          <w:b/>
          <w:sz w:val="24"/>
          <w:szCs w:val="24"/>
          <w:u w:val="single"/>
        </w:rPr>
      </w:pPr>
      <w:r>
        <w:rPr>
          <w:rFonts w:hint="eastAsia" w:ascii="方正仿宋_GBK" w:hAnsi="宋体" w:eastAsia="方正仿宋_GBK"/>
          <w:sz w:val="24"/>
          <w:szCs w:val="24"/>
        </w:rPr>
        <w:t>（二）公示1个工作日，公示期满后，采购人将以书面形式发出《成交通知书》。《成交通知书》一经发出即发生法律效力。</w:t>
      </w:r>
      <w:r>
        <w:rPr>
          <w:rFonts w:hint="eastAsia" w:ascii="方正仿宋_GBK" w:hAnsi="宋体" w:eastAsia="方正仿宋_GBK"/>
          <w:b/>
          <w:sz w:val="24"/>
          <w:szCs w:val="24"/>
          <w:u w:val="single"/>
        </w:rPr>
        <w:t>成交人需持经办人介绍信、身份证复印件到重庆建桥置业有限公司领取。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（四）如有竞标人对成交结果提出质疑的，在质疑处理完毕后发出成交通知书。</w:t>
      </w:r>
      <w:bookmarkStart w:id="61" w:name="_Toc466546930"/>
    </w:p>
    <w:p>
      <w:pPr>
        <w:snapToGrid w:val="0"/>
        <w:spacing w:line="400" w:lineRule="exact"/>
        <w:rPr>
          <w:rFonts w:ascii="方正仿宋_GBK" w:eastAsia="方正仿宋_GBK"/>
          <w:b/>
          <w:sz w:val="24"/>
          <w:szCs w:val="24"/>
        </w:rPr>
      </w:pPr>
      <w:r>
        <w:rPr>
          <w:rFonts w:hint="eastAsia" w:ascii="方正仿宋_GBK" w:eastAsia="方正仿宋_GBK"/>
          <w:b/>
          <w:sz w:val="24"/>
          <w:szCs w:val="24"/>
        </w:rPr>
        <w:t>六、</w:t>
      </w:r>
      <w:bookmarkEnd w:id="61"/>
      <w:r>
        <w:rPr>
          <w:rFonts w:hint="eastAsia" w:ascii="方正仿宋_GBK" w:eastAsia="方正仿宋_GBK"/>
          <w:b/>
          <w:sz w:val="24"/>
          <w:szCs w:val="24"/>
        </w:rPr>
        <w:t>询问和质疑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（一）询问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采购人应当在3个工作日内对投标人依法提出的询问作出答复。投标人询问应以口头形式为主。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（二）质疑内容、时限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1、竞标人对竞争性磋商文件中竞标人特定资格条件、技术质量和商务要求、评审标准及评审细则有异议的，应主要向采购人提出质疑，质疑书一份。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2、竞标人对成交结果有异议的，应当在成交公示发布之日起七个工作日内以书面形式向采购人提出质疑，并附相关证明材料。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（三）质疑答复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采购人在收到竞标人书面质疑后七个工作日内，对质疑内容作出答复。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（四）不予受理或暂缓受理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1、质疑有下列情形之一的，不予受理：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1.1质疑竞标人参与了磋商活动后，再对竞争性磋商文件内容提出质疑的；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1.2质疑超过有效期的；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1.3对同一事项重复质疑的。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2、质疑有下列情形之一的，应暂不受理并告知竞标人补充材料。竞标人及时补充材料的，应予受理；逾期未补充的，不予受理：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2.1质疑书格式和内容不符合国家或重庆市相关规定的；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2.2供应商未提供缴纳投标保证金证明材料的；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2.3供应商未提供身份证明材料的（单位介绍信、身份证复印件）及有效联系方式的；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2.4质疑书提供的依据或证明材料不全的；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2.5质疑书份数不足的。</w:t>
      </w:r>
    </w:p>
    <w:p>
      <w:pPr>
        <w:pStyle w:val="3"/>
        <w:spacing w:before="0" w:after="0" w:line="400" w:lineRule="exact"/>
        <w:rPr>
          <w:rFonts w:ascii="方正仿宋_GBK" w:eastAsia="方正仿宋_GBK"/>
          <w:sz w:val="24"/>
          <w:szCs w:val="24"/>
        </w:rPr>
      </w:pPr>
      <w:bookmarkStart w:id="62" w:name="_Toc466546931"/>
      <w:r>
        <w:rPr>
          <w:rFonts w:hint="eastAsia" w:ascii="方正仿宋_GBK" w:eastAsia="方正仿宋_GBK"/>
          <w:sz w:val="24"/>
          <w:szCs w:val="24"/>
        </w:rPr>
        <w:t>七、</w:t>
      </w:r>
      <w:bookmarkEnd w:id="62"/>
      <w:bookmarkStart w:id="63" w:name="_Toc102227322"/>
      <w:bookmarkStart w:id="64" w:name="_Toc466546933"/>
      <w:bookmarkStart w:id="65" w:name="_Toc342913396"/>
      <w:bookmarkStart w:id="66" w:name="_Toc12789059"/>
      <w:bookmarkStart w:id="67" w:name="_Toc11641055"/>
      <w:r>
        <w:rPr>
          <w:rFonts w:hint="eastAsia" w:ascii="方正仿宋_GBK" w:eastAsia="方正仿宋_GBK"/>
          <w:sz w:val="24"/>
          <w:szCs w:val="24"/>
        </w:rPr>
        <w:t>签订</w:t>
      </w:r>
      <w:bookmarkEnd w:id="63"/>
      <w:r>
        <w:rPr>
          <w:rFonts w:hint="eastAsia" w:ascii="方正仿宋_GBK" w:eastAsia="方正仿宋_GBK"/>
          <w:sz w:val="24"/>
          <w:szCs w:val="24"/>
        </w:rPr>
        <w:t>合同</w:t>
      </w:r>
      <w:bookmarkEnd w:id="64"/>
      <w:bookmarkEnd w:id="6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（一）采购人应当自成交通知书发出之日起三十日内，按照竞争性磋商文件和成交竞标人响应文件的约定，与成交竞标人签订书面合同。所签订的合同不得对竞争性磋商文件和竞标人的响应文件作实质性修改。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（二）竞争性磋商文件、竞标人的响应文件及澄清文件等，均为签订政府采购合同的依据。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（四）合同原则上应按照《重庆市政府采购合同》签订，相关单位要求适用合同通用格式版本的，应按其要求另行签订其他合同。</w:t>
      </w:r>
    </w:p>
    <w:p>
      <w:pPr>
        <w:pStyle w:val="2"/>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68" w:name="_Toc466546935"/>
      <w:r>
        <w:rPr>
          <w:rFonts w:hint="eastAsia" w:ascii="方正小标宋_GBK" w:hAnsi="宋体" w:eastAsia="方正小标宋_GBK"/>
          <w:b w:val="0"/>
          <w:sz w:val="36"/>
          <w:szCs w:val="30"/>
        </w:rPr>
        <w:t xml:space="preserve">第六篇  </w:t>
      </w:r>
      <w:bookmarkEnd w:id="66"/>
      <w:bookmarkEnd w:id="67"/>
      <w:r>
        <w:rPr>
          <w:rFonts w:hint="eastAsia" w:ascii="方正小标宋_GBK" w:hAnsi="宋体" w:eastAsia="方正小标宋_GBK"/>
          <w:b w:val="0"/>
          <w:sz w:val="36"/>
          <w:szCs w:val="30"/>
        </w:rPr>
        <w:t>合同草案条款</w:t>
      </w:r>
      <w:bookmarkEnd w:id="68"/>
    </w:p>
    <w:p>
      <w:pPr>
        <w:tabs>
          <w:tab w:val="left" w:pos="9000"/>
        </w:tabs>
        <w:spacing w:line="276" w:lineRule="auto"/>
        <w:jc w:val="left"/>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bCs/>
          <w:sz w:val="24"/>
        </w:rPr>
        <w:t>合同自拟。</w:t>
      </w:r>
    </w:p>
    <w:p>
      <w:pPr>
        <w:pStyle w:val="2"/>
        <w:spacing w:before="0" w:after="0" w:line="360" w:lineRule="auto"/>
        <w:jc w:val="center"/>
        <w:rPr>
          <w:rFonts w:ascii="方正小标宋_GBK" w:hAnsi="宋体" w:eastAsia="方正小标宋_GBK"/>
          <w:b w:val="0"/>
          <w:sz w:val="36"/>
          <w:szCs w:val="30"/>
        </w:rPr>
      </w:pPr>
      <w:bookmarkStart w:id="69" w:name="_Hlt41879464"/>
      <w:bookmarkEnd w:id="69"/>
      <w:bookmarkStart w:id="70" w:name="_Toc12789072"/>
      <w:bookmarkStart w:id="71" w:name="_Toc466546936"/>
      <w:r>
        <w:rPr>
          <w:rFonts w:hint="eastAsia" w:ascii="方正小标宋_GBK" w:hAnsi="宋体" w:eastAsia="方正小标宋_GBK"/>
          <w:b w:val="0"/>
          <w:sz w:val="36"/>
          <w:szCs w:val="30"/>
        </w:rPr>
        <w:t xml:space="preserve">第七篇  </w:t>
      </w:r>
      <w:bookmarkEnd w:id="70"/>
      <w:r>
        <w:rPr>
          <w:rFonts w:hint="eastAsia" w:ascii="方正小标宋_GBK" w:hAnsi="宋体" w:eastAsia="方正小标宋_GBK"/>
          <w:b w:val="0"/>
          <w:sz w:val="36"/>
          <w:szCs w:val="30"/>
        </w:rPr>
        <w:t>响应文件编制要求</w:t>
      </w:r>
      <w:bookmarkEnd w:id="71"/>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注：1、竞标人提供的所有复印件资料，（中标人的原件在签合同前进行核查）</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2、竞标人所提供的资料有格式的必须按照格式要求提供，没有格式的格式自拟。</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（一）服务方案</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一般资格条件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（六）2019年度财务状况报告（表）复印件，本年度新成立的公司提供提交响应文件截止时间前一个月的财务状况报告（表）复印件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（七）书面声明（格式）</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（八）税务登记证（副本）复印件</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（九）</w:t>
      </w:r>
      <w:r>
        <w:rPr>
          <w:rFonts w:hint="eastAsia" w:ascii="方正仿宋_GBK" w:hAnsi="宋体" w:eastAsia="方正仿宋_GBK"/>
          <w:sz w:val="24"/>
          <w:szCs w:val="24"/>
        </w:rPr>
        <w:t>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 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）查询结果（提供查询结果网页打印件并加盖竞标人公章）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）（提供查询结果网页打印件并加盖竞标人公章）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）按特定资格条件要求提供相应资料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说明：竞标人按“三证合一”登记制度办理营业执照的，组织机构代码证和税务登记证以竞标人所提供的法人营业执照（副本）复印件为准</w:t>
      </w:r>
    </w:p>
    <w:p>
      <w:pPr>
        <w:snapToGrid w:val="0"/>
        <w:spacing w:line="44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 xml:space="preserve"> 中小微企业声明函</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六、</w:t>
      </w:r>
      <w:r>
        <w:rPr>
          <w:rFonts w:hint="eastAsia" w:ascii="方正仿宋_GBK" w:hAnsi="宋体" w:eastAsia="方正仿宋_GBK"/>
          <w:sz w:val="24"/>
          <w:szCs w:val="24"/>
        </w:rPr>
        <w:t>其他应提供的资料</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w:t>
      </w:r>
    </w:p>
    <w:p>
      <w:pPr>
        <w:snapToGrid w:val="0"/>
        <w:spacing w:line="440" w:lineRule="exact"/>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sz w:val="24"/>
          <w:szCs w:val="24"/>
        </w:rPr>
      </w:pPr>
      <w:bookmarkStart w:id="72" w:name="_Toc313888360"/>
      <w:bookmarkStart w:id="73" w:name="_Toc466546937"/>
      <w:bookmarkStart w:id="74" w:name="_Toc342913419"/>
      <w:bookmarkStart w:id="75" w:name="_Toc313008356"/>
      <w:bookmarkStart w:id="76" w:name="_Toc12789073"/>
      <w:bookmarkStart w:id="77" w:name="_Toc283382454"/>
      <w:r>
        <w:rPr>
          <w:rFonts w:hint="eastAsia" w:ascii="方正仿宋_GBK" w:hAnsi="宋体" w:eastAsia="方正仿宋_GBK"/>
          <w:sz w:val="24"/>
          <w:szCs w:val="24"/>
        </w:rPr>
        <w:t>一、经济部分</w:t>
      </w:r>
      <w:bookmarkEnd w:id="72"/>
      <w:bookmarkEnd w:id="73"/>
      <w:bookmarkEnd w:id="74"/>
      <w:bookmarkEnd w:id="75"/>
    </w:p>
    <w:bookmarkEnd w:id="76"/>
    <w:bookmarkEnd w:id="77"/>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重庆建桥置业有限公司</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1、根据你方</w:t>
      </w:r>
      <w:r>
        <w:rPr>
          <w:rFonts w:hint="eastAsia" w:ascii="方正仿宋_GBK" w:hAnsi="宋体" w:eastAsia="方正仿宋_GBK"/>
          <w:sz w:val="24"/>
          <w:szCs w:val="24"/>
          <w:u w:val="single"/>
        </w:rPr>
        <w:t xml:space="preserve">  （项目名称）    </w:t>
      </w:r>
      <w:r>
        <w:rPr>
          <w:rFonts w:hint="eastAsia" w:ascii="方正仿宋_GBK" w:hAnsi="宋体" w:eastAsia="方正仿宋_GBK"/>
          <w:sz w:val="24"/>
          <w:szCs w:val="24"/>
        </w:rPr>
        <w:t>的磋商文件，遵照《中华人民共和国招标投标法》等有关法律法规的规定，经踏勘现场和研究磋商文件和已有相关资料文件后，我方愿意以暂定设计总报价人民币</w:t>
      </w:r>
      <w:r>
        <w:rPr>
          <w:rFonts w:hint="eastAsia" w:ascii="方正仿宋_GBK" w:hAnsi="宋体" w:eastAsia="方正仿宋_GBK"/>
          <w:sz w:val="24"/>
          <w:szCs w:val="24"/>
          <w:u w:val="single"/>
        </w:rPr>
        <w:t>（大写）         (小写￥          ) ，设计包干费率为        %，</w:t>
      </w:r>
      <w:r>
        <w:rPr>
          <w:rFonts w:hint="eastAsia" w:ascii="方正仿宋_GBK" w:hAnsi="宋体" w:eastAsia="方正仿宋_GBK"/>
          <w:sz w:val="24"/>
          <w:szCs w:val="24"/>
        </w:rPr>
        <w:t>作为初始报价，并按磋商文件的要求承包合同规定的全部内容，并承担相关责任。</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6、我方若成为成交竞标人，将按照最终磋商结果签订合同，并且严格履行合同义务。本承诺函将成为合同不可分割的一部分，与合同具有同等的法律效力。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竞标人（公章）：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pStyle w:val="3"/>
        <w:spacing w:before="0" w:after="0" w:line="360" w:lineRule="auto"/>
        <w:rPr>
          <w:rFonts w:ascii="方正仿宋_GBK" w:hAnsi="宋体" w:eastAsia="方正仿宋_GBK"/>
          <w:sz w:val="24"/>
          <w:szCs w:val="24"/>
        </w:rPr>
      </w:pPr>
      <w:bookmarkStart w:id="78" w:name="_Toc313888361"/>
      <w:bookmarkStart w:id="79" w:name="_Toc466546938"/>
      <w:bookmarkStart w:id="80" w:name="_Toc342913420"/>
      <w:bookmarkStart w:id="81" w:name="_Toc313008357"/>
      <w:r>
        <w:rPr>
          <w:rFonts w:hint="eastAsia" w:ascii="方正仿宋_GBK" w:hAnsi="宋体" w:eastAsia="方正仿宋_GBK"/>
          <w:sz w:val="24"/>
          <w:szCs w:val="24"/>
        </w:rPr>
        <w:t>二、服务部分</w:t>
      </w:r>
      <w:bookmarkEnd w:id="78"/>
      <w:bookmarkEnd w:id="79"/>
      <w:bookmarkEnd w:id="80"/>
      <w:bookmarkEnd w:id="81"/>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（一）服务方案（格式自定）</w:t>
      </w:r>
    </w:p>
    <w:p>
      <w:pPr>
        <w:tabs>
          <w:tab w:val="left" w:pos="6300"/>
        </w:tabs>
        <w:snapToGrid w:val="0"/>
        <w:spacing w:line="500" w:lineRule="exact"/>
        <w:ind w:firstLine="57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（二）服务响应偏离表</w:t>
      </w:r>
    </w:p>
    <w:p>
      <w:pPr>
        <w:pStyle w:val="6"/>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p>
    <w:tbl>
      <w:tblPr>
        <w:tblStyle w:val="11"/>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竞标人：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（竞标人公章）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采购服务需求”中所列技术要求进行比较和响应，如有品牌的需注明所投品牌；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5、若“响应情况”栏中仅填写“无偏离”或“有偏离”等内容而未作实质性参数描述，该竞标人将</w:t>
      </w:r>
      <w:r>
        <w:rPr>
          <w:rFonts w:hint="eastAsia" w:ascii="方正仿宋_GBK" w:hAnsi="宋体" w:eastAsia="方正仿宋_GBK"/>
          <w:sz w:val="24"/>
          <w:szCs w:val="24"/>
        </w:rPr>
        <w:t>失去成为成交竞标人的资格，仅保留其合格竞标人的身份。</w:t>
      </w:r>
    </w:p>
    <w:p>
      <w:pPr>
        <w:pStyle w:val="3"/>
        <w:spacing w:before="0" w:after="0" w:line="360" w:lineRule="auto"/>
        <w:rPr>
          <w:rFonts w:ascii="方正仿宋_GBK" w:hAnsi="宋体" w:eastAsia="方正仿宋_GBK"/>
          <w:sz w:val="24"/>
          <w:szCs w:val="24"/>
        </w:rPr>
      </w:pPr>
      <w:r>
        <w:rPr>
          <w:rFonts w:ascii="方正仿宋_GBK" w:eastAsia="方正仿宋_GBK"/>
          <w:b w:val="0"/>
        </w:rPr>
        <w:br w:type="page"/>
      </w:r>
      <w:bookmarkStart w:id="82" w:name="_Toc313888362"/>
      <w:bookmarkStart w:id="83" w:name="_Toc342913421"/>
      <w:bookmarkStart w:id="84" w:name="_Toc466546939"/>
      <w:bookmarkStart w:id="85" w:name="_Toc313008358"/>
      <w:r>
        <w:rPr>
          <w:rFonts w:hint="eastAsia" w:ascii="方正仿宋_GBK" w:hAnsi="宋体" w:eastAsia="方正仿宋_GBK"/>
          <w:sz w:val="24"/>
          <w:szCs w:val="24"/>
        </w:rPr>
        <w:t>三、商务部分</w:t>
      </w:r>
      <w:bookmarkEnd w:id="82"/>
      <w:bookmarkEnd w:id="83"/>
      <w:bookmarkEnd w:id="84"/>
      <w:bookmarkEnd w:id="85"/>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86"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竞标人：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（竞标人公章）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3"/>
        <w:spacing w:before="0" w:after="0" w:line="360" w:lineRule="auto"/>
      </w:pPr>
      <w:r>
        <w:rPr>
          <w:rFonts w:ascii="方正仿宋_GBK" w:hAnsi="宋体" w:eastAsia="方正仿宋_GBK"/>
          <w:sz w:val="24"/>
          <w:szCs w:val="24"/>
        </w:rPr>
        <w:br w:type="page"/>
      </w:r>
      <w:bookmarkEnd w:id="86"/>
      <w:bookmarkStart w:id="87" w:name="_Toc313888363"/>
      <w:bookmarkStart w:id="88" w:name="_Toc466546940"/>
      <w:bookmarkStart w:id="89" w:name="_Toc313008359"/>
      <w:bookmarkStart w:id="90" w:name="_Toc342913422"/>
      <w:r>
        <w:rPr>
          <w:rFonts w:hint="eastAsia" w:ascii="方正仿宋_GBK" w:hAnsi="宋体" w:eastAsia="方正仿宋_GBK"/>
          <w:sz w:val="24"/>
          <w:szCs w:val="24"/>
        </w:rPr>
        <w:t>四、资格条件及其他</w:t>
      </w:r>
      <w:bookmarkEnd w:id="87"/>
      <w:bookmarkEnd w:id="88"/>
      <w:bookmarkEnd w:id="89"/>
      <w:bookmarkEnd w:id="90"/>
    </w:p>
    <w:p>
      <w:pPr>
        <w:numPr>
          <w:ilvl w:val="0"/>
          <w:numId w:val="3"/>
        </w:num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一般资格条件</w:t>
      </w:r>
    </w:p>
    <w:p>
      <w:pPr>
        <w:tabs>
          <w:tab w:val="left" w:pos="6300"/>
        </w:tabs>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1、注册证明</w:t>
      </w:r>
    </w:p>
    <w:p>
      <w:pPr>
        <w:tabs>
          <w:tab w:val="left" w:pos="6300"/>
        </w:tabs>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184785</wp:posOffset>
            </wp:positionV>
            <wp:extent cx="7311390" cy="4017010"/>
            <wp:effectExtent l="0" t="0" r="381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7311390" cy="4017010"/>
                    </a:xfrm>
                    <a:prstGeom prst="rect">
                      <a:avLst/>
                    </a:prstGeom>
                    <a:noFill/>
                    <a:ln>
                      <a:noFill/>
                    </a:ln>
                  </pic:spPr>
                </pic:pic>
              </a:graphicData>
            </a:graphic>
          </wp:anchor>
        </w:drawing>
      </w: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w:t>
      </w:r>
      <w:r>
        <w:rPr>
          <w:rFonts w:hint="eastAsia" w:ascii="方正仿宋_GBK" w:hAnsi="宋体" w:eastAsia="方正仿宋_GBK"/>
          <w:lang w:eastAsia="zh-CN"/>
        </w:rPr>
        <w:t>二</w:t>
      </w:r>
      <w:r>
        <w:rPr>
          <w:rFonts w:hint="eastAsia" w:ascii="方正仿宋_GBK" w:hAnsi="宋体" w:eastAsia="方正仿宋_GBK"/>
        </w:rPr>
        <w:t>）营业执照（副本）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复印件或个体工商户营业执照</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w:t>
      </w:r>
      <w:r>
        <w:rPr>
          <w:rFonts w:hint="eastAsia" w:ascii="方正仿宋_GBK" w:hAnsi="宋体" w:eastAsia="方正仿宋_GBK"/>
          <w:lang w:eastAsia="zh-CN"/>
        </w:rPr>
        <w:t>三</w:t>
      </w:r>
      <w:r>
        <w:rPr>
          <w:rFonts w:hint="eastAsia" w:ascii="方正仿宋_GBK" w:hAnsi="宋体" w:eastAsia="方正仿宋_GBK"/>
        </w:rPr>
        <w:t>）组织机构代码证复印件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color w:val="FF0000"/>
        </w:rPr>
      </w:pPr>
      <w:r>
        <w:rPr>
          <w:rFonts w:ascii="方正仿宋_GBK" w:hAnsi="宋体" w:eastAsia="方正仿宋_GBK"/>
        </w:rPr>
        <w:br w:type="page"/>
      </w:r>
      <w:r>
        <w:rPr>
          <w:rFonts w:hint="eastAsia" w:ascii="方正仿宋_GBK" w:hAnsi="宋体" w:eastAsia="方正仿宋_GBK"/>
        </w:rPr>
        <w:t>（</w:t>
      </w:r>
      <w:r>
        <w:rPr>
          <w:rFonts w:hint="eastAsia" w:ascii="方正仿宋_GBK" w:hAnsi="宋体" w:eastAsia="方正仿宋_GBK"/>
          <w:lang w:eastAsia="zh-CN"/>
        </w:rPr>
        <w:t>四</w:t>
      </w:r>
      <w:r>
        <w:rPr>
          <w:rFonts w:hint="eastAsia" w:ascii="方正仿宋_GBK" w:hAnsi="宋体" w:eastAsia="方正仿宋_GBK"/>
        </w:rPr>
        <w:t>）法定代表人身份证明书（格式）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（法定代表人姓名）在（竞标人名称）任（职务名称）职务，是（竞标人名称）的法定代表人。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（竞标人公章）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w:t>
      </w:r>
      <w:r>
        <w:rPr>
          <w:rFonts w:hint="eastAsia" w:ascii="方正仿宋_GBK" w:hAnsi="宋体" w:eastAsia="方正仿宋_GBK"/>
          <w:lang w:eastAsia="zh-CN"/>
        </w:rPr>
        <w:t>五</w:t>
      </w:r>
      <w:r>
        <w:rPr>
          <w:rFonts w:hint="eastAsia" w:ascii="方正仿宋_GBK" w:hAnsi="宋体" w:eastAsia="方正仿宋_GBK"/>
        </w:rPr>
        <w:t>）法定代表人授权委托书（格式）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（竞标人法定代表人名称）是（竞标人名称）的法定代表人，特授权（被授权人姓名、身份证号码）代表我单位全权办理上述项目的磋商、签约等具体工作，并签署全部有关文件、协议及合同。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竞标人法定代表人：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（竞标人公章）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w:t>
      </w:r>
      <w:r>
        <w:rPr>
          <w:rFonts w:hint="eastAsia" w:ascii="方正仿宋_GBK" w:hAnsi="宋体" w:eastAsia="方正仿宋_GBK"/>
          <w:lang w:eastAsia="zh-CN"/>
        </w:rPr>
        <w:t>六</w:t>
      </w:r>
      <w:r>
        <w:rPr>
          <w:rFonts w:hint="eastAsia" w:ascii="方正仿宋_GBK" w:hAnsi="宋体" w:eastAsia="方正仿宋_GBK"/>
        </w:rPr>
        <w:t>）2019年度财务状况报告（表）复印件，本年度新成立的公司提供递交响应文件截止时间前一个月的财务状况报告（表）复印件（新成立公司不足一个月的除外）</w:t>
      </w: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w:t>
      </w:r>
      <w:r>
        <w:rPr>
          <w:rFonts w:hint="eastAsia" w:ascii="方正仿宋_GBK" w:hAnsi="宋体" w:eastAsia="方正仿宋_GBK"/>
          <w:lang w:eastAsia="zh-CN"/>
        </w:rPr>
        <w:t>七</w:t>
      </w:r>
      <w:r>
        <w:rPr>
          <w:rFonts w:hint="eastAsia" w:ascii="方正仿宋_GBK" w:hAnsi="宋体" w:eastAsia="方正仿宋_GBK"/>
        </w:rPr>
        <w:t>）书面声明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竞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（竞标人公章）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w:t>
      </w:r>
      <w:r>
        <w:rPr>
          <w:rFonts w:hint="eastAsia" w:ascii="方正仿宋_GBK" w:hAnsi="宋体" w:eastAsia="方正仿宋_GBK"/>
          <w:lang w:eastAsia="zh-CN"/>
        </w:rPr>
        <w:t>八</w:t>
      </w:r>
      <w:r>
        <w:rPr>
          <w:rFonts w:hint="eastAsia" w:ascii="方正仿宋_GBK" w:hAnsi="宋体" w:eastAsia="方正仿宋_GBK"/>
        </w:rPr>
        <w:t>）税务登记证（副本）复印件</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rPr>
        <w:t>（</w:t>
      </w:r>
      <w:r>
        <w:rPr>
          <w:rFonts w:hint="eastAsia" w:ascii="方正仿宋_GBK" w:hAnsi="宋体" w:eastAsia="方正仿宋_GBK"/>
          <w:lang w:eastAsia="zh-CN"/>
        </w:rPr>
        <w:t>九）</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4"/>
          <w:rFonts w:hint="eastAsia" w:ascii="方正仿宋_GBK" w:hAnsi="宋体" w:eastAsia="方正仿宋_GBK"/>
          <w:color w:val="auto"/>
          <w:szCs w:val="28"/>
        </w:rPr>
        <w:t>www.creditchina.gov.cn</w:t>
      </w:r>
      <w:r>
        <w:rPr>
          <w:rStyle w:val="14"/>
          <w:rFonts w:hint="eastAsia" w:ascii="方正仿宋_GBK" w:hAnsi="宋体" w:eastAsia="方正仿宋_GBK"/>
          <w:color w:val="auto"/>
          <w:szCs w:val="28"/>
        </w:rPr>
        <w:fldChar w:fldCharType="end"/>
      </w:r>
      <w:r>
        <w:rPr>
          <w:rFonts w:hint="eastAsia" w:ascii="方正仿宋_GBK" w:hAnsi="宋体" w:eastAsia="方正仿宋_GBK"/>
          <w:szCs w:val="28"/>
        </w:rPr>
        <w:t>）查询结果（提供查询结果网页打印件并加盖竞标人公章）</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500" w:lineRule="exact"/>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4"/>
          <w:rFonts w:hint="eastAsia" w:ascii="方正仿宋_GBK" w:hAnsi="宋体" w:eastAsia="方正仿宋_GBK"/>
          <w:color w:val="auto"/>
          <w:szCs w:val="28"/>
        </w:rPr>
        <w:t>www.ccgp.gov.cn</w:t>
      </w:r>
      <w:r>
        <w:rPr>
          <w:rStyle w:val="14"/>
          <w:rFonts w:hint="eastAsia" w:ascii="方正仿宋_GBK" w:hAnsi="宋体" w:eastAsia="方正仿宋_GBK"/>
          <w:color w:val="auto"/>
          <w:szCs w:val="28"/>
        </w:rPr>
        <w:fldChar w:fldCharType="end"/>
      </w:r>
      <w:r>
        <w:rPr>
          <w:rFonts w:hint="eastAsia" w:ascii="方正仿宋_GBK" w:hAnsi="宋体" w:eastAsia="方正仿宋_GBK"/>
          <w:szCs w:val="28"/>
        </w:rPr>
        <w:t>）（提供查询结果网页打印件并加盖竞标人公章）</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w:t>
      </w:r>
      <w:r>
        <w:rPr>
          <w:rFonts w:hint="eastAsia" w:ascii="方正仿宋_GBK" w:hAnsi="宋体" w:eastAsia="方正仿宋_GBK"/>
          <w:lang w:eastAsia="zh-CN"/>
        </w:rPr>
        <w:t>十</w:t>
      </w:r>
      <w:r>
        <w:rPr>
          <w:rFonts w:hint="eastAsia" w:ascii="方正仿宋_GBK" w:hAnsi="宋体" w:eastAsia="方正仿宋_GBK"/>
        </w:rPr>
        <w:t>）按特定资格条件要求提供相应资料</w:t>
      </w: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说明：竞标人按“三证合一”登记制度办理营业执照的，组织机构代码证和税务登记证以竞标人所提供的营业执照（副本）复印件为准。</w:t>
      </w:r>
    </w:p>
    <w:p>
      <w:pPr>
        <w:tabs>
          <w:tab w:val="left" w:pos="6300"/>
        </w:tabs>
        <w:snapToGrid w:val="0"/>
        <w:spacing w:line="500" w:lineRule="exact"/>
        <w:ind w:firstLine="570"/>
        <w:jc w:val="left"/>
        <w:rPr>
          <w:rFonts w:ascii="仿宋_GB2312" w:eastAsia="仿宋_GB2312"/>
          <w:color w:val="000000"/>
          <w:sz w:val="24"/>
          <w:szCs w:val="24"/>
        </w:rPr>
      </w:pPr>
    </w:p>
    <w:p>
      <w:pPr>
        <w:tabs>
          <w:tab w:val="left" w:pos="6300"/>
        </w:tabs>
        <w:snapToGrid w:val="0"/>
        <w:spacing w:line="500" w:lineRule="exact"/>
        <w:ind w:firstLine="570"/>
        <w:jc w:val="left"/>
        <w:rPr>
          <w:rFonts w:ascii="仿宋_GB2312" w:eastAsia="仿宋_GB2312"/>
          <w:color w:val="000000"/>
          <w:sz w:val="24"/>
          <w:szCs w:val="24"/>
        </w:rPr>
      </w:pPr>
    </w:p>
    <w:p>
      <w:pPr>
        <w:tabs>
          <w:tab w:val="left" w:pos="6300"/>
        </w:tabs>
        <w:snapToGrid w:val="0"/>
        <w:spacing w:line="500" w:lineRule="exact"/>
        <w:ind w:firstLine="570"/>
        <w:jc w:val="left"/>
        <w:rPr>
          <w:rFonts w:ascii="仿宋_GB2312" w:eastAsia="仿宋_GB2312"/>
          <w:color w:val="000000"/>
          <w:sz w:val="24"/>
          <w:szCs w:val="24"/>
        </w:rPr>
      </w:pPr>
    </w:p>
    <w:p>
      <w:pPr>
        <w:tabs>
          <w:tab w:val="left" w:pos="6300"/>
        </w:tabs>
        <w:snapToGrid w:val="0"/>
        <w:spacing w:line="500" w:lineRule="exact"/>
        <w:ind w:firstLine="570"/>
        <w:jc w:val="left"/>
        <w:rPr>
          <w:rFonts w:ascii="仿宋_GB2312" w:eastAsia="仿宋_GB2312"/>
          <w:color w:val="000000"/>
          <w:sz w:val="24"/>
          <w:szCs w:val="24"/>
        </w:rPr>
      </w:pPr>
    </w:p>
    <w:p>
      <w:pPr>
        <w:tabs>
          <w:tab w:val="left" w:pos="6300"/>
        </w:tabs>
        <w:snapToGrid w:val="0"/>
        <w:spacing w:line="500" w:lineRule="exact"/>
        <w:ind w:firstLine="570"/>
        <w:jc w:val="left"/>
        <w:rPr>
          <w:rFonts w:ascii="仿宋_GB2312" w:eastAsia="仿宋_GB2312"/>
          <w:color w:val="000000"/>
          <w:sz w:val="24"/>
          <w:szCs w:val="24"/>
        </w:rPr>
      </w:pPr>
    </w:p>
    <w:p>
      <w:pPr>
        <w:tabs>
          <w:tab w:val="left" w:pos="6300"/>
        </w:tabs>
        <w:snapToGrid w:val="0"/>
        <w:spacing w:line="500" w:lineRule="exact"/>
        <w:ind w:firstLine="570"/>
        <w:rPr>
          <w:rFonts w:ascii="仿宋" w:hAnsi="仿宋" w:eastAsia="仿宋"/>
        </w:rPr>
      </w:pPr>
    </w:p>
    <w:p>
      <w:pPr>
        <w:rPr>
          <w:rFonts w:ascii="方正仿宋_GBK" w:hAnsi="宋体" w:eastAsia="方正仿宋_GBK"/>
        </w:rPr>
      </w:pPr>
      <w:r>
        <w:rPr>
          <w:rFonts w:ascii="方正仿宋_GBK" w:hAnsi="宋体" w:eastAsia="方正仿宋_GBK"/>
        </w:rPr>
        <w:br w:type="page"/>
      </w:r>
    </w:p>
    <w:p>
      <w:pPr>
        <w:spacing w:line="360" w:lineRule="auto"/>
        <w:rPr>
          <w:rFonts w:hint="eastAsia" w:ascii="方正仿宋_GBK" w:hAnsi="宋体" w:eastAsia="方正仿宋_GBK" w:cs="Times New Roman"/>
          <w:b/>
          <w:kern w:val="2"/>
          <w:sz w:val="24"/>
          <w:szCs w:val="24"/>
          <w:lang w:val="en-US" w:eastAsia="zh-CN" w:bidi="ar-SA"/>
        </w:rPr>
      </w:pPr>
      <w:bookmarkStart w:id="91" w:name="_Toc14422"/>
      <w:bookmarkStart w:id="92" w:name="_Toc466546941"/>
      <w:r>
        <w:rPr>
          <w:rFonts w:hint="eastAsia" w:ascii="方正仿宋_GBK" w:hAnsi="宋体" w:eastAsia="方正仿宋_GBK" w:cs="Times New Roman"/>
          <w:b/>
          <w:kern w:val="2"/>
          <w:sz w:val="24"/>
          <w:szCs w:val="24"/>
          <w:lang w:val="en-US" w:eastAsia="zh-CN" w:bidi="ar-SA"/>
        </w:rPr>
        <w:t>五、 中小微企业声明函</w:t>
      </w:r>
    </w:p>
    <w:p>
      <w:pPr>
        <w:spacing w:line="360" w:lineRule="auto"/>
        <w:ind w:firstLine="3060" w:firstLineChars="850"/>
        <w:rPr>
          <w:rFonts w:ascii="仿宋_GB2312" w:eastAsia="仿宋_GB2312"/>
          <w:color w:val="auto"/>
          <w:szCs w:val="32"/>
        </w:rPr>
      </w:pPr>
      <w:r>
        <w:rPr>
          <w:rFonts w:ascii="方正仿宋_GBK" w:hAnsi="宋体" w:eastAsia="方正仿宋_GBK"/>
          <w:color w:val="auto"/>
          <w:sz w:val="36"/>
          <w:szCs w:val="36"/>
        </w:rPr>
        <w:t>中小微企业声明函</w:t>
      </w:r>
    </w:p>
    <w:p>
      <w:pPr>
        <w:snapToGrid w:val="0"/>
        <w:spacing w:line="440" w:lineRule="atLeast"/>
        <w:rPr>
          <w:rFonts w:ascii="宋体" w:hAnsi="宋体"/>
          <w:szCs w:val="28"/>
        </w:rPr>
      </w:pPr>
    </w:p>
    <w:p>
      <w:pPr>
        <w:snapToGrid w:val="0"/>
        <w:spacing w:line="440" w:lineRule="atLeast"/>
        <w:rPr>
          <w:rFonts w:ascii="宋体" w:hAnsi="宋体"/>
          <w:szCs w:val="28"/>
        </w:rPr>
      </w:pPr>
      <w:r>
        <w:rPr>
          <w:rFonts w:ascii="宋体" w:hAnsi="宋体"/>
          <w:szCs w:val="28"/>
        </w:rPr>
        <w:t>项目名称:</w:t>
      </w:r>
      <w:r>
        <w:rPr>
          <w:rFonts w:hint="eastAsia" w:ascii="宋体" w:hAnsi="宋体"/>
          <w:szCs w:val="28"/>
        </w:rPr>
        <w:softHyphen/>
      </w:r>
      <w:r>
        <w:rPr>
          <w:rFonts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softHyphen/>
      </w:r>
      <w:r>
        <w:rPr>
          <w:rFonts w:hint="eastAsia" w:ascii="宋体" w:hAnsi="宋体"/>
          <w:szCs w:val="28"/>
        </w:rPr>
        <w:t>_________________________</w:t>
      </w:r>
    </w:p>
    <w:p>
      <w:pPr>
        <w:snapToGrid w:val="0"/>
        <w:spacing w:line="440" w:lineRule="atLeast"/>
        <w:rPr>
          <w:rFonts w:ascii="宋体" w:hAnsi="宋体"/>
          <w:szCs w:val="28"/>
        </w:rPr>
      </w:pPr>
      <w:r>
        <w:rPr>
          <w:rFonts w:hint="eastAsia" w:ascii="宋体" w:hAnsi="宋体"/>
          <w:szCs w:val="28"/>
        </w:rPr>
        <w:t>致：_________________________</w:t>
      </w:r>
      <w:r>
        <w:rPr>
          <w:rFonts w:ascii="宋体" w:hAnsi="宋体"/>
          <w:szCs w:val="28"/>
        </w:rPr>
        <w:t>(采购人名称)</w:t>
      </w:r>
    </w:p>
    <w:p>
      <w:pPr>
        <w:snapToGrid w:val="0"/>
        <w:spacing w:line="440" w:lineRule="atLeast"/>
        <w:ind w:firstLine="560" w:firstLineChars="200"/>
        <w:rPr>
          <w:rFonts w:ascii="宋体" w:hAnsi="宋体"/>
          <w:szCs w:val="28"/>
        </w:rPr>
      </w:pPr>
      <w:r>
        <w:rPr>
          <w:rFonts w:ascii="宋体" w:hAnsi="宋体"/>
          <w:szCs w:val="28"/>
        </w:rPr>
        <w:t>本企业郑重声明,根据《政府采购促进中小企业发展暂行办法》(财库〔2011] 181号)的规定,本企业为</w:t>
      </w:r>
      <w:r>
        <w:rPr>
          <w:rFonts w:hint="eastAsia" w:ascii="宋体" w:hAnsi="宋体"/>
          <w:szCs w:val="28"/>
        </w:rPr>
        <w:t>______________（请填写：中型、小型、微型）企业。即，本企业同时满足一下条件：</w:t>
      </w:r>
    </w:p>
    <w:p>
      <w:pPr>
        <w:snapToGrid w:val="0"/>
        <w:spacing w:line="440" w:lineRule="atLeast"/>
        <w:ind w:firstLine="560" w:firstLineChars="200"/>
        <w:rPr>
          <w:rFonts w:ascii="宋体" w:hAnsi="宋体"/>
          <w:szCs w:val="28"/>
        </w:rPr>
      </w:pPr>
      <w:r>
        <w:rPr>
          <w:rFonts w:ascii="宋体" w:hAnsi="宋体"/>
          <w:szCs w:val="28"/>
        </w:rPr>
        <w:t>1.根据《工业和信息化部国家统计局国家发展和改革委员会财政部关于印发中小企业划型标准规定的通知</w:t>
      </w:r>
      <w:r>
        <w:rPr>
          <w:rFonts w:hint="eastAsia" w:ascii="宋体" w:hAnsi="宋体"/>
          <w:szCs w:val="28"/>
        </w:rPr>
        <w:t>》（</w:t>
      </w:r>
      <w:r>
        <w:rPr>
          <w:rFonts w:ascii="宋体" w:hAnsi="宋体"/>
          <w:szCs w:val="28"/>
        </w:rPr>
        <w:t>工信部联企业〔2011] 300号)的划分标准,本企业为</w:t>
      </w:r>
      <w:r>
        <w:rPr>
          <w:rFonts w:hint="eastAsia" w:ascii="宋体" w:hAnsi="宋体"/>
          <w:szCs w:val="28"/>
        </w:rPr>
        <w:t>_____________行业（行业类别）的___________（请</w:t>
      </w:r>
      <w:r>
        <w:rPr>
          <w:rFonts w:ascii="宋体" w:hAnsi="宋体"/>
          <w:szCs w:val="28"/>
        </w:rPr>
        <w:t>填写:中型、小型、微型)企业。</w:t>
      </w:r>
    </w:p>
    <w:p>
      <w:pPr>
        <w:snapToGrid w:val="0"/>
        <w:spacing w:line="440" w:lineRule="atLeast"/>
        <w:ind w:firstLine="560" w:firstLineChars="200"/>
        <w:rPr>
          <w:rFonts w:ascii="宋体" w:hAnsi="宋体"/>
          <w:szCs w:val="28"/>
        </w:rPr>
      </w:pPr>
      <w:r>
        <w:rPr>
          <w:rFonts w:ascii="宋体" w:hAnsi="宋体"/>
          <w:szCs w:val="28"/>
        </w:rPr>
        <w:t>2本企业参加本项目提供本企业制造的货物、承担的工程或者服务,或者提供他小微企业制造的货物。</w:t>
      </w:r>
    </w:p>
    <w:p>
      <w:pPr>
        <w:ind w:firstLine="3092" w:firstLineChars="1100"/>
        <w:rPr>
          <w:rFonts w:ascii="宋体" w:hAnsi="宋体"/>
          <w:b/>
          <w:szCs w:val="28"/>
        </w:rPr>
      </w:pPr>
    </w:p>
    <w:p>
      <w:pPr>
        <w:ind w:firstLine="3092" w:firstLineChars="1100"/>
        <w:rPr>
          <w:rFonts w:ascii="宋体" w:hAnsi="宋体"/>
          <w:szCs w:val="28"/>
        </w:rPr>
      </w:pPr>
      <w:r>
        <w:rPr>
          <w:rFonts w:ascii="宋体" w:hAnsi="宋体"/>
          <w:b/>
          <w:szCs w:val="28"/>
        </w:rPr>
        <w:t>企业基本情况表</w:t>
      </w:r>
    </w:p>
    <w:p>
      <w:pPr>
        <w:rPr>
          <w:rFonts w:ascii="宋体" w:hAnsi="宋体"/>
          <w:szCs w:val="28"/>
        </w:rPr>
      </w:pPr>
    </w:p>
    <w:tbl>
      <w:tblPr>
        <w:tblStyle w:val="1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410"/>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269" w:type="dxa"/>
            <w:noWrap/>
            <w:vAlign w:val="center"/>
          </w:tcPr>
          <w:p>
            <w:pPr>
              <w:jc w:val="center"/>
              <w:rPr>
                <w:rFonts w:ascii="宋体" w:hAnsi="宋体"/>
                <w:szCs w:val="28"/>
              </w:rPr>
            </w:pPr>
          </w:p>
          <w:p>
            <w:pPr>
              <w:jc w:val="center"/>
              <w:rPr>
                <w:rFonts w:ascii="宋体" w:hAnsi="宋体"/>
                <w:szCs w:val="28"/>
              </w:rPr>
            </w:pPr>
            <w:r>
              <w:rPr>
                <w:rFonts w:ascii="宋体" w:hAnsi="宋体"/>
                <w:szCs w:val="28"/>
              </w:rPr>
              <w:t>行业类别</w:t>
            </w:r>
          </w:p>
          <w:p>
            <w:pPr>
              <w:ind w:left="15"/>
              <w:jc w:val="center"/>
              <w:rPr>
                <w:rFonts w:ascii="宋体" w:hAnsi="宋体"/>
                <w:szCs w:val="28"/>
              </w:rPr>
            </w:pPr>
          </w:p>
        </w:tc>
        <w:tc>
          <w:tcPr>
            <w:tcW w:w="2410" w:type="dxa"/>
            <w:noWrap/>
            <w:vAlign w:val="center"/>
          </w:tcPr>
          <w:p>
            <w:pPr>
              <w:jc w:val="center"/>
              <w:rPr>
                <w:rFonts w:ascii="宋体" w:hAnsi="宋体"/>
                <w:szCs w:val="28"/>
              </w:rPr>
            </w:pPr>
            <w:r>
              <w:rPr>
                <w:rFonts w:ascii="宋体" w:hAnsi="宋体"/>
                <w:szCs w:val="28"/>
              </w:rPr>
              <w:t>营业收入（万元）</w:t>
            </w:r>
          </w:p>
        </w:tc>
        <w:tc>
          <w:tcPr>
            <w:tcW w:w="2409" w:type="dxa"/>
            <w:noWrap/>
            <w:vAlign w:val="center"/>
          </w:tcPr>
          <w:p>
            <w:pPr>
              <w:jc w:val="center"/>
              <w:rPr>
                <w:rFonts w:ascii="宋体" w:hAnsi="宋体"/>
                <w:szCs w:val="28"/>
              </w:rPr>
            </w:pPr>
            <w:r>
              <w:rPr>
                <w:rFonts w:ascii="宋体" w:hAnsi="宋体"/>
                <w:szCs w:val="28"/>
              </w:rPr>
              <w:t>从业人员（人）</w:t>
            </w:r>
          </w:p>
        </w:tc>
        <w:tc>
          <w:tcPr>
            <w:tcW w:w="2268" w:type="dxa"/>
            <w:noWrap/>
            <w:vAlign w:val="center"/>
          </w:tcPr>
          <w:p>
            <w:pPr>
              <w:jc w:val="center"/>
              <w:rPr>
                <w:rFonts w:ascii="宋体" w:hAnsi="宋体"/>
                <w:szCs w:val="28"/>
              </w:rPr>
            </w:pPr>
          </w:p>
          <w:p>
            <w:pPr>
              <w:jc w:val="center"/>
              <w:rPr>
                <w:rFonts w:ascii="宋体" w:hAnsi="宋体"/>
                <w:szCs w:val="28"/>
              </w:rPr>
            </w:pPr>
            <w:r>
              <w:rPr>
                <w:rFonts w:ascii="宋体" w:hAnsi="宋体"/>
                <w:szCs w:val="28"/>
              </w:rPr>
              <w:t>资产总额(万元</w:t>
            </w:r>
            <w:r>
              <w:rPr>
                <w:rFonts w:hint="eastAsia" w:ascii="宋体" w:hAnsi="宋体"/>
                <w:szCs w:val="28"/>
              </w:rPr>
              <w:t>)</w:t>
            </w:r>
          </w:p>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69" w:type="dxa"/>
            <w:noWrap/>
          </w:tcPr>
          <w:p>
            <w:pPr>
              <w:ind w:left="15"/>
              <w:rPr>
                <w:rFonts w:ascii="宋体" w:hAnsi="宋体"/>
                <w:szCs w:val="28"/>
              </w:rPr>
            </w:pPr>
          </w:p>
          <w:p>
            <w:pPr>
              <w:ind w:left="15"/>
              <w:rPr>
                <w:rFonts w:ascii="宋体" w:hAnsi="宋体"/>
                <w:szCs w:val="28"/>
              </w:rPr>
            </w:pPr>
          </w:p>
        </w:tc>
        <w:tc>
          <w:tcPr>
            <w:tcW w:w="2410" w:type="dxa"/>
            <w:noWrap/>
          </w:tcPr>
          <w:p>
            <w:pPr>
              <w:widowControl/>
              <w:jc w:val="left"/>
              <w:rPr>
                <w:rFonts w:ascii="宋体" w:hAnsi="宋体"/>
                <w:szCs w:val="28"/>
              </w:rPr>
            </w:pPr>
          </w:p>
          <w:p>
            <w:pPr>
              <w:rPr>
                <w:rFonts w:ascii="宋体" w:hAnsi="宋体"/>
                <w:szCs w:val="28"/>
              </w:rPr>
            </w:pPr>
          </w:p>
        </w:tc>
        <w:tc>
          <w:tcPr>
            <w:tcW w:w="2409" w:type="dxa"/>
            <w:noWrap/>
          </w:tcPr>
          <w:p>
            <w:pPr>
              <w:widowControl/>
              <w:jc w:val="left"/>
              <w:rPr>
                <w:rFonts w:ascii="宋体" w:hAnsi="宋体"/>
                <w:szCs w:val="28"/>
              </w:rPr>
            </w:pPr>
          </w:p>
          <w:p>
            <w:pPr>
              <w:rPr>
                <w:rFonts w:ascii="宋体" w:hAnsi="宋体"/>
                <w:szCs w:val="28"/>
              </w:rPr>
            </w:pPr>
          </w:p>
        </w:tc>
        <w:tc>
          <w:tcPr>
            <w:tcW w:w="2268" w:type="dxa"/>
            <w:noWrap/>
          </w:tcPr>
          <w:p>
            <w:pPr>
              <w:widowControl/>
              <w:jc w:val="left"/>
              <w:rPr>
                <w:rFonts w:ascii="宋体" w:hAnsi="宋体"/>
                <w:szCs w:val="28"/>
              </w:rPr>
            </w:pPr>
          </w:p>
          <w:p>
            <w:pPr>
              <w:rPr>
                <w:rFonts w:ascii="宋体" w:hAnsi="宋体"/>
                <w:szCs w:val="28"/>
              </w:rPr>
            </w:pPr>
          </w:p>
        </w:tc>
      </w:tr>
    </w:tbl>
    <w:p>
      <w:pPr>
        <w:rPr>
          <w:rFonts w:ascii="宋体" w:hAnsi="宋体"/>
          <w:szCs w:val="28"/>
        </w:rPr>
      </w:pPr>
    </w:p>
    <w:p>
      <w:pPr>
        <w:snapToGrid w:val="0"/>
        <w:spacing w:line="560" w:lineRule="atLeast"/>
        <w:ind w:firstLine="560" w:firstLineChars="200"/>
        <w:rPr>
          <w:rFonts w:ascii="宋体" w:hAnsi="宋体"/>
          <w:szCs w:val="28"/>
        </w:rPr>
      </w:pPr>
      <w:r>
        <w:rPr>
          <w:rFonts w:ascii="宋体" w:hAnsi="宋体"/>
          <w:szCs w:val="28"/>
        </w:rPr>
        <w:t>本企业对上述声明的真实性负责。如有虚假，将依法承担相应责任。</w:t>
      </w:r>
    </w:p>
    <w:p>
      <w:pPr>
        <w:snapToGrid w:val="0"/>
        <w:spacing w:line="560" w:lineRule="atLeast"/>
        <w:ind w:firstLine="4900" w:firstLineChars="1750"/>
        <w:rPr>
          <w:rFonts w:ascii="宋体" w:hAnsi="宋体"/>
          <w:szCs w:val="28"/>
        </w:rPr>
      </w:pPr>
    </w:p>
    <w:p>
      <w:pPr>
        <w:snapToGrid w:val="0"/>
        <w:spacing w:line="560" w:lineRule="atLeast"/>
        <w:ind w:firstLine="4900" w:firstLineChars="1750"/>
        <w:rPr>
          <w:rFonts w:ascii="宋体" w:hAnsi="宋体"/>
          <w:szCs w:val="28"/>
        </w:rPr>
      </w:pPr>
      <w:r>
        <w:rPr>
          <w:rFonts w:ascii="宋体" w:hAnsi="宋体"/>
          <w:szCs w:val="28"/>
        </w:rPr>
        <w:t>供应商名称（公章）:</w:t>
      </w:r>
    </w:p>
    <w:p>
      <w:pPr>
        <w:snapToGrid w:val="0"/>
        <w:spacing w:line="560" w:lineRule="atLeast"/>
        <w:ind w:firstLine="5880" w:firstLineChars="2100"/>
        <w:rPr>
          <w:szCs w:val="28"/>
        </w:rPr>
      </w:pPr>
      <w:r>
        <w:rPr>
          <w:rFonts w:ascii="宋体" w:hAnsi="宋体"/>
          <w:szCs w:val="28"/>
        </w:rPr>
        <w:t>年</w:t>
      </w:r>
      <w:r>
        <w:rPr>
          <w:rFonts w:hint="eastAsia" w:ascii="宋体" w:hAnsi="宋体"/>
          <w:szCs w:val="28"/>
          <w:lang w:val="en-US" w:eastAsia="zh-CN"/>
        </w:rPr>
        <w:t xml:space="preserve">  </w:t>
      </w:r>
      <w:r>
        <w:rPr>
          <w:rFonts w:ascii="宋体" w:hAnsi="宋体"/>
          <w:szCs w:val="28"/>
        </w:rPr>
        <w:t>月</w:t>
      </w:r>
      <w:r>
        <w:rPr>
          <w:rFonts w:hint="eastAsia" w:ascii="宋体" w:hAnsi="宋体"/>
          <w:szCs w:val="28"/>
          <w:lang w:val="en-US" w:eastAsia="zh-CN"/>
        </w:rPr>
        <w:t xml:space="preserve">  </w:t>
      </w:r>
      <w:r>
        <w:rPr>
          <w:rFonts w:ascii="宋体" w:hAnsi="宋体"/>
          <w:szCs w:val="28"/>
        </w:rPr>
        <w:t>日</w:t>
      </w: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pStyle w:val="3"/>
        <w:spacing w:before="0" w:after="0" w:line="360" w:lineRule="auto"/>
        <w:rPr>
          <w:rFonts w:ascii="方正仿宋_GBK" w:hAnsi="宋体" w:eastAsia="方正仿宋_GBK"/>
          <w:sz w:val="24"/>
          <w:szCs w:val="24"/>
        </w:rPr>
      </w:pPr>
      <w:r>
        <w:rPr>
          <w:rFonts w:hint="eastAsia" w:ascii="方正仿宋_GBK" w:eastAsia="方正仿宋_GBK"/>
          <w:sz w:val="24"/>
          <w:szCs w:val="24"/>
          <w:lang w:eastAsia="zh-CN"/>
        </w:rPr>
        <w:t>六、</w:t>
      </w:r>
      <w:r>
        <w:rPr>
          <w:rFonts w:hint="eastAsia" w:ascii="方正仿宋_GBK" w:eastAsia="方正仿宋_GBK"/>
          <w:sz w:val="24"/>
          <w:szCs w:val="24"/>
        </w:rPr>
        <w:t>其他应提供的资料</w:t>
      </w:r>
      <w:bookmarkEnd w:id="91"/>
      <w:bookmarkEnd w:id="92"/>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其他与项目有关的资料（自附）：竞标人总体情况介绍、其他与本项目有关的资料等。</w:t>
      </w:r>
    </w:p>
    <w:p>
      <w:pPr>
        <w:spacing w:line="360" w:lineRule="auto"/>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p/>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- 7 -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1"/>
      </w:rPr>
      <w:t>重庆建桥置业有限公司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2B13F"/>
    <w:multiLevelType w:val="singleLevel"/>
    <w:tmpl w:val="A602B13F"/>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lvl>
  </w:abstractNum>
  <w:abstractNum w:abstractNumId="2">
    <w:nsid w:val="518D8CC5"/>
    <w:multiLevelType w:val="singleLevel"/>
    <w:tmpl w:val="518D8CC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6D7004"/>
    <w:rsid w:val="000C2D1D"/>
    <w:rsid w:val="000E676A"/>
    <w:rsid w:val="001F3172"/>
    <w:rsid w:val="00234584"/>
    <w:rsid w:val="0029484C"/>
    <w:rsid w:val="00464C46"/>
    <w:rsid w:val="004B4931"/>
    <w:rsid w:val="00500DB2"/>
    <w:rsid w:val="00531710"/>
    <w:rsid w:val="00573D47"/>
    <w:rsid w:val="006A6E6B"/>
    <w:rsid w:val="008243B4"/>
    <w:rsid w:val="008334B0"/>
    <w:rsid w:val="00924B8B"/>
    <w:rsid w:val="0095149E"/>
    <w:rsid w:val="00987275"/>
    <w:rsid w:val="00A57149"/>
    <w:rsid w:val="00D24997"/>
    <w:rsid w:val="00DA3ADF"/>
    <w:rsid w:val="00DF686A"/>
    <w:rsid w:val="00E22FE6"/>
    <w:rsid w:val="00E938B7"/>
    <w:rsid w:val="00F428B6"/>
    <w:rsid w:val="00FC4DE7"/>
    <w:rsid w:val="00FC52DE"/>
    <w:rsid w:val="03C06F18"/>
    <w:rsid w:val="072D3335"/>
    <w:rsid w:val="07320620"/>
    <w:rsid w:val="07D9706B"/>
    <w:rsid w:val="086C360B"/>
    <w:rsid w:val="0B277D07"/>
    <w:rsid w:val="0C1D6BA1"/>
    <w:rsid w:val="0C3F2B73"/>
    <w:rsid w:val="10BD1F02"/>
    <w:rsid w:val="12316D58"/>
    <w:rsid w:val="12E0259D"/>
    <w:rsid w:val="134D702D"/>
    <w:rsid w:val="13942CD9"/>
    <w:rsid w:val="14DD3221"/>
    <w:rsid w:val="15C02A41"/>
    <w:rsid w:val="161552BA"/>
    <w:rsid w:val="19492B5A"/>
    <w:rsid w:val="1B8D06DB"/>
    <w:rsid w:val="1C7111FB"/>
    <w:rsid w:val="1CF703B4"/>
    <w:rsid w:val="1D3732D1"/>
    <w:rsid w:val="21204283"/>
    <w:rsid w:val="22742538"/>
    <w:rsid w:val="236C0AF3"/>
    <w:rsid w:val="248F3968"/>
    <w:rsid w:val="261F6F32"/>
    <w:rsid w:val="264B40C3"/>
    <w:rsid w:val="273D3560"/>
    <w:rsid w:val="27624412"/>
    <w:rsid w:val="29E559B6"/>
    <w:rsid w:val="2ACE096F"/>
    <w:rsid w:val="2F3F6318"/>
    <w:rsid w:val="2F7F105B"/>
    <w:rsid w:val="2FF865D5"/>
    <w:rsid w:val="325E7AB9"/>
    <w:rsid w:val="33883F7A"/>
    <w:rsid w:val="34EE1AA0"/>
    <w:rsid w:val="36E72E3F"/>
    <w:rsid w:val="398A384E"/>
    <w:rsid w:val="3A89644A"/>
    <w:rsid w:val="3CBD00ED"/>
    <w:rsid w:val="3EF46B66"/>
    <w:rsid w:val="409D4929"/>
    <w:rsid w:val="40AA6B00"/>
    <w:rsid w:val="416E609C"/>
    <w:rsid w:val="4437020F"/>
    <w:rsid w:val="44452456"/>
    <w:rsid w:val="4583343D"/>
    <w:rsid w:val="459C5371"/>
    <w:rsid w:val="479607D9"/>
    <w:rsid w:val="49C31F82"/>
    <w:rsid w:val="49D326D1"/>
    <w:rsid w:val="4A4C0582"/>
    <w:rsid w:val="4B6D7004"/>
    <w:rsid w:val="4B8B0109"/>
    <w:rsid w:val="4D052FEE"/>
    <w:rsid w:val="4D104704"/>
    <w:rsid w:val="4DB00687"/>
    <w:rsid w:val="4EDF5604"/>
    <w:rsid w:val="503957A3"/>
    <w:rsid w:val="52706404"/>
    <w:rsid w:val="5354797E"/>
    <w:rsid w:val="53756001"/>
    <w:rsid w:val="557A52CB"/>
    <w:rsid w:val="56977C51"/>
    <w:rsid w:val="573428E6"/>
    <w:rsid w:val="573841C4"/>
    <w:rsid w:val="58B32F52"/>
    <w:rsid w:val="59575C36"/>
    <w:rsid w:val="5A29554B"/>
    <w:rsid w:val="5D7A1B79"/>
    <w:rsid w:val="660B5F96"/>
    <w:rsid w:val="663E4484"/>
    <w:rsid w:val="66CB1C6B"/>
    <w:rsid w:val="69886EE0"/>
    <w:rsid w:val="6B7A69E8"/>
    <w:rsid w:val="6BA319B2"/>
    <w:rsid w:val="6BD5372A"/>
    <w:rsid w:val="6BD8207E"/>
    <w:rsid w:val="6DBF2FAC"/>
    <w:rsid w:val="6F0C03B6"/>
    <w:rsid w:val="70224039"/>
    <w:rsid w:val="704E288C"/>
    <w:rsid w:val="70673119"/>
    <w:rsid w:val="73BA201E"/>
    <w:rsid w:val="742F4482"/>
    <w:rsid w:val="77B246F5"/>
    <w:rsid w:val="77BE01A6"/>
    <w:rsid w:val="77FC1250"/>
    <w:rsid w:val="781A0740"/>
    <w:rsid w:val="7850582A"/>
    <w:rsid w:val="7CBB6B94"/>
    <w:rsid w:val="7E0746AF"/>
    <w:rsid w:val="7FA27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Plain Text"/>
    <w:basedOn w:val="1"/>
    <w:qFormat/>
    <w:uiPriority w:val="0"/>
    <w:rPr>
      <w:rFonts w:ascii="宋体" w:hAnsi="Courier New"/>
      <w:sz w:val="21"/>
    </w:rPr>
  </w:style>
  <w:style w:type="paragraph" w:styleId="6">
    <w:name w:val="Date"/>
    <w:basedOn w:val="1"/>
    <w:next w:val="1"/>
    <w:qFormat/>
    <w:uiPriority w:val="0"/>
    <w:rPr>
      <w:rFonts w:ascii="Calibri" w:hAnsi="Calibri"/>
      <w:kern w:val="0"/>
    </w:rPr>
  </w:style>
  <w:style w:type="paragraph" w:styleId="7">
    <w:name w:val="Body Text Indent 2"/>
    <w:basedOn w:val="1"/>
    <w:qFormat/>
    <w:uiPriority w:val="0"/>
    <w:pPr>
      <w:snapToGrid w:val="0"/>
      <w:spacing w:line="560" w:lineRule="atLeast"/>
      <w:ind w:firstLine="540"/>
    </w:pPr>
    <w:rPr>
      <w:rFonts w:ascii="Calibri" w:hAnsi="Calibri"/>
      <w:kern w:val="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2"/>
    <w:basedOn w:val="1"/>
    <w:next w:val="1"/>
    <w:qFormat/>
    <w:uiPriority w:val="39"/>
    <w:pPr>
      <w:ind w:left="420" w:leftChars="200"/>
    </w:p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1"/>
    <w:basedOn w:val="1"/>
    <w:next w:val="5"/>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2691</Words>
  <Characters>15344</Characters>
  <Lines>127</Lines>
  <Paragraphs>35</Paragraphs>
  <TotalTime>2</TotalTime>
  <ScaleCrop>false</ScaleCrop>
  <LinksUpToDate>false</LinksUpToDate>
  <CharactersWithSpaces>18000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2021-01-19T03:31:00Z</dcterms:created>
  <dc:creator>admin</dc:creator>
  <cp:lastModifiedBy>admin</cp:lastModifiedBy>
  <cp:lastPrinted>2021-02-04T01:19:00Z</cp:lastPrinted>
  <dcterms:modified xsi:type="dcterms:W3CDTF">2021-02-04T06:46:53Z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