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rPr>
          <w:rFonts w:ascii="仿宋_GB2312" w:hAnsi="宋体" w:eastAsia="仿宋_GB2312"/>
          <w:b/>
          <w:color w:val="000000"/>
          <w:sz w:val="36"/>
          <w:szCs w:val="36"/>
        </w:rPr>
      </w:pPr>
    </w:p>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pt;width:441.8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adjustRightInd w:val="0"/>
        <w:snapToGrid w:val="0"/>
        <w:rPr>
          <w:rFonts w:ascii="宋体" w:hAnsi="宋体"/>
          <w:color w:val="000000"/>
          <w:sz w:val="44"/>
          <w:szCs w:val="44"/>
        </w:rPr>
      </w:pPr>
    </w:p>
    <w:p>
      <w:pPr>
        <w:spacing w:line="700" w:lineRule="exact"/>
        <w:ind w:firstLine="1320" w:firstLineChars="300"/>
        <w:outlineLvl w:val="0"/>
        <w:rPr>
          <w:rFonts w:ascii="仿宋_GB2312" w:hAnsi="宋体" w:eastAsia="仿宋_GB2312"/>
          <w:color w:val="000000"/>
          <w:sz w:val="44"/>
          <w:szCs w:val="44"/>
        </w:rPr>
      </w:pPr>
    </w:p>
    <w:p>
      <w:pPr>
        <w:spacing w:line="700" w:lineRule="exact"/>
        <w:ind w:right="-193" w:rightChars="-69"/>
        <w:outlineLvl w:val="0"/>
        <w:rPr>
          <w:rFonts w:ascii="宋体" w:hAnsi="宋体"/>
          <w:color w:val="000000"/>
          <w:sz w:val="44"/>
          <w:szCs w:val="44"/>
        </w:rPr>
      </w:pPr>
      <w:r>
        <w:rPr>
          <w:rFonts w:hint="eastAsia" w:ascii="宋体" w:hAnsi="宋体"/>
          <w:color w:val="000000"/>
          <w:sz w:val="44"/>
          <w:szCs w:val="44"/>
        </w:rPr>
        <w:t>采 购 人：重庆建桥实业发展有限公司</w:t>
      </w:r>
    </w:p>
    <w:p>
      <w:pPr>
        <w:spacing w:line="700" w:lineRule="exact"/>
        <w:ind w:right="-193" w:rightChars="-69"/>
        <w:outlineLvl w:val="0"/>
        <w:rPr>
          <w:rFonts w:ascii="宋体" w:hAnsi="宋体"/>
          <w:color w:val="000000"/>
          <w:sz w:val="44"/>
          <w:szCs w:val="44"/>
        </w:rPr>
      </w:pPr>
      <w:r>
        <w:rPr>
          <w:rFonts w:hint="eastAsia" w:ascii="宋体" w:hAnsi="宋体"/>
          <w:color w:val="000000"/>
          <w:sz w:val="44"/>
          <w:szCs w:val="44"/>
        </w:rPr>
        <w:t>项目名称：重庆华伦医疗车间拆除工程</w:t>
      </w:r>
    </w:p>
    <w:p>
      <w:pPr>
        <w:spacing w:line="700" w:lineRule="exact"/>
        <w:ind w:right="-193" w:rightChars="-69"/>
        <w:outlineLvl w:val="0"/>
        <w:rPr>
          <w:rFonts w:ascii="宋体" w:hAnsi="宋体"/>
          <w:color w:val="000000"/>
          <w:sz w:val="44"/>
          <w:szCs w:val="44"/>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spacing w:line="700" w:lineRule="exact"/>
        <w:outlineLvl w:val="0"/>
        <w:rPr>
          <w:rFonts w:ascii="宋体" w:hAnsi="宋体"/>
          <w:color w:val="000000"/>
          <w:sz w:val="30"/>
          <w:szCs w:val="30"/>
        </w:rPr>
      </w:pPr>
    </w:p>
    <w:p>
      <w:pPr>
        <w:tabs>
          <w:tab w:val="left" w:pos="2240"/>
        </w:tabs>
        <w:jc w:val="center"/>
        <w:rPr>
          <w:rFonts w:ascii="宋体" w:hAnsi="宋体"/>
          <w:color w:val="000000"/>
          <w:sz w:val="44"/>
        </w:rPr>
      </w:pPr>
      <w:r>
        <w:rPr>
          <w:rFonts w:hint="eastAsia" w:ascii="宋体" w:hAnsi="宋体"/>
          <w:color w:val="000000"/>
          <w:sz w:val="44"/>
        </w:rPr>
        <w:t>二○二○年七月</w:t>
      </w:r>
    </w:p>
    <w:p>
      <w:pPr>
        <w:snapToGrid w:val="0"/>
        <w:spacing w:line="540" w:lineRule="exact"/>
        <w:rPr>
          <w:rFonts w:ascii="宋体" w:hAnsi="宋体"/>
          <w:b/>
          <w:color w:val="000000"/>
          <w:sz w:val="32"/>
          <w:szCs w:val="32"/>
        </w:rPr>
      </w:pPr>
    </w:p>
    <w:p>
      <w:pPr>
        <w:snapToGrid w:val="0"/>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目     录</w:t>
      </w:r>
    </w:p>
    <w:p>
      <w:pPr>
        <w:pStyle w:val="7"/>
        <w:spacing w:line="540" w:lineRule="exact"/>
        <w:ind w:firstLine="281"/>
        <w:rPr>
          <w:rFonts w:ascii="仿宋_GB2312" w:eastAsia="仿宋_GB2312"/>
          <w:color w:val="000000"/>
          <w:szCs w:val="28"/>
        </w:rPr>
      </w:pPr>
      <w:r>
        <w:rPr>
          <w:rFonts w:hint="eastAsia" w:ascii="仿宋_GB2312" w:eastAsia="仿宋_GB2312"/>
          <w:b/>
          <w:color w:val="000000"/>
          <w:szCs w:val="28"/>
        </w:rPr>
        <w:fldChar w:fldCharType="begin"/>
      </w:r>
      <w:r>
        <w:rPr>
          <w:rFonts w:hint="eastAsia" w:ascii="仿宋_GB2312" w:eastAsia="仿宋_GB2312"/>
          <w:b/>
          <w:color w:val="000000"/>
          <w:szCs w:val="28"/>
        </w:rPr>
        <w:instrText xml:space="preserve"> TOC \o "1-2" \h \z </w:instrText>
      </w:r>
      <w:r>
        <w:rPr>
          <w:rFonts w:hint="eastAsia" w:ascii="仿宋_GB2312" w:eastAsia="仿宋_GB2312"/>
          <w:b/>
          <w:color w:val="000000"/>
          <w:szCs w:val="28"/>
        </w:rPr>
        <w:fldChar w:fldCharType="separate"/>
      </w:r>
      <w:r>
        <w:fldChar w:fldCharType="begin"/>
      </w:r>
      <w:r>
        <w:instrText xml:space="preserve"> HYPERLINK \l "_Toc193166103" </w:instrText>
      </w:r>
      <w:r>
        <w:fldChar w:fldCharType="separate"/>
      </w:r>
      <w:r>
        <w:rPr>
          <w:rStyle w:val="13"/>
          <w:rFonts w:hint="eastAsia"/>
          <w:szCs w:val="28"/>
        </w:rPr>
        <w:t>第一篇</w:t>
      </w:r>
      <w:r>
        <w:rPr>
          <w:rFonts w:hint="eastAsia" w:ascii="仿宋_GB2312" w:eastAsia="仿宋_GB2312"/>
          <w:color w:val="000000"/>
          <w:szCs w:val="28"/>
        </w:rPr>
        <w:tab/>
      </w:r>
      <w:r>
        <w:rPr>
          <w:rStyle w:val="13"/>
          <w:rFonts w:hint="eastAsia"/>
          <w:szCs w:val="28"/>
        </w:rPr>
        <w:t>竞标须知前附表</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_Toc193166103 \h </w:instrText>
      </w:r>
      <w:r>
        <w:rPr>
          <w:rFonts w:hint="eastAsia" w:ascii="仿宋_GB2312" w:eastAsia="仿宋_GB2312"/>
          <w:color w:val="000000"/>
          <w:szCs w:val="28"/>
        </w:rPr>
        <w:fldChar w:fldCharType="separate"/>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"_Toc193166104" </w:instrText>
      </w:r>
      <w:r>
        <w:fldChar w:fldCharType="separate"/>
      </w:r>
      <w:r>
        <w:rPr>
          <w:rStyle w:val="13"/>
          <w:rFonts w:hint="eastAsia"/>
          <w:szCs w:val="28"/>
        </w:rPr>
        <w:t>第二篇</w:t>
      </w:r>
      <w:r>
        <w:rPr>
          <w:rFonts w:hint="eastAsia" w:ascii="仿宋_GB2312" w:eastAsia="仿宋_GB2312"/>
          <w:color w:val="000000"/>
          <w:szCs w:val="28"/>
        </w:rPr>
        <w:tab/>
      </w:r>
      <w:r>
        <w:rPr>
          <w:rStyle w:val="13"/>
          <w:rFonts w:hint="eastAsia"/>
          <w:szCs w:val="28"/>
        </w:rPr>
        <w:t>竞标须知</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"_Toc193166105" </w:instrText>
      </w:r>
      <w:r>
        <w:fldChar w:fldCharType="separate"/>
      </w:r>
      <w:r>
        <w:rPr>
          <w:rStyle w:val="13"/>
          <w:rFonts w:hint="eastAsia"/>
          <w:szCs w:val="28"/>
        </w:rPr>
        <w:t>一、竞标费用</w:t>
      </w:r>
      <w:r>
        <w:rPr>
          <w:rFonts w:hint="eastAsia" w:ascii="仿宋_GB2312" w:eastAsia="仿宋_GB2312"/>
          <w:color w:val="000000"/>
          <w:szCs w:val="28"/>
        </w:rPr>
        <w:tab/>
      </w:r>
      <w:r>
        <w:rPr>
          <w:rFonts w:hint="eastAsia" w:ascii="仿宋_GB2312" w:eastAsia="仿宋_GB2312"/>
          <w:color w:val="000000"/>
          <w:szCs w:val="28"/>
        </w:rPr>
        <w:t>8</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"_Toc193166106" </w:instrText>
      </w:r>
      <w:r>
        <w:fldChar w:fldCharType="separate"/>
      </w:r>
      <w:r>
        <w:rPr>
          <w:rStyle w:val="13"/>
          <w:rFonts w:hint="eastAsia"/>
          <w:szCs w:val="28"/>
        </w:rPr>
        <w:t>二、竞标人资格要求</w:t>
      </w:r>
      <w:r>
        <w:rPr>
          <w:rFonts w:hint="eastAsia" w:ascii="仿宋_GB2312" w:eastAsia="仿宋_GB2312"/>
          <w:color w:val="000000"/>
          <w:szCs w:val="28"/>
        </w:rPr>
        <w:tab/>
      </w:r>
      <w:r>
        <w:rPr>
          <w:rFonts w:hint="eastAsia" w:ascii="仿宋_GB2312" w:eastAsia="仿宋_GB2312"/>
          <w:color w:val="000000"/>
          <w:szCs w:val="28"/>
        </w:rPr>
        <w:fldChar w:fldCharType="end"/>
      </w:r>
      <w:r>
        <w:rPr>
          <w:rFonts w:hint="eastAsia" w:eastAsia="仿宋_GB2312"/>
        </w:rPr>
        <w:t>8</w:t>
      </w:r>
    </w:p>
    <w:p>
      <w:pPr>
        <w:pStyle w:val="8"/>
        <w:spacing w:line="540" w:lineRule="exact"/>
        <w:rPr>
          <w:rFonts w:ascii="仿宋_GB2312" w:eastAsia="仿宋_GB2312"/>
          <w:color w:val="000000"/>
          <w:szCs w:val="28"/>
        </w:rPr>
      </w:pPr>
      <w:r>
        <w:fldChar w:fldCharType="begin"/>
      </w:r>
      <w:r>
        <w:instrText xml:space="preserve"> HYPERLINK \l "_Toc193166107" </w:instrText>
      </w:r>
      <w:r>
        <w:fldChar w:fldCharType="separate"/>
      </w:r>
      <w:r>
        <w:rPr>
          <w:rStyle w:val="13"/>
          <w:rFonts w:hint="eastAsia"/>
          <w:szCs w:val="28"/>
        </w:rPr>
        <w:t>三、竞争性谈判文件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"_Toc193166108" </w:instrText>
      </w:r>
      <w:r>
        <w:fldChar w:fldCharType="separate"/>
      </w:r>
      <w:r>
        <w:rPr>
          <w:rStyle w:val="13"/>
          <w:rFonts w:hint="eastAsia"/>
          <w:szCs w:val="28"/>
        </w:rPr>
        <w:t>四、竞标文件</w:t>
      </w:r>
      <w:r>
        <w:rPr>
          <w:rFonts w:hint="eastAsia" w:ascii="仿宋_GB2312" w:eastAsia="仿宋_GB2312"/>
          <w:color w:val="000000"/>
          <w:szCs w:val="28"/>
        </w:rPr>
        <w:tab/>
      </w:r>
      <w:r>
        <w:rPr>
          <w:rFonts w:hint="eastAsia" w:ascii="仿宋_GB2312" w:eastAsia="仿宋_GB2312"/>
          <w:color w:val="000000"/>
          <w:szCs w:val="28"/>
        </w:rPr>
        <w:t>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"_Toc193166109" </w:instrText>
      </w:r>
      <w:r>
        <w:fldChar w:fldCharType="separate"/>
      </w:r>
      <w:r>
        <w:rPr>
          <w:rStyle w:val="13"/>
          <w:rFonts w:hint="eastAsia"/>
          <w:szCs w:val="28"/>
        </w:rPr>
        <w:t>五、竞标保证金和履约保证金</w:t>
      </w:r>
      <w:r>
        <w:rPr>
          <w:rStyle w:val="13"/>
          <w:rFonts w:hint="eastAsia"/>
        </w:rPr>
        <w:tab/>
      </w:r>
      <w:r>
        <w:rPr>
          <w:rStyle w:val="13"/>
          <w:rFonts w:hint="eastAsia"/>
        </w:rPr>
        <w:t>10</w:t>
      </w:r>
      <w:r>
        <w:rPr>
          <w:rStyle w:val="13"/>
          <w:rFonts w:hint="eastAsia"/>
        </w:rPr>
        <w:fldChar w:fldCharType="end"/>
      </w:r>
    </w:p>
    <w:p>
      <w:pPr>
        <w:pStyle w:val="8"/>
        <w:spacing w:line="540" w:lineRule="exact"/>
        <w:rPr>
          <w:rFonts w:ascii="仿宋_GB2312" w:eastAsia="仿宋_GB2312"/>
          <w:color w:val="000000"/>
          <w:szCs w:val="28"/>
        </w:rPr>
      </w:pPr>
      <w:r>
        <w:fldChar w:fldCharType="begin"/>
      </w:r>
      <w:r>
        <w:instrText xml:space="preserve"> HYPERLINK \l "_Toc193166110" </w:instrText>
      </w:r>
      <w:r>
        <w:fldChar w:fldCharType="separate"/>
      </w:r>
      <w:r>
        <w:rPr>
          <w:rStyle w:val="13"/>
          <w:rFonts w:hint="eastAsia"/>
          <w:szCs w:val="28"/>
        </w:rPr>
        <w:t>六、竞标报价</w:t>
      </w:r>
      <w:r>
        <w:rPr>
          <w:rFonts w:hint="eastAsia" w:ascii="仿宋_GB2312" w:eastAsia="仿宋_GB2312"/>
          <w:color w:val="000000"/>
          <w:szCs w:val="28"/>
        </w:rPr>
        <w:tab/>
      </w:r>
      <w:r>
        <w:rPr>
          <w:rFonts w:hint="eastAsia" w:ascii="仿宋_GB2312" w:eastAsia="仿宋_GB2312"/>
          <w:color w:val="000000"/>
          <w:szCs w:val="28"/>
        </w:rPr>
        <w:t>11</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"_Toc193166112" </w:instrText>
      </w:r>
      <w:r>
        <w:fldChar w:fldCharType="separate"/>
      </w:r>
      <w:r>
        <w:rPr>
          <w:rStyle w:val="13"/>
          <w:rFonts w:hint="eastAsia"/>
          <w:szCs w:val="28"/>
        </w:rPr>
        <w:t>七、竞标</w:t>
      </w:r>
      <w:bookmarkStart w:id="0" w:name="_Hlt193180352"/>
      <w:bookmarkStart w:id="1" w:name="_Hlt193180353"/>
      <w:r>
        <w:rPr>
          <w:rFonts w:hint="eastAsia" w:ascii="仿宋_GB2312" w:eastAsia="仿宋_GB2312"/>
          <w:color w:val="000000"/>
          <w:szCs w:val="28"/>
        </w:rPr>
        <w:tab/>
      </w:r>
      <w:bookmarkEnd w:id="0"/>
      <w:bookmarkEnd w:id="1"/>
      <w:r>
        <w:rPr>
          <w:rFonts w:hint="eastAsia" w:ascii="仿宋_GB2312" w:eastAsia="仿宋_GB2312"/>
          <w:color w:val="000000"/>
          <w:szCs w:val="28"/>
        </w:rPr>
        <w:t>12</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"_Toc193166113" </w:instrText>
      </w:r>
      <w:r>
        <w:fldChar w:fldCharType="separate"/>
      </w:r>
      <w:r>
        <w:rPr>
          <w:rStyle w:val="13"/>
          <w:rFonts w:hint="eastAsia"/>
          <w:szCs w:val="28"/>
        </w:rPr>
        <w:t>八、谈判</w:t>
      </w:r>
      <w:bookmarkStart w:id="2" w:name="_Hlt193166603"/>
      <w:r>
        <w:rPr>
          <w:rFonts w:hint="eastAsia" w:ascii="仿宋_GB2312" w:eastAsia="仿宋_GB2312"/>
          <w:color w:val="000000"/>
          <w:szCs w:val="28"/>
        </w:rPr>
        <w:tab/>
      </w:r>
      <w:bookmarkEnd w:id="2"/>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"_Toc193166114" </w:instrText>
      </w:r>
      <w:r>
        <w:fldChar w:fldCharType="separate"/>
      </w:r>
      <w:r>
        <w:rPr>
          <w:rStyle w:val="13"/>
          <w:rFonts w:hint="eastAsia"/>
          <w:szCs w:val="28"/>
        </w:rPr>
        <w:t>九、定标</w:t>
      </w:r>
      <w:r>
        <w:rPr>
          <w:rFonts w:hint="eastAsia" w:ascii="仿宋_GB2312" w:eastAsia="仿宋_GB2312"/>
          <w:color w:val="000000"/>
          <w:szCs w:val="28"/>
        </w:rPr>
        <w:tab/>
      </w:r>
      <w:r>
        <w:rPr>
          <w:rFonts w:hint="eastAsia" w:ascii="仿宋_GB2312" w:eastAsia="仿宋_GB2312"/>
          <w:color w:val="000000"/>
          <w:szCs w:val="28"/>
        </w:rPr>
        <w:t>13</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"_Toc193166115" </w:instrText>
      </w:r>
      <w:r>
        <w:fldChar w:fldCharType="separate"/>
      </w:r>
      <w:r>
        <w:rPr>
          <w:rStyle w:val="13"/>
          <w:rFonts w:hint="eastAsia"/>
          <w:szCs w:val="28"/>
        </w:rPr>
        <w:t>十、签订合同</w:t>
      </w:r>
      <w:bookmarkStart w:id="3" w:name="_Hlt193167099"/>
      <w:r>
        <w:rPr>
          <w:rFonts w:hint="eastAsia" w:ascii="仿宋_GB2312" w:eastAsia="仿宋_GB2312"/>
          <w:color w:val="000000"/>
          <w:szCs w:val="28"/>
        </w:rPr>
        <w:tab/>
      </w:r>
      <w:bookmarkEnd w:id="3"/>
      <w:r>
        <w:rPr>
          <w:rFonts w:hint="eastAsia" w:ascii="仿宋_GB2312" w:eastAsia="仿宋_GB2312"/>
          <w:color w:val="000000"/>
          <w:szCs w:val="28"/>
        </w:rPr>
        <w:t>14</w:t>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"_Toc193166116" </w:instrText>
      </w:r>
      <w:r>
        <w:fldChar w:fldCharType="separate"/>
      </w:r>
      <w:r>
        <w:rPr>
          <w:rStyle w:val="13"/>
          <w:rFonts w:hint="eastAsia"/>
          <w:szCs w:val="28"/>
        </w:rPr>
        <w:t>第三篇</w:t>
      </w:r>
      <w:r>
        <w:rPr>
          <w:rFonts w:hint="eastAsia" w:ascii="仿宋_GB2312" w:eastAsia="仿宋_GB2312"/>
          <w:color w:val="000000"/>
          <w:szCs w:val="28"/>
        </w:rPr>
        <w:tab/>
      </w:r>
      <w:r>
        <w:rPr>
          <w:rStyle w:val="13"/>
          <w:rFonts w:hint="eastAsia"/>
          <w:szCs w:val="28"/>
        </w:rPr>
        <w:t>项目技术规格、数量及质量要求</w:t>
      </w:r>
      <w:r>
        <w:rPr>
          <w:rFonts w:hint="eastAsia" w:ascii="仿宋_GB2312" w:eastAsia="仿宋_GB2312"/>
          <w:color w:val="000000"/>
          <w:szCs w:val="28"/>
        </w:rPr>
        <w:tab/>
      </w:r>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_Toc193166116 \h </w:instrText>
      </w:r>
      <w:r>
        <w:rPr>
          <w:rFonts w:hint="eastAsia" w:ascii="仿宋_GB2312" w:eastAsia="仿宋_GB2312"/>
          <w:color w:val="000000"/>
          <w:szCs w:val="28"/>
        </w:rPr>
        <w:fldChar w:fldCharType="separate"/>
      </w:r>
      <w:r>
        <w:rPr>
          <w:rFonts w:hint="eastAsia" w:ascii="仿宋_GB2312" w:eastAsia="仿宋_GB2312"/>
          <w:color w:val="000000"/>
          <w:szCs w:val="28"/>
        </w:rPr>
        <w:t>19</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"_Toc193166117" </w:instrText>
      </w:r>
      <w:r>
        <w:fldChar w:fldCharType="separate"/>
      </w:r>
      <w:r>
        <w:rPr>
          <w:rStyle w:val="13"/>
          <w:rFonts w:hint="eastAsia"/>
          <w:szCs w:val="28"/>
        </w:rPr>
        <w:t>第四篇</w:t>
      </w:r>
      <w:r>
        <w:rPr>
          <w:rFonts w:hint="eastAsia" w:ascii="仿宋_GB2312" w:eastAsia="仿宋_GB2312"/>
          <w:color w:val="000000"/>
          <w:szCs w:val="28"/>
        </w:rPr>
        <w:tab/>
      </w:r>
      <w:r>
        <w:rPr>
          <w:rStyle w:val="13"/>
          <w:rFonts w:hint="eastAsia"/>
          <w:szCs w:val="28"/>
        </w:rPr>
        <w:t>商务条款</w:t>
      </w:r>
      <w:bookmarkStart w:id="4" w:name="_Hlt193167611"/>
      <w:r>
        <w:rPr>
          <w:rFonts w:hint="eastAsia" w:ascii="仿宋_GB2312" w:eastAsia="仿宋_GB2312"/>
          <w:color w:val="000000"/>
          <w:szCs w:val="28"/>
        </w:rPr>
        <w:tab/>
      </w:r>
      <w:bookmarkEnd w:id="4"/>
      <w:r>
        <w:rPr>
          <w:rFonts w:hint="eastAsia" w:ascii="仿宋_GB2312" w:eastAsia="仿宋_GB2312"/>
          <w:color w:val="000000"/>
          <w:szCs w:val="28"/>
        </w:rPr>
        <w:fldChar w:fldCharType="begin"/>
      </w:r>
      <w:r>
        <w:rPr>
          <w:rFonts w:hint="eastAsia" w:ascii="仿宋_GB2312" w:eastAsia="仿宋_GB2312"/>
          <w:color w:val="000000"/>
          <w:szCs w:val="28"/>
        </w:rPr>
        <w:instrText xml:space="preserve"> PAGEREF _Toc193166117 \h </w:instrText>
      </w:r>
      <w:r>
        <w:rPr>
          <w:rFonts w:hint="eastAsia" w:ascii="仿宋_GB2312" w:eastAsia="仿宋_GB2312"/>
          <w:color w:val="000000"/>
          <w:szCs w:val="28"/>
        </w:rPr>
        <w:fldChar w:fldCharType="separate"/>
      </w:r>
      <w:r>
        <w:rPr>
          <w:rFonts w:hint="eastAsia" w:ascii="仿宋_GB2312" w:eastAsia="仿宋_GB2312"/>
          <w:color w:val="000000"/>
          <w:szCs w:val="28"/>
        </w:rPr>
        <w:t>20</w:t>
      </w:r>
      <w:r>
        <w:rPr>
          <w:rFonts w:hint="eastAsia" w:ascii="仿宋_GB2312" w:eastAsia="仿宋_GB2312"/>
          <w:color w:val="000000"/>
          <w:szCs w:val="28"/>
        </w:rPr>
        <w:fldChar w:fldCharType="end"/>
      </w:r>
      <w:r>
        <w:rPr>
          <w:rFonts w:hint="eastAsia" w:ascii="仿宋_GB2312" w:eastAsia="仿宋_GB2312"/>
          <w:color w:val="000000"/>
          <w:szCs w:val="28"/>
        </w:rPr>
        <w:fldChar w:fldCharType="end"/>
      </w:r>
    </w:p>
    <w:p>
      <w:pPr>
        <w:pStyle w:val="7"/>
        <w:spacing w:line="540" w:lineRule="exact"/>
        <w:rPr>
          <w:rFonts w:ascii="仿宋_GB2312" w:eastAsia="仿宋_GB2312"/>
          <w:color w:val="000000"/>
          <w:szCs w:val="28"/>
        </w:rPr>
      </w:pPr>
      <w:r>
        <w:fldChar w:fldCharType="begin"/>
      </w:r>
      <w:r>
        <w:instrText xml:space="preserve"> HYPERLINK \l "_Toc193166118" </w:instrText>
      </w:r>
      <w:r>
        <w:fldChar w:fldCharType="separate"/>
      </w:r>
      <w:r>
        <w:rPr>
          <w:rStyle w:val="13"/>
          <w:rFonts w:hint="eastAsia"/>
          <w:szCs w:val="28"/>
        </w:rPr>
        <w:t>第五篇</w:t>
      </w:r>
      <w:r>
        <w:rPr>
          <w:rFonts w:hint="eastAsia" w:ascii="仿宋_GB2312" w:eastAsia="仿宋_GB2312"/>
          <w:color w:val="000000"/>
          <w:szCs w:val="28"/>
        </w:rPr>
        <w:tab/>
      </w:r>
      <w:r>
        <w:rPr>
          <w:rStyle w:val="13"/>
          <w:rFonts w:hint="eastAsia"/>
          <w:szCs w:val="28"/>
        </w:rPr>
        <w:t>竞标文件格式</w:t>
      </w:r>
      <w:r>
        <w:rPr>
          <w:rFonts w:hint="eastAsia" w:ascii="仿宋_GB2312" w:eastAsia="仿宋_GB2312"/>
          <w:color w:val="000000"/>
          <w:szCs w:val="28"/>
        </w:rPr>
        <w:tab/>
      </w:r>
      <w:r>
        <w:rPr>
          <w:rFonts w:hint="eastAsia" w:ascii="仿宋_GB2312" w:eastAsia="仿宋_GB2312"/>
          <w:color w:val="000000"/>
          <w:szCs w:val="28"/>
        </w:rPr>
        <w:t>26</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r>
        <w:fldChar w:fldCharType="begin"/>
      </w:r>
      <w:r>
        <w:instrText xml:space="preserve"> HYPERLINK \l "_Toc193166119" </w:instrText>
      </w:r>
      <w:r>
        <w:fldChar w:fldCharType="separate"/>
      </w:r>
      <w:r>
        <w:rPr>
          <w:rStyle w:val="13"/>
          <w:rFonts w:hint="eastAsia"/>
          <w:szCs w:val="28"/>
        </w:rPr>
        <w:t>一、资格文件</w:t>
      </w:r>
      <w:r>
        <w:rPr>
          <w:rFonts w:hint="eastAsia" w:ascii="仿宋_GB2312" w:eastAsia="仿宋_GB2312"/>
          <w:color w:val="000000"/>
          <w:szCs w:val="28"/>
        </w:rPr>
        <w:tab/>
      </w:r>
      <w:r>
        <w:rPr>
          <w:rFonts w:hint="eastAsia" w:ascii="仿宋_GB2312" w:eastAsia="仿宋_GB2312"/>
          <w:color w:val="000000"/>
          <w:szCs w:val="28"/>
        </w:rPr>
        <w:t>3</w:t>
      </w:r>
      <w:r>
        <w:rPr>
          <w:rFonts w:hint="eastAsia" w:ascii="仿宋_GB2312" w:eastAsia="仿宋_GB2312"/>
          <w:color w:val="000000"/>
          <w:szCs w:val="28"/>
        </w:rPr>
        <w:fldChar w:fldCharType="end"/>
      </w:r>
      <w:r>
        <w:rPr>
          <w:rFonts w:hint="eastAsia" w:ascii="仿宋_GB2312" w:eastAsia="仿宋_GB2312"/>
          <w:color w:val="000000"/>
          <w:szCs w:val="28"/>
        </w:rPr>
        <w:t>1</w:t>
      </w:r>
    </w:p>
    <w:p>
      <w:pPr>
        <w:pStyle w:val="8"/>
        <w:spacing w:line="540" w:lineRule="exact"/>
        <w:rPr>
          <w:rFonts w:ascii="仿宋_GB2312" w:eastAsia="仿宋_GB2312"/>
          <w:color w:val="000000"/>
          <w:szCs w:val="28"/>
        </w:rPr>
      </w:pPr>
      <w:r>
        <w:fldChar w:fldCharType="begin"/>
      </w:r>
      <w:r>
        <w:instrText xml:space="preserve"> HYPERLINK \l "_Toc193166122" </w:instrText>
      </w:r>
      <w:r>
        <w:fldChar w:fldCharType="separate"/>
      </w:r>
      <w:r>
        <w:rPr>
          <w:rStyle w:val="13"/>
          <w:rFonts w:hint="eastAsia"/>
          <w:szCs w:val="28"/>
        </w:rPr>
        <w:t>二、报价文件</w:t>
      </w:r>
      <w:r>
        <w:rPr>
          <w:rFonts w:hint="eastAsia" w:ascii="仿宋_GB2312" w:eastAsia="仿宋_GB2312"/>
          <w:color w:val="000000"/>
          <w:szCs w:val="28"/>
        </w:rPr>
        <w:tab/>
      </w:r>
      <w:r>
        <w:rPr>
          <w:rFonts w:hint="eastAsia" w:ascii="仿宋_GB2312" w:eastAsia="仿宋_GB2312"/>
          <w:color w:val="000000"/>
          <w:szCs w:val="28"/>
        </w:rPr>
        <w:t>39</w:t>
      </w:r>
      <w:r>
        <w:rPr>
          <w:rFonts w:hint="eastAsia" w:ascii="仿宋_GB2312" w:eastAsia="仿宋_GB2312"/>
          <w:color w:val="000000"/>
          <w:szCs w:val="28"/>
        </w:rPr>
        <w:fldChar w:fldCharType="end"/>
      </w:r>
    </w:p>
    <w:p>
      <w:pPr>
        <w:pStyle w:val="8"/>
        <w:spacing w:line="540" w:lineRule="exact"/>
        <w:rPr>
          <w:rFonts w:ascii="仿宋_GB2312" w:eastAsia="仿宋_GB2312"/>
          <w:color w:val="000000"/>
          <w:szCs w:val="28"/>
        </w:rPr>
      </w:pPr>
    </w:p>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r>
        <w:rPr>
          <w:rFonts w:hint="eastAsia" w:ascii="仿宋_GB2312" w:eastAsia="仿宋_GB2312"/>
          <w:b/>
          <w:color w:val="000000"/>
          <w:szCs w:val="28"/>
        </w:rPr>
        <w:fldChar w:fldCharType="end"/>
      </w:r>
    </w:p>
    <w:p>
      <w:pPr>
        <w:pStyle w:val="2"/>
        <w:spacing w:before="312" w:after="156"/>
        <w:rPr>
          <w:color w:val="000000"/>
          <w:sz w:val="24"/>
          <w:szCs w:val="24"/>
        </w:rPr>
      </w:pPr>
      <w:bookmarkStart w:id="5" w:name="_Toc193166103"/>
      <w:r>
        <w:rPr>
          <w:rFonts w:hint="eastAsia"/>
          <w:color w:val="000000"/>
        </w:rPr>
        <w:t>竞标须知前附表</w:t>
      </w:r>
      <w:bookmarkEnd w:id="5"/>
    </w:p>
    <w:tbl>
      <w:tblPr>
        <w:tblStyle w:val="9"/>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重庆华伦医疗车间拆除工程</w:t>
            </w:r>
          </w:p>
          <w:p>
            <w:pPr>
              <w:spacing w:line="420" w:lineRule="atLeast"/>
              <w:rPr>
                <w:rFonts w:ascii="仿宋_GB2312" w:hAnsi="宋体" w:eastAsia="仿宋_GB2312"/>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建桥园区A区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47"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360" w:lineRule="exact"/>
              <w:rPr>
                <w:rFonts w:ascii="仿宋_GB2312" w:hAnsi="宋体" w:eastAsia="仿宋_GB2312"/>
                <w:color w:val="000000"/>
                <w:sz w:val="24"/>
                <w:szCs w:val="24"/>
              </w:rPr>
            </w:pPr>
            <w:r>
              <w:rPr>
                <w:rFonts w:hint="eastAsia" w:ascii="仿宋_GB2312" w:hAnsi="宋体" w:eastAsia="仿宋_GB2312"/>
                <w:color w:val="000000"/>
                <w:sz w:val="24"/>
                <w:szCs w:val="24"/>
              </w:rPr>
              <w:t>本项目采用综合总价包干。注：本项目设最高限价为人民币</w:t>
            </w:r>
            <w:r>
              <w:rPr>
                <w:rFonts w:hint="eastAsia" w:ascii="仿宋_GB2312" w:eastAsia="仿宋_GB2312"/>
                <w:sz w:val="24"/>
                <w:szCs w:val="24"/>
              </w:rPr>
              <w:t>壹拾肆万元</w:t>
            </w:r>
            <w:r>
              <w:rPr>
                <w:rFonts w:hint="eastAsia" w:ascii="仿宋_GB2312" w:hAnsi="宋体" w:eastAsia="仿宋_GB2312"/>
                <w:sz w:val="24"/>
                <w:szCs w:val="24"/>
              </w:rPr>
              <w:t>（￥140000元）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napToGrid w:val="0"/>
              <w:spacing w:line="540" w:lineRule="exac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w:t>
            </w:r>
          </w:p>
          <w:p>
            <w:pPr>
              <w:spacing w:line="420" w:lineRule="atLeast"/>
              <w:rPr>
                <w:rFonts w:ascii="仿宋_GB2312" w:hAnsi="宋体" w:eastAsia="仿宋_GB2312"/>
                <w:color w:val="00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rPr>
                <w:rFonts w:ascii="仿宋_GB2312" w:hAnsi="宋体" w:eastAsia="仿宋_GB2312"/>
                <w:color w:val="000000"/>
                <w:sz w:val="24"/>
                <w:szCs w:val="24"/>
              </w:rPr>
            </w:pPr>
            <w:r>
              <w:rPr>
                <w:rFonts w:hint="eastAsia" w:ascii="仿宋_GB2312" w:hAnsi="宋体" w:eastAsia="仿宋_GB2312"/>
                <w:color w:val="000000"/>
                <w:sz w:val="24"/>
                <w:szCs w:val="24"/>
              </w:rPr>
              <w:t>施工工期30日历天（除不可抗力外，工期不得顺延）,以采购人交地给成交人实际时间为施工起始时间。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rPr>
                <w:rFonts w:ascii="仿宋_GB2312" w:hAnsi="宋体" w:eastAsia="仿宋_GB2312"/>
                <w:bCs/>
                <w:color w:val="000000"/>
                <w:sz w:val="24"/>
                <w:szCs w:val="24"/>
              </w:rPr>
            </w:pPr>
            <w:r>
              <w:rPr>
                <w:rFonts w:hint="eastAsia" w:ascii="仿宋_GB2312" w:hAnsi="宋体" w:eastAsia="仿宋_GB2312"/>
                <w:color w:val="000000"/>
                <w:sz w:val="24"/>
                <w:szCs w:val="24"/>
              </w:rPr>
              <w:t>重庆华伦医疗车间拆除工程位于建桥A区华伦医疗产业园，拆除建筑面积约22000 m2，主要工作内容是拆除华伦医疗产业园征收红线范围内地面以上的所有建、构筑物（仅包含建、构筑物主体结构及门、窗、幕墙等附属设施，最终拆除范围及内容以采购人现场移交为准），由成交单位自行处置拆除的物品，并负责将建筑物和构筑物拆除至地平面，拆除后的建筑垃圾由成交单位在华伦医疗产业园征收红线内平均堆放（不得占用现有道路），拆除完后交净地于采购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ascii="仿宋_GB2312" w:eastAsia="仿宋_GB2312"/>
                <w:sz w:val="24"/>
                <w:szCs w:val="24"/>
              </w:rPr>
            </w:pPr>
            <w:r>
              <w:rPr>
                <w:rFonts w:hint="eastAsia" w:ascii="仿宋_GB2312" w:eastAsia="仿宋_GB2312"/>
                <w:sz w:val="24"/>
                <w:szCs w:val="24"/>
              </w:rPr>
              <w:t>2、具备建设行政主管部门颁发的有效的建筑工程施工总承包三级及以上资质带二维码标识的资质证书，并具备建设行政主管部门颁发的有效的安全生产许可证。</w:t>
            </w:r>
          </w:p>
          <w:p>
            <w:pPr>
              <w:autoSpaceDE w:val="0"/>
              <w:autoSpaceDN w:val="0"/>
              <w:adjustRightInd w:val="0"/>
              <w:snapToGrid w:val="0"/>
              <w:spacing w:line="600" w:lineRule="exac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ascii="仿宋_GB2312" w:hAnsi="宋体" w:eastAsia="仿宋_GB2312"/>
                <w:color w:val="000000"/>
                <w:sz w:val="24"/>
                <w:szCs w:val="24"/>
              </w:rPr>
            </w:pPr>
            <w:r>
              <w:rPr>
                <w:rFonts w:hint="eastAsia" w:ascii="仿宋_GB2312" w:eastAsia="仿宋_GB2312"/>
                <w:sz w:val="24"/>
                <w:szCs w:val="24"/>
              </w:rPr>
              <w:t>3.</w:t>
            </w:r>
            <w:r>
              <w:rPr>
                <w:rFonts w:ascii="仿宋_GB2312" w:eastAsia="仿宋_GB2312"/>
                <w:sz w:val="24"/>
                <w:szCs w:val="24"/>
              </w:rPr>
              <w:t>重庆市市外建筑施工企业，须满足《重庆市市外建筑施工企业入渝信息报送管理办法》（渝建发〔2016〕22号文）的要求。市外施工企业的原分支机构入渝登记备案证在有效期内的提供有效的分支机构入渝登记备案证；市外施工企业原分支机构入渝登记备案证失效的和新入渝的市外施工企业提供本单位已进入“市外建筑施工企业入渝信息库”的网上截图（需加盖投标单位公章）。不能提供有效的《重庆市市外建筑施工企业入渝登记备案证》或入渝信息报</w:t>
            </w:r>
            <w:r>
              <w:rPr>
                <w:rFonts w:hint="eastAsia" w:ascii="仿宋_GB2312" w:eastAsia="仿宋_GB2312"/>
                <w:sz w:val="24"/>
                <w:szCs w:val="24"/>
              </w:rPr>
              <w:t>送相关证明资料的</w:t>
            </w:r>
            <w:r>
              <w:rPr>
                <w:rFonts w:ascii="仿宋_GB2312" w:eastAsia="仿宋_GB2312"/>
                <w:sz w:val="24"/>
                <w:szCs w:val="24"/>
              </w:rPr>
              <w:t>则作无效投标处理。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4"/>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重庆大渡口区金桥路1号鑫鹏大厦15楼开标室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提交时间：2020年</w:t>
            </w:r>
            <w:r>
              <w:rPr>
                <w:rFonts w:hint="eastAsia" w:ascii="仿宋_GB2312" w:hAnsi="宋体" w:eastAsia="仿宋_GB2312"/>
                <w:sz w:val="24"/>
                <w:szCs w:val="24"/>
                <w:lang w:eastAsia="zh-CN"/>
              </w:rPr>
              <w:t>7月10</w:t>
            </w:r>
            <w:r>
              <w:rPr>
                <w:rFonts w:hint="eastAsia" w:ascii="仿宋_GB2312" w:hAnsi="宋体" w:eastAsia="仿宋_GB2312"/>
                <w:sz w:val="24"/>
                <w:szCs w:val="24"/>
              </w:rPr>
              <w:t xml:space="preserve">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截止时间：2020年</w:t>
            </w:r>
            <w:r>
              <w:rPr>
                <w:rFonts w:hint="eastAsia" w:ascii="仿宋_GB2312" w:hAnsi="宋体" w:eastAsia="仿宋_GB2312"/>
                <w:sz w:val="24"/>
                <w:szCs w:val="24"/>
                <w:lang w:eastAsia="zh-CN"/>
              </w:rPr>
              <w:t>7月10</w:t>
            </w:r>
            <w:r>
              <w:rPr>
                <w:rFonts w:hint="eastAsia" w:ascii="仿宋_GB2312" w:hAnsi="宋体" w:eastAsia="仿宋_GB2312"/>
                <w:sz w:val="24"/>
                <w:szCs w:val="24"/>
              </w:rPr>
              <w:t xml:space="preserve">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开标时间：2020年</w:t>
            </w:r>
            <w:r>
              <w:rPr>
                <w:rFonts w:hint="eastAsia" w:ascii="仿宋_GB2312" w:hAnsi="宋体" w:eastAsia="仿宋_GB2312"/>
                <w:sz w:val="24"/>
                <w:szCs w:val="24"/>
                <w:lang w:eastAsia="zh-CN"/>
              </w:rPr>
              <w:t>7月10</w:t>
            </w:r>
            <w:r>
              <w:rPr>
                <w:rFonts w:hint="eastAsia" w:ascii="仿宋_GB2312" w:hAnsi="宋体" w:eastAsia="仿宋_GB2312"/>
                <w:sz w:val="24"/>
                <w:szCs w:val="24"/>
              </w:rPr>
              <w:t xml:space="preserve">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重庆大渡口区金桥路1号鑫鹏大厦15楼开标室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w:t>
            </w:r>
            <w:r>
              <w:rPr>
                <w:rFonts w:hint="eastAsia" w:ascii="仿宋_GB2312" w:hAnsi="宋体" w:eastAsia="仿宋_GB2312"/>
                <w:b/>
                <w:sz w:val="24"/>
                <w:szCs w:val="24"/>
                <w:u w:val="single"/>
              </w:rPr>
              <w:t>肖老师，咨询电话：023-68955002</w:t>
            </w:r>
            <w:r>
              <w:rPr>
                <w:rFonts w:hint="eastAsia" w:ascii="仿宋_GB2312" w:hAnsi="宋体" w:eastAsia="仿宋_GB2312"/>
                <w:b/>
                <w:sz w:val="24"/>
                <w:szCs w:val="24"/>
              </w:rPr>
              <w:t>）</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2020年</w:t>
            </w:r>
            <w:r>
              <w:rPr>
                <w:rFonts w:hint="eastAsia" w:ascii="仿宋" w:eastAsia="仿宋"/>
                <w:b/>
                <w:sz w:val="24"/>
                <w:u w:val="single"/>
                <w:lang w:eastAsia="zh-CN"/>
              </w:rPr>
              <w:t>7月9</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人民币2800元（大写：贰仟捌佰元整）。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（4）未在指定时间内到账的竞标保证金为无效竞标保证金，当场退还其竞标文件。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（5）竞标人应将单位基本银行账户的开户许可证及竞标保证金进账凭据带至现场查验(原件备验)。</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3、发生以下情况之一者，保证金不予退还：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napToGrid w:val="0"/>
              <w:spacing w:line="540" w:lineRule="exact"/>
              <w:rPr>
                <w:rFonts w:ascii="仿宋_GB2312" w:eastAsia="仿宋_GB2312"/>
                <w:sz w:val="24"/>
                <w:szCs w:val="24"/>
              </w:rPr>
            </w:pPr>
            <w:r>
              <w:rPr>
                <w:rFonts w:hint="eastAsia" w:ascii="仿宋_GB2312" w:eastAsia="仿宋_GB2312"/>
                <w:sz w:val="24"/>
                <w:szCs w:val="24"/>
              </w:rPr>
              <w:t>1、担保形式：现金或银行转账</w:t>
            </w:r>
          </w:p>
          <w:p>
            <w:pPr>
              <w:snapToGrid w:val="0"/>
              <w:spacing w:line="540" w:lineRule="exact"/>
              <w:rPr>
                <w:rFonts w:ascii="仿宋_GB2312" w:eastAsia="仿宋_GB2312"/>
                <w:sz w:val="24"/>
                <w:szCs w:val="24"/>
              </w:rPr>
            </w:pPr>
            <w:r>
              <w:rPr>
                <w:rFonts w:hint="eastAsia" w:ascii="仿宋_GB2312" w:eastAsia="仿宋_GB2312"/>
                <w:sz w:val="24"/>
                <w:szCs w:val="24"/>
              </w:rPr>
              <w:t>2、担保金额：</w:t>
            </w:r>
            <w:r>
              <w:rPr>
                <w:rFonts w:hint="eastAsia" w:ascii="仿宋_GB2312" w:eastAsia="仿宋_GB2312"/>
                <w:sz w:val="24"/>
                <w:szCs w:val="24"/>
                <w:lang w:val="en-US" w:eastAsia="zh-CN"/>
              </w:rPr>
              <w:t>5</w:t>
            </w:r>
            <w:r>
              <w:rPr>
                <w:rFonts w:hint="eastAsia" w:ascii="仿宋_GB2312" w:eastAsia="仿宋_GB2312"/>
                <w:sz w:val="24"/>
                <w:szCs w:val="24"/>
              </w:rPr>
              <w:t>万元。该笔款项作为履约担保约束中标人履约，若中标人未履约，招标人有权扣除该履约担保；若未按时提交，招标人有权取消其中标资格并没收投标保证金，招标人将依法确定中标候选人。</w:t>
            </w:r>
          </w:p>
          <w:p>
            <w:pPr>
              <w:snapToGrid w:val="0"/>
              <w:spacing w:line="540" w:lineRule="exact"/>
              <w:rPr>
                <w:rFonts w:ascii="仿宋_GB2312" w:eastAsia="仿宋_GB2312"/>
                <w:sz w:val="24"/>
                <w:szCs w:val="24"/>
              </w:rPr>
            </w:pPr>
            <w:r>
              <w:rPr>
                <w:rFonts w:hint="eastAsia" w:ascii="仿宋_GB2312" w:eastAsia="仿宋_GB2312"/>
                <w:sz w:val="24"/>
                <w:szCs w:val="24"/>
              </w:rPr>
              <w:t>3、提交时间：成交结果公示结束后3个工作日内。</w:t>
            </w:r>
          </w:p>
          <w:p>
            <w:pPr>
              <w:snapToGrid w:val="0"/>
              <w:spacing w:line="540" w:lineRule="exact"/>
              <w:rPr>
                <w:rFonts w:ascii="仿宋_GB2312" w:eastAsia="仿宋_GB2312"/>
                <w:sz w:val="24"/>
                <w:szCs w:val="24"/>
              </w:rPr>
            </w:pPr>
            <w:r>
              <w:rPr>
                <w:rFonts w:hint="eastAsia" w:ascii="仿宋_GB2312" w:eastAsia="仿宋_GB2312"/>
                <w:sz w:val="24"/>
                <w:szCs w:val="24"/>
              </w:rPr>
              <w:t>4、返还方式：工程完工并经验收达到交付招标人使用条件后30个工作日内无息退还。</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收款单位：重庆建桥实业发展有限公司</w:t>
            </w:r>
            <w:r>
              <w:rPr>
                <w:rFonts w:hint="eastAsia" w:ascii="仿宋_GB2312" w:eastAsia="仿宋_GB2312"/>
                <w:sz w:val="24"/>
                <w:szCs w:val="24"/>
              </w:rPr>
              <w:br w:type="textWrapping"/>
            </w:r>
            <w:r>
              <w:rPr>
                <w:rFonts w:hint="eastAsia" w:ascii="仿宋_GB2312" w:eastAsia="仿宋_GB2312"/>
                <w:sz w:val="24"/>
                <w:szCs w:val="24"/>
              </w:rPr>
              <w:t xml:space="preserve">    开户行：重庆银行大渡口支行</w:t>
            </w:r>
            <w:r>
              <w:rPr>
                <w:rFonts w:hint="eastAsia" w:ascii="仿宋_GB2312" w:eastAsia="仿宋_GB2312"/>
                <w:sz w:val="24"/>
                <w:szCs w:val="24"/>
              </w:rPr>
              <w:br w:type="textWrapping"/>
            </w:r>
            <w:r>
              <w:rPr>
                <w:rFonts w:hint="eastAsia" w:ascii="仿宋_GB2312" w:eastAsia="仿宋_GB2312"/>
                <w:sz w:val="24"/>
                <w:szCs w:val="24"/>
              </w:rPr>
              <w:t xml:space="preserve">    账  号：340101040007036  </w:t>
            </w:r>
            <w:r>
              <w:rPr>
                <w:rFonts w:hint="eastAsia" w:ascii="仿宋_GB2312" w:eastAsia="仿宋_GB2312"/>
                <w:sz w:val="24"/>
                <w:szCs w:val="24"/>
              </w:rPr>
              <w:br w:type="textWrapping"/>
            </w:r>
            <w:r>
              <w:rPr>
                <w:rFonts w:hint="eastAsia" w:ascii="仿宋_GB2312" w:eastAsia="仿宋_GB2312"/>
                <w:sz w:val="24"/>
                <w:szCs w:val="24"/>
              </w:rPr>
              <w:t xml:space="preserve">    联系人：肖老师</w:t>
            </w:r>
            <w:r>
              <w:rPr>
                <w:rFonts w:hint="eastAsia" w:ascii="仿宋_GB2312" w:eastAsia="仿宋_GB2312"/>
                <w:sz w:val="24"/>
                <w:szCs w:val="24"/>
              </w:rPr>
              <w:br w:type="textWrapping"/>
            </w:r>
            <w:r>
              <w:rPr>
                <w:rFonts w:hint="eastAsia" w:ascii="仿宋_GB2312" w:eastAsia="仿宋_GB2312"/>
                <w:sz w:val="24"/>
                <w:szCs w:val="24"/>
              </w:rPr>
              <w:t xml:space="preserve">    电  话：68955002</w:t>
            </w:r>
          </w:p>
          <w:p>
            <w:pPr>
              <w:snapToGrid w:val="0"/>
              <w:spacing w:line="540" w:lineRule="exact"/>
              <w:rPr>
                <w:rFonts w:ascii="仿宋" w:eastAsia="仿宋"/>
                <w:color w:val="000000"/>
                <w:sz w:val="24"/>
              </w:rPr>
            </w:pPr>
            <w:r>
              <w:rPr>
                <w:rFonts w:hint="eastAsia" w:ascii="仿宋" w:eastAsia="仿宋"/>
                <w:color w:val="000000"/>
                <w:sz w:val="24"/>
              </w:rPr>
              <w:t xml:space="preserve">5、发生以下情况之一者，履约保证金不予退还： </w:t>
            </w:r>
          </w:p>
          <w:p>
            <w:pPr>
              <w:snapToGrid w:val="0"/>
              <w:spacing w:line="540" w:lineRule="exact"/>
              <w:rPr>
                <w:rFonts w:ascii="仿宋" w:eastAsia="仿宋"/>
                <w:color w:val="000000"/>
                <w:sz w:val="24"/>
              </w:rPr>
            </w:pPr>
            <w:r>
              <w:rPr>
                <w:rFonts w:hint="eastAsia" w:ascii="仿宋" w:eastAsia="仿宋"/>
                <w:color w:val="000000"/>
                <w:sz w:val="24"/>
              </w:rPr>
              <w:t>（1）不在规定的时间内签订合同的；</w:t>
            </w:r>
          </w:p>
          <w:p>
            <w:pPr>
              <w:snapToGrid w:val="0"/>
              <w:spacing w:line="540" w:lineRule="exact"/>
              <w:rPr>
                <w:rFonts w:ascii="仿宋" w:eastAsia="仿宋"/>
                <w:color w:val="000000"/>
                <w:sz w:val="24"/>
              </w:rPr>
            </w:pPr>
            <w:r>
              <w:rPr>
                <w:rFonts w:hint="eastAsia" w:ascii="仿宋" w:eastAsia="仿宋"/>
                <w:color w:val="000000"/>
                <w:sz w:val="24"/>
              </w:rPr>
              <w:t>（2）签订合同后不在规定工期内履行完合同的；</w:t>
            </w:r>
          </w:p>
          <w:p>
            <w:pPr>
              <w:snapToGrid w:val="0"/>
              <w:spacing w:line="540" w:lineRule="exact"/>
              <w:rPr>
                <w:rFonts w:ascii="仿宋" w:eastAsia="仿宋"/>
                <w:color w:val="000000"/>
                <w:sz w:val="24"/>
              </w:rPr>
            </w:pPr>
            <w:r>
              <w:rPr>
                <w:rFonts w:hint="eastAsia" w:ascii="仿宋" w:eastAsia="仿宋"/>
                <w:color w:val="000000"/>
                <w:sz w:val="24"/>
              </w:rPr>
              <w:t>（3）对合同作出重大变更的。</w:t>
            </w:r>
          </w:p>
          <w:p>
            <w:pPr>
              <w:snapToGrid w:val="0"/>
              <w:spacing w:line="540" w:lineRule="exact"/>
              <w:rPr>
                <w:rFonts w:ascii="仿宋" w:eastAsia="仿宋"/>
                <w:color w:val="000000"/>
                <w:sz w:val="24"/>
              </w:rPr>
            </w:pPr>
            <w:r>
              <w:rPr>
                <w:rFonts w:hint="eastAsia" w:ascii="仿宋" w:eastAsia="仿宋"/>
                <w:color w:val="000000"/>
                <w:sz w:val="24"/>
              </w:rPr>
              <w:t>（4）除不可抗力外，成交人放弃成交的。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请于2020年7月</w:t>
            </w:r>
            <w:r>
              <w:rPr>
                <w:rFonts w:hint="eastAsia" w:ascii="仿宋_GB2312" w:hAnsi="宋体" w:eastAsia="仿宋_GB2312"/>
                <w:sz w:val="24"/>
                <w:szCs w:val="24"/>
                <w:u w:val="single"/>
                <w:lang w:val="en-US" w:eastAsia="zh-CN"/>
              </w:rPr>
              <w:t>6</w:t>
            </w:r>
            <w:bookmarkStart w:id="33" w:name="_GoBack"/>
            <w:bookmarkEnd w:id="33"/>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采购机构：重庆建桥实业发展有限公司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color w:val="000000"/>
                <w:kern w:val="0"/>
                <w:sz w:val="24"/>
                <w:szCs w:val="24"/>
              </w:rPr>
              <w:t>重庆大渡口区金桥路1号</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人：肖老师                     电话：023-68955002</w:t>
            </w:r>
          </w:p>
        </w:tc>
      </w:tr>
    </w:tbl>
    <w:p>
      <w:pPr>
        <w:snapToGrid w:val="0"/>
        <w:spacing w:line="220" w:lineRule="atLeast"/>
        <w:ind w:firstLine="570"/>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6" w:name="_Toc193166104"/>
      <w:r>
        <w:rPr>
          <w:rFonts w:hint="eastAsia" w:ascii="仿宋_GB2312" w:eastAsia="仿宋_GB2312"/>
          <w:b/>
          <w:color w:val="000000"/>
          <w:sz w:val="32"/>
          <w:szCs w:val="32"/>
        </w:rPr>
        <w:t>第二篇  竞标须知</w:t>
      </w:r>
      <w:bookmarkEnd w:id="6"/>
    </w:p>
    <w:p>
      <w:pPr>
        <w:spacing w:line="540" w:lineRule="exact"/>
        <w:rPr>
          <w:rFonts w:ascii="仿宋_GB2312" w:eastAsia="仿宋_GB2312"/>
          <w:color w:val="000000"/>
          <w:sz w:val="24"/>
          <w:szCs w:val="24"/>
        </w:rPr>
      </w:pPr>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7"/>
    </w:p>
    <w:p>
      <w:pPr>
        <w:spacing w:line="540" w:lineRule="exact"/>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120" w:hanging="120" w:hangingChars="50"/>
        <w:rPr>
          <w:rFonts w:ascii="仿宋_GB2312" w:eastAsia="仿宋_GB2312"/>
          <w:color w:val="000000"/>
          <w:sz w:val="24"/>
          <w:szCs w:val="24"/>
        </w:rPr>
      </w:pPr>
      <w:bookmarkStart w:id="9" w:name="_Toc193166107"/>
      <w:r>
        <w:rPr>
          <w:rFonts w:ascii="仿宋_GB2312" w:eastAsia="仿宋_GB2312"/>
          <w:color w:val="000000"/>
          <w:sz w:val="24"/>
          <w:szCs w:val="24"/>
        </w:rPr>
        <w:t>二、竞标人资格要求</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黑体" w:hAnsi="黑体" w:eastAsia="黑体"/>
          <w:b/>
          <w:sz w:val="32"/>
          <w:szCs w:val="32"/>
          <w:u w:val="single"/>
        </w:rPr>
        <w:t>1.</w:t>
      </w:r>
      <w:r>
        <w:rPr>
          <w:rFonts w:ascii="黑体" w:hAnsi="黑体" w:eastAsia="黑体"/>
          <w:b/>
          <w:sz w:val="32"/>
          <w:szCs w:val="32"/>
          <w:u w:val="single"/>
        </w:rPr>
        <w:t>通过重庆市政府采购网（www.cqgp.gov.cn），登记加入“重庆市政府采购供应商库”成功注册的供应商（根据渝财采购〔2016〕45号文件要求）,从即日起执行</w:t>
      </w:r>
      <w:r>
        <w:rPr>
          <w:rFonts w:hint="eastAsia" w:ascii="黑体" w:hAnsi="黑体" w:eastAsia="黑体"/>
          <w:b/>
          <w:sz w:val="32"/>
          <w:szCs w:val="32"/>
          <w:u w:val="single"/>
        </w:rPr>
        <w:t>。</w:t>
      </w:r>
      <w:r>
        <w:rPr>
          <w:rFonts w:hint="eastAsia" w:ascii="黑体" w:hAnsi="黑体" w:eastAsia="黑体"/>
          <w:b/>
          <w:sz w:val="32"/>
          <w:szCs w:val="32"/>
          <w:u w:val="single"/>
        </w:rPr>
        <w:br w:type="textWrapping"/>
      </w:r>
      <w:r>
        <w:rPr>
          <w:rFonts w:hint="eastAsia" w:ascii="仿宋_GB2312" w:eastAsia="仿宋_GB2312"/>
          <w:sz w:val="24"/>
          <w:szCs w:val="24"/>
        </w:rPr>
        <w:t>2.具有独立承担民事责任的能力。</w:t>
      </w:r>
      <w:r>
        <w:rPr>
          <w:rFonts w:hint="eastAsia" w:ascii="仿宋_GB2312" w:eastAsia="仿宋_GB2312"/>
          <w:sz w:val="24"/>
          <w:szCs w:val="24"/>
        </w:rPr>
        <w:br w:type="textWrapping"/>
      </w:r>
      <w:r>
        <w:rPr>
          <w:rFonts w:hint="eastAsia" w:ascii="仿宋_GB2312" w:eastAsia="仿宋_GB2312"/>
          <w:sz w:val="24"/>
          <w:szCs w:val="24"/>
        </w:rPr>
        <w:t>3.具有良好的商业信誉和健全的财务会计制度。</w:t>
      </w:r>
      <w:r>
        <w:rPr>
          <w:rFonts w:hint="eastAsia" w:ascii="仿宋_GB2312" w:eastAsia="仿宋_GB2312"/>
          <w:sz w:val="24"/>
          <w:szCs w:val="24"/>
        </w:rPr>
        <w:br w:type="textWrapping"/>
      </w:r>
      <w:r>
        <w:rPr>
          <w:rFonts w:hint="eastAsia" w:ascii="仿宋_GB2312" w:eastAsia="仿宋_GB2312"/>
          <w:sz w:val="24"/>
          <w:szCs w:val="24"/>
        </w:rPr>
        <w:t>4.具有履行合同所必须的设备和专业技术能力。</w:t>
      </w:r>
      <w:r>
        <w:rPr>
          <w:rFonts w:hint="eastAsia" w:ascii="仿宋_GB2312" w:eastAsia="仿宋_GB2312"/>
          <w:sz w:val="24"/>
          <w:szCs w:val="24"/>
        </w:rPr>
        <w:br w:type="textWrapping"/>
      </w:r>
      <w:r>
        <w:rPr>
          <w:rFonts w:hint="eastAsia" w:ascii="仿宋_GB2312" w:eastAsia="仿宋_GB2312"/>
          <w:sz w:val="24"/>
          <w:szCs w:val="24"/>
        </w:rPr>
        <w:t>5.有依法缴纳税收和社会保障资金的良好记录。</w:t>
      </w:r>
      <w:r>
        <w:rPr>
          <w:rFonts w:hint="eastAsia" w:ascii="仿宋_GB2312" w:eastAsia="仿宋_GB2312"/>
          <w:sz w:val="24"/>
          <w:szCs w:val="24"/>
        </w:rPr>
        <w:br w:type="textWrapping"/>
      </w:r>
      <w:r>
        <w:rPr>
          <w:rFonts w:hint="eastAsia" w:ascii="仿宋_GB2312" w:eastAsia="仿宋_GB2312"/>
          <w:sz w:val="24"/>
          <w:szCs w:val="24"/>
        </w:rPr>
        <w:t>6.参加政府采购活动近三年内，在经营活动中没有重大违法记录。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a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b“失信被执行人”查询结果；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c“重大税收违法案件当事人名单”查询结果；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d“政府行政许可与行政处罚”查询结果。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(2) 中国政府采购网（www.ccgp.gov.cn）“政府采购严重违法失信行为记录名单”查询结果，提供查询结果网页打印件并加盖供应商公章。</w:t>
      </w:r>
    </w:p>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(备注：以上查询时间为本项目采购公告发布之日起至响应文件递交截止时间前。)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r>
        <w:rPr>
          <w:rFonts w:ascii="仿宋_GB2312" w:eastAsia="仿宋_GB2312"/>
          <w:sz w:val="24"/>
          <w:szCs w:val="24"/>
        </w:rPr>
        <w:br w:type="textWrapping"/>
      </w:r>
      <w:r>
        <w:rPr>
          <w:rFonts w:hint="eastAsia" w:ascii="仿宋_GB2312" w:eastAsia="仿宋_GB2312"/>
          <w:sz w:val="24"/>
          <w:szCs w:val="24"/>
        </w:rPr>
        <w:t>8.</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120" w:hanging="120" w:hangingChars="50"/>
        <w:rPr>
          <w:rFonts w:ascii="仿宋_GB2312" w:eastAsia="仿宋_GB2312"/>
          <w:color w:val="000000"/>
          <w:sz w:val="24"/>
          <w:szCs w:val="24"/>
        </w:rPr>
      </w:pPr>
      <w:r>
        <w:rPr>
          <w:rFonts w:hint="eastAsia" w:ascii="仿宋_GB2312" w:eastAsia="仿宋_GB2312"/>
          <w:sz w:val="24"/>
          <w:szCs w:val="24"/>
        </w:rPr>
        <w:t>9.法律、行政法规规定的其他条件。</w:t>
      </w:r>
      <w:r>
        <w:rPr>
          <w:rFonts w:ascii="仿宋_GB2312" w:eastAsia="仿宋_GB2312"/>
          <w:color w:val="000000"/>
          <w:sz w:val="24"/>
          <w:szCs w:val="24"/>
        </w:rPr>
        <w:br w:type="textWrapping"/>
      </w:r>
      <w:r>
        <w:rPr>
          <w:rFonts w:ascii="仿宋_GB2312" w:eastAsia="仿宋_GB2312"/>
          <w:color w:val="000000"/>
          <w:sz w:val="24"/>
          <w:szCs w:val="24"/>
        </w:rPr>
        <w:t>（</w:t>
      </w:r>
      <w:r>
        <w:rPr>
          <w:rFonts w:hint="eastAsia" w:ascii="仿宋_GB2312" w:eastAsia="仿宋_GB2312"/>
          <w:color w:val="000000"/>
          <w:sz w:val="24"/>
          <w:szCs w:val="24"/>
        </w:rPr>
        <w:t>二</w:t>
      </w:r>
      <w:r>
        <w:rPr>
          <w:rFonts w:ascii="仿宋_GB2312" w:eastAsia="仿宋_GB2312"/>
          <w:color w:val="000000"/>
          <w:sz w:val="24"/>
          <w:szCs w:val="24"/>
        </w:rPr>
        <w:t>）特定资格条件</w:t>
      </w:r>
    </w:p>
    <w:p>
      <w:pPr>
        <w:spacing w:line="540" w:lineRule="exact"/>
        <w:ind w:firstLine="240" w:firstLineChars="1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三、竞争性谈判文件</w:t>
      </w:r>
      <w:bookmarkEnd w:id="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1.竞争性谈判文件由竞标须知前附表；竞标须知；项目技术规格、数量及质量要求；商务条款；竞标文件格式、竞争性谈判文件附则等六部分组成。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2.质疑</w:t>
      </w:r>
    </w:p>
    <w:p>
      <w:pPr>
        <w:spacing w:line="540" w:lineRule="exact"/>
        <w:rPr>
          <w:rFonts w:hint="eastAsia" w:ascii="仿宋_GB2312" w:eastAsia="仿宋_GB2312"/>
          <w:sz w:val="24"/>
          <w:szCs w:val="24"/>
          <w:lang w:val="en-US" w:eastAsia="zh-CN"/>
        </w:rPr>
      </w:pPr>
      <w:r>
        <w:rPr>
          <w:rFonts w:hint="eastAsia" w:ascii="仿宋_GB2312" w:eastAsia="仿宋_GB2312"/>
          <w:color w:val="000000"/>
          <w:sz w:val="24"/>
          <w:szCs w:val="24"/>
        </w:rPr>
        <w:t>（1）供应商对采购文件内容（供应商资格条件和商务要求、评审标准、评审细则及评审程序）有异议的</w:t>
      </w:r>
      <w:r>
        <w:rPr>
          <w:rFonts w:hint="eastAsia" w:ascii="仿宋_GB2312" w:eastAsia="仿宋_GB2312"/>
          <w:sz w:val="24"/>
          <w:szCs w:val="24"/>
        </w:rPr>
        <w:t>，</w:t>
      </w:r>
      <w:r>
        <w:rPr>
          <w:rFonts w:hint="eastAsia" w:ascii="仿宋_GB2312" w:eastAsia="仿宋_GB2312"/>
          <w:b/>
          <w:sz w:val="24"/>
          <w:szCs w:val="24"/>
          <w:u w:val="single"/>
        </w:rPr>
        <w:t>在2020年</w:t>
      </w:r>
      <w:r>
        <w:rPr>
          <w:rFonts w:hint="eastAsia" w:ascii="仿宋_GB2312" w:eastAsia="仿宋_GB2312"/>
          <w:b/>
          <w:sz w:val="24"/>
          <w:szCs w:val="24"/>
          <w:u w:val="single"/>
          <w:lang w:eastAsia="zh-CN"/>
        </w:rPr>
        <w:t>7月9</w:t>
      </w:r>
      <w:r>
        <w:rPr>
          <w:rFonts w:hint="eastAsia" w:ascii="仿宋_GB2312" w:eastAsia="仿宋_GB2312"/>
          <w:b/>
          <w:sz w:val="24"/>
          <w:szCs w:val="24"/>
          <w:u w:val="single"/>
        </w:rPr>
        <w:t>日北京时间18：00前</w:t>
      </w:r>
      <w:r>
        <w:rPr>
          <w:rFonts w:hint="eastAsia" w:ascii="仿宋_GB2312" w:eastAsia="仿宋_GB2312"/>
          <w:sz w:val="24"/>
          <w:szCs w:val="24"/>
        </w:rPr>
        <w:t>向采购人提出书面质疑</w:t>
      </w:r>
      <w:r>
        <w:rPr>
          <w:rFonts w:hint="eastAsia" w:ascii="仿宋_GB2312" w:eastAsia="仿宋_GB2312"/>
          <w:sz w:val="24"/>
          <w:szCs w:val="24"/>
          <w:lang w:val="en-US" w:eastAsia="zh-CN"/>
        </w:rPr>
        <w:t>.</w:t>
      </w:r>
    </w:p>
    <w:p>
      <w:pPr>
        <w:spacing w:line="540" w:lineRule="exact"/>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rPr>
          <w:rFonts w:ascii="仿宋_GB2312" w:eastAsia="仿宋_GB2312"/>
          <w:sz w:val="24"/>
          <w:szCs w:val="24"/>
        </w:rPr>
      </w:pPr>
      <w:r>
        <w:rPr>
          <w:rFonts w:hint="eastAsia" w:ascii="仿宋_GB2312" w:eastAsia="仿宋_GB2312"/>
          <w:sz w:val="24"/>
          <w:szCs w:val="24"/>
        </w:rPr>
        <w:t>③质疑超过有效期的；</w:t>
      </w:r>
    </w:p>
    <w:p>
      <w:pPr>
        <w:spacing w:line="540" w:lineRule="exact"/>
        <w:rPr>
          <w:rFonts w:ascii="仿宋_GB2312" w:eastAsia="仿宋_GB2312"/>
          <w:sz w:val="24"/>
          <w:szCs w:val="24"/>
        </w:rPr>
      </w:pPr>
      <w:r>
        <w:rPr>
          <w:rFonts w:hint="eastAsia" w:ascii="仿宋_GB2312" w:eastAsia="仿宋_GB2312"/>
          <w:sz w:val="24"/>
          <w:szCs w:val="24"/>
        </w:rPr>
        <w:t>④对同一事项重复质疑的。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3.重庆建桥实业发展有限公司对竞争性谈判文件所作的一切有效的书面通知、修改及补充，都是竞争性谈判文件不可分割的部分。但在竞标现场不得对竞争性谈判文件作实质性修改。</w:t>
      </w:r>
    </w:p>
    <w:p>
      <w:pPr>
        <w:snapToGrid w:val="0"/>
        <w:spacing w:line="540" w:lineRule="exact"/>
        <w:rPr>
          <w:rFonts w:ascii="仿宋_GB2312" w:eastAsia="仿宋_GB2312"/>
          <w:sz w:val="24"/>
          <w:szCs w:val="24"/>
        </w:rPr>
      </w:pPr>
      <w:bookmarkStart w:id="10" w:name="_Toc342913392"/>
      <w:bookmarkStart w:id="11" w:name="_Toc179714297"/>
      <w:bookmarkStart w:id="12" w:name="_Toc403569779"/>
      <w:bookmarkStart w:id="13" w:name="_Toc102227318"/>
      <w:r>
        <w:rPr>
          <w:rFonts w:hint="eastAsia" w:ascii="仿宋_GB2312" w:eastAsia="仿宋_GB2312"/>
          <w:sz w:val="24"/>
          <w:szCs w:val="24"/>
        </w:rPr>
        <w:t>四、谈判要求</w:t>
      </w:r>
      <w:bookmarkEnd w:id="10"/>
      <w:bookmarkEnd w:id="11"/>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pacing w:line="540" w:lineRule="exact"/>
        <w:rPr>
          <w:rFonts w:ascii="仿宋_GB2312" w:eastAsia="仿宋_GB2312"/>
          <w:color w:val="000000"/>
          <w:sz w:val="24"/>
          <w:szCs w:val="24"/>
        </w:rPr>
      </w:pPr>
      <w:bookmarkStart w:id="14" w:name="_四、竞标"/>
      <w:bookmarkEnd w:id="14"/>
      <w:bookmarkStart w:id="15" w:name="_Toc193166108"/>
      <w:r>
        <w:rPr>
          <w:rFonts w:hint="eastAsia" w:ascii="仿宋_GB2312" w:eastAsia="仿宋_GB2312"/>
          <w:color w:val="000000"/>
          <w:sz w:val="24"/>
          <w:szCs w:val="24"/>
        </w:rPr>
        <w:t>五、竞标文件</w:t>
      </w:r>
      <w:bookmarkEnd w:id="15"/>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竞标文件由以下部分和竞标人所作的一切有效补充、修改和承诺等文件组成，具体见第五篇“竞标文件格式”。以下所有要求提供的文件须加盖鲜章（其中复印件的文件均须将原件带至现场备查）。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rPr>
          <w:rFonts w:hint="eastAsia" w:ascii="仿宋_GB2312" w:eastAsia="仿宋_GB2312"/>
          <w:sz w:val="24"/>
          <w:szCs w:val="24"/>
        </w:rPr>
      </w:pPr>
      <w:r>
        <w:rPr>
          <w:rFonts w:hint="eastAsia" w:ascii="仿宋_GB2312" w:eastAsia="仿宋_GB2312"/>
          <w:color w:val="000000"/>
          <w:sz w:val="24"/>
          <w:szCs w:val="24"/>
        </w:rPr>
        <w:t xml:space="preserve">A.法人授权书 </w:t>
      </w:r>
      <w:r>
        <w:rPr>
          <w:rFonts w:hint="eastAsia" w:ascii="仿宋_GB2312" w:eastAsia="仿宋_GB2312"/>
          <w:sz w:val="24"/>
          <w:szCs w:val="24"/>
        </w:rPr>
        <w:t>（被授权代表须为竞标单位人员，由竞标人自行承诺，格式自拟）</w:t>
      </w:r>
    </w:p>
    <w:p>
      <w:pPr>
        <w:spacing w:line="540" w:lineRule="exact"/>
        <w:rPr>
          <w:rFonts w:hint="eastAsia" w:ascii="仿宋_GB2312" w:eastAsia="仿宋_GB2312"/>
          <w:sz w:val="24"/>
          <w:szCs w:val="24"/>
        </w:rPr>
      </w:pPr>
      <w:r>
        <w:rPr>
          <w:rFonts w:hint="eastAsia" w:ascii="仿宋_GB2312" w:eastAsia="仿宋_GB2312"/>
          <w:sz w:val="24"/>
          <w:szCs w:val="24"/>
        </w:rPr>
        <w:t>B.承诺函</w:t>
      </w:r>
    </w:p>
    <w:p>
      <w:pPr>
        <w:spacing w:line="540" w:lineRule="exact"/>
        <w:rPr>
          <w:rFonts w:ascii="仿宋_GB2312" w:eastAsia="仿宋_GB2312"/>
          <w:b/>
          <w:sz w:val="24"/>
          <w:szCs w:val="24"/>
        </w:rPr>
      </w:pPr>
      <w:r>
        <w:rPr>
          <w:rFonts w:hint="eastAsia" w:ascii="仿宋_GB2312" w:eastAsia="仿宋_GB2312"/>
          <w:sz w:val="24"/>
          <w:szCs w:val="24"/>
        </w:rPr>
        <w:t>C.法人证明书</w:t>
      </w:r>
    </w:p>
    <w:p>
      <w:pPr>
        <w:spacing w:line="540" w:lineRule="exact"/>
        <w:rPr>
          <w:rFonts w:ascii="仿宋_GB2312" w:eastAsia="仿宋_GB2312"/>
          <w:sz w:val="24"/>
          <w:szCs w:val="24"/>
        </w:rPr>
      </w:pPr>
      <w:r>
        <w:rPr>
          <w:rFonts w:hint="eastAsia" w:ascii="仿宋_GB2312" w:eastAsia="仿宋_GB2312"/>
          <w:sz w:val="24"/>
          <w:szCs w:val="24"/>
        </w:rPr>
        <w:t>D.营业执照副本复印件（原件现场备查）</w:t>
      </w:r>
      <w:r>
        <w:rPr>
          <w:rFonts w:hint="eastAsia" w:ascii="仿宋_GB2312" w:eastAsia="仿宋_GB2312"/>
          <w:b/>
          <w:sz w:val="24"/>
          <w:szCs w:val="24"/>
        </w:rPr>
        <w:t>（已实现“三证合一”的，无需提供税务登记证书）</w:t>
      </w:r>
    </w:p>
    <w:p>
      <w:pPr>
        <w:spacing w:line="540" w:lineRule="exact"/>
        <w:rPr>
          <w:rFonts w:ascii="仿宋_GB2312" w:eastAsia="仿宋_GB2312"/>
          <w:sz w:val="24"/>
          <w:szCs w:val="24"/>
        </w:rPr>
      </w:pPr>
      <w:r>
        <w:rPr>
          <w:rFonts w:hint="eastAsia" w:ascii="仿宋_GB2312" w:eastAsia="仿宋_GB2312"/>
          <w:sz w:val="24"/>
          <w:szCs w:val="24"/>
        </w:rPr>
        <w:t>E.税务登记证复印件（原件现场备查）</w:t>
      </w:r>
    </w:p>
    <w:p>
      <w:pPr>
        <w:spacing w:line="540" w:lineRule="exact"/>
        <w:rPr>
          <w:rFonts w:ascii="仿宋" w:hAnsi="仿宋" w:eastAsia="仿宋"/>
          <w:sz w:val="24"/>
          <w:szCs w:val="24"/>
        </w:rPr>
      </w:pPr>
      <w:r>
        <w:rPr>
          <w:rFonts w:hint="eastAsia" w:ascii="仿宋_GB2312" w:hAnsi="宋体" w:eastAsia="仿宋_GB2312"/>
          <w:sz w:val="24"/>
          <w:szCs w:val="24"/>
        </w:rPr>
        <w:t>F.</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rPr>
          <w:rFonts w:ascii="仿宋_GB2312" w:eastAsia="仿宋_GB2312"/>
          <w:sz w:val="24"/>
          <w:szCs w:val="24"/>
        </w:rPr>
      </w:pPr>
      <w:r>
        <w:rPr>
          <w:rFonts w:hint="eastAsia" w:ascii="仿宋_GB2312" w:hAnsi="宋体" w:eastAsia="仿宋_GB2312"/>
          <w:sz w:val="24"/>
          <w:szCs w:val="24"/>
        </w:rPr>
        <w:t>G.安全生产许可证</w:t>
      </w:r>
      <w:r>
        <w:rPr>
          <w:rFonts w:hint="eastAsia" w:ascii="仿宋_GB2312" w:eastAsia="仿宋_GB2312"/>
          <w:sz w:val="24"/>
          <w:szCs w:val="24"/>
        </w:rPr>
        <w:t>复印件（原件现场备查）</w:t>
      </w:r>
    </w:p>
    <w:p>
      <w:pPr>
        <w:spacing w:line="540" w:lineRule="exact"/>
        <w:rPr>
          <w:rFonts w:ascii="仿宋_GB2312" w:eastAsia="仿宋_GB2312"/>
          <w:sz w:val="24"/>
          <w:szCs w:val="24"/>
        </w:rPr>
      </w:pPr>
      <w:r>
        <w:rPr>
          <w:rFonts w:hint="eastAsia" w:ascii="仿宋_GB2312" w:eastAsia="仿宋_GB2312"/>
          <w:sz w:val="24"/>
          <w:szCs w:val="24"/>
        </w:rPr>
        <w:t>H.服务承诺（包含工期、质保期、质量等及其他优惠条件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rPr>
          <w:rFonts w:ascii="仿宋_GB2312" w:eastAsia="仿宋_GB2312"/>
          <w:sz w:val="24"/>
          <w:szCs w:val="24"/>
        </w:rPr>
      </w:pPr>
      <w:r>
        <w:rPr>
          <w:rFonts w:hint="eastAsia" w:ascii="仿宋_GB2312" w:eastAsia="仿宋_GB2312"/>
          <w:sz w:val="24"/>
          <w:szCs w:val="24"/>
        </w:rPr>
        <w:t>I.诚信声明书</w:t>
      </w:r>
    </w:p>
    <w:p>
      <w:pPr>
        <w:spacing w:line="540" w:lineRule="exact"/>
        <w:rPr>
          <w:rFonts w:ascii="仿宋_GB2312" w:eastAsia="仿宋_GB2312"/>
          <w:sz w:val="24"/>
          <w:szCs w:val="24"/>
        </w:rPr>
      </w:pPr>
      <w:r>
        <w:rPr>
          <w:rFonts w:hint="eastAsia" w:ascii="仿宋_GB2312" w:eastAsia="仿宋_GB2312"/>
          <w:sz w:val="24"/>
          <w:szCs w:val="24"/>
        </w:rPr>
        <w:t>J.成功注册加入“重庆市政府采购供应商库”的证明资料。</w:t>
      </w:r>
    </w:p>
    <w:p>
      <w:pPr>
        <w:spacing w:line="540" w:lineRule="exact"/>
        <w:rPr>
          <w:rFonts w:ascii="仿宋_GB2312" w:eastAsia="仿宋_GB2312"/>
          <w:sz w:val="24"/>
          <w:szCs w:val="24"/>
        </w:rPr>
      </w:pPr>
      <w:r>
        <w:rPr>
          <w:rFonts w:hint="eastAsia" w:ascii="仿宋_GB2312" w:eastAsia="仿宋_GB2312"/>
          <w:sz w:val="24"/>
          <w:szCs w:val="24"/>
        </w:rPr>
        <w:t>K.信用中国网站（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）查询结果（提供查询结果网页打印件并加盖供应商公章）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1.1“信用信息”查询结果；</w:t>
      </w:r>
    </w:p>
    <w:p>
      <w:pPr>
        <w:spacing w:line="540" w:lineRule="exact"/>
        <w:rPr>
          <w:rFonts w:ascii="仿宋_GB2312" w:eastAsia="仿宋_GB2312"/>
          <w:sz w:val="24"/>
          <w:szCs w:val="24"/>
        </w:rPr>
      </w:pPr>
      <w:r>
        <w:rPr>
          <w:rFonts w:hint="eastAsia" w:ascii="仿宋_GB2312" w:eastAsia="仿宋_GB2312"/>
          <w:sz w:val="24"/>
          <w:szCs w:val="24"/>
        </w:rPr>
        <w:t>1.2“失信被执行人”查询结果；</w:t>
      </w:r>
    </w:p>
    <w:p>
      <w:pPr>
        <w:spacing w:line="540" w:lineRule="exact"/>
        <w:rPr>
          <w:rFonts w:ascii="仿宋_GB2312" w:eastAsia="仿宋_GB2312"/>
          <w:sz w:val="24"/>
          <w:szCs w:val="24"/>
        </w:rPr>
      </w:pPr>
      <w:r>
        <w:rPr>
          <w:rFonts w:hint="eastAsia" w:ascii="仿宋_GB2312" w:eastAsia="仿宋_GB2312"/>
          <w:sz w:val="24"/>
          <w:szCs w:val="24"/>
        </w:rPr>
        <w:t>1.3“重大税收违法案件当事人名单”查询结果；</w:t>
      </w:r>
    </w:p>
    <w:p>
      <w:pPr>
        <w:spacing w:line="540" w:lineRule="exact"/>
        <w:rPr>
          <w:rFonts w:ascii="仿宋_GB2312" w:eastAsia="仿宋_GB2312"/>
          <w:sz w:val="24"/>
          <w:szCs w:val="24"/>
        </w:rPr>
      </w:pPr>
      <w:r>
        <w:rPr>
          <w:rFonts w:hint="eastAsia" w:ascii="仿宋_GB2312" w:eastAsia="仿宋_GB2312"/>
          <w:sz w:val="24"/>
          <w:szCs w:val="24"/>
        </w:rPr>
        <w:t>1.4“政府行政许可与行政处罚”查询结果。</w:t>
      </w:r>
    </w:p>
    <w:p>
      <w:pPr>
        <w:spacing w:line="540" w:lineRule="exact"/>
        <w:rPr>
          <w:rFonts w:ascii="仿宋_GB2312" w:eastAsia="仿宋_GB2312"/>
          <w:sz w:val="24"/>
          <w:szCs w:val="24"/>
        </w:rPr>
      </w:pPr>
      <w:r>
        <w:rPr>
          <w:rFonts w:hint="eastAsia" w:ascii="仿宋_GB2312" w:eastAsia="仿宋_GB2312"/>
          <w:sz w:val="24"/>
          <w:szCs w:val="24"/>
        </w:rPr>
        <w:t>L. 中国政府采购网（</w:t>
      </w:r>
      <w:r>
        <w:fldChar w:fldCharType="begin"/>
      </w:r>
      <w:r>
        <w:instrText xml:space="preserve"> HYPERLINK "http://www.ccgp.gov.cn" </w:instrText>
      </w:r>
      <w:r>
        <w:fldChar w:fldCharType="separate"/>
      </w:r>
      <w:r>
        <w:rPr>
          <w:rStyle w:val="13"/>
          <w:rFonts w:hint="eastAsia" w:ascii="仿宋_GB2312" w:eastAsia="仿宋_GB2312"/>
          <w:color w:val="auto"/>
          <w:sz w:val="24"/>
          <w:szCs w:val="24"/>
        </w:rPr>
        <w:t>www.ccgp.gov.cn</w:t>
      </w:r>
      <w:r>
        <w:rPr>
          <w:rStyle w:val="13"/>
          <w:rFonts w:hint="eastAsia" w:ascii="仿宋_GB2312" w:eastAsia="仿宋_GB2312"/>
          <w:color w:val="auto"/>
          <w:sz w:val="24"/>
          <w:szCs w:val="24"/>
        </w:rPr>
        <w:fldChar w:fldCharType="end"/>
      </w:r>
      <w:r>
        <w:rPr>
          <w:rFonts w:hint="eastAsia" w:ascii="仿宋_GB2312" w:eastAsia="仿宋_GB2312"/>
          <w:sz w:val="24"/>
          <w:szCs w:val="24"/>
        </w:rPr>
        <w:t>）（提供查询结果网页打印件并加盖供应商公章）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 xml:space="preserve">“政府采购严重违法失信行为记录名单”查询结果。 </w:t>
      </w:r>
    </w:p>
    <w:p>
      <w:pPr>
        <w:spacing w:line="540" w:lineRule="exact"/>
        <w:rPr>
          <w:rFonts w:ascii="仿宋_GB2312" w:eastAsia="仿宋_GB2312"/>
          <w:color w:val="000000"/>
          <w:sz w:val="24"/>
          <w:szCs w:val="24"/>
        </w:rPr>
      </w:pPr>
      <w:r>
        <w:rPr>
          <w:rFonts w:hint="eastAsia" w:ascii="仿宋_GB2312" w:eastAsia="仿宋_GB2312"/>
          <w:sz w:val="24"/>
          <w:szCs w:val="24"/>
        </w:rPr>
        <w:t>M.其他资料等</w:t>
      </w:r>
    </w:p>
    <w:p>
      <w:pPr>
        <w:spacing w:line="540" w:lineRule="exact"/>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rPr>
          <w:rFonts w:ascii="仿宋_GB2312" w:eastAsia="仿宋_GB2312"/>
          <w:sz w:val="24"/>
          <w:szCs w:val="24"/>
        </w:rPr>
      </w:pPr>
      <w:r>
        <w:rPr>
          <w:rFonts w:hint="eastAsia" w:ascii="仿宋_GB2312" w:eastAsia="仿宋_GB2312"/>
          <w:sz w:val="24"/>
          <w:szCs w:val="24"/>
        </w:rPr>
        <w:t>（2）如果未按上述规定进行密封和标记，重庆建桥实业发展有限公司对竞标文件的误投或提前拆封不负任何责任，谈判小组可以对竞标人作出不利的解释，如作为无效竞标等。</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rPr>
          <w:rFonts w:ascii="仿宋_GB2312" w:eastAsia="仿宋_GB2312"/>
          <w:sz w:val="24"/>
          <w:szCs w:val="24"/>
          <w:u w:val="single"/>
        </w:rPr>
      </w:pPr>
      <w:r>
        <w:rPr>
          <w:rFonts w:hint="eastAsia" w:ascii="仿宋_GB2312" w:eastAsia="仿宋_GB2312"/>
          <w:color w:val="000000"/>
          <w:sz w:val="24"/>
          <w:szCs w:val="24"/>
        </w:rPr>
        <w:t>（4）</w:t>
      </w:r>
      <w:r>
        <w:rPr>
          <w:rFonts w:hint="eastAsia" w:ascii="仿宋_GB2312" w:eastAsia="仿宋_GB2312"/>
          <w:sz w:val="24"/>
          <w:szCs w:val="24"/>
          <w:u w:val="single"/>
        </w:rPr>
        <w:t>竞标报价任一项超过设置的最高限价的。</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（5）竞争性谈判文件规定的其他情形。</w:t>
      </w:r>
    </w:p>
    <w:p>
      <w:pPr>
        <w:spacing w:line="540" w:lineRule="exact"/>
        <w:rPr>
          <w:rFonts w:ascii="仿宋_GB2312" w:eastAsia="仿宋_GB2312"/>
          <w:sz w:val="24"/>
          <w:szCs w:val="24"/>
        </w:rPr>
      </w:pPr>
      <w:bookmarkStart w:id="16" w:name="_Toc193166109"/>
      <w:r>
        <w:rPr>
          <w:rFonts w:hint="eastAsia" w:ascii="仿宋_GB2312" w:eastAsia="仿宋_GB2312"/>
          <w:sz w:val="24"/>
          <w:szCs w:val="24"/>
        </w:rPr>
        <w:t>六、</w:t>
      </w:r>
      <w:bookmarkEnd w:id="16"/>
      <w:r>
        <w:rPr>
          <w:rFonts w:hint="eastAsia" w:ascii="仿宋_GB2312" w:eastAsia="仿宋_GB2312"/>
          <w:sz w:val="24"/>
          <w:szCs w:val="24"/>
        </w:rPr>
        <w:t>竞标保证金和履约保证金</w:t>
      </w:r>
    </w:p>
    <w:p>
      <w:pPr>
        <w:spacing w:line="540" w:lineRule="exact"/>
        <w:rPr>
          <w:rFonts w:ascii="仿宋_GB2312" w:eastAsia="仿宋_GB2312"/>
          <w:sz w:val="24"/>
          <w:szCs w:val="24"/>
        </w:rPr>
      </w:pPr>
      <w:bookmarkStart w:id="17"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snapToGrid w:val="0"/>
        <w:spacing w:line="540" w:lineRule="exact"/>
        <w:rPr>
          <w:rFonts w:ascii="仿宋_GB2312" w:eastAsia="仿宋_GB2312"/>
          <w:sz w:val="24"/>
          <w:szCs w:val="24"/>
        </w:rPr>
      </w:pPr>
      <w:r>
        <w:rPr>
          <w:rFonts w:hint="eastAsia" w:ascii="仿宋_GB2312" w:eastAsia="仿宋_GB2312"/>
          <w:sz w:val="24"/>
          <w:szCs w:val="24"/>
        </w:rPr>
        <w:t>3.履约保证金为</w:t>
      </w:r>
      <w:r>
        <w:rPr>
          <w:rFonts w:hint="eastAsia" w:ascii="仿宋_GB2312" w:hAnsi="宋体" w:eastAsia="仿宋_GB2312"/>
          <w:b/>
          <w:sz w:val="24"/>
          <w:szCs w:val="24"/>
          <w:u w:val="single"/>
        </w:rPr>
        <w:t>5万元</w:t>
      </w:r>
      <w:r>
        <w:rPr>
          <w:rFonts w:hint="eastAsia" w:ascii="仿宋_GB2312" w:eastAsia="仿宋_GB2312"/>
          <w:sz w:val="24"/>
          <w:szCs w:val="24"/>
        </w:rPr>
        <w:t>。第一成交人在</w:t>
      </w:r>
      <w:r>
        <w:rPr>
          <w:rFonts w:hint="eastAsia" w:ascii="仿宋" w:eastAsia="仿宋"/>
          <w:color w:val="000000"/>
          <w:sz w:val="24"/>
        </w:rPr>
        <w:t>公示期结束后三个工作日内，成交人向采购人缴纳履约保证金，并作为签订施工合同的依据和必备条件（注明项目名称）。</w:t>
      </w:r>
      <w:r>
        <w:rPr>
          <w:rFonts w:hint="eastAsia" w:ascii="仿宋_GB2312" w:hAnsi="宋体" w:eastAsia="仿宋_GB2312"/>
          <w:sz w:val="24"/>
          <w:szCs w:val="24"/>
        </w:rPr>
        <w:t>（缴纳方式</w:t>
      </w:r>
      <w:r>
        <w:rPr>
          <w:rFonts w:hint="eastAsia" w:ascii="方正仿宋_GBK" w:hAnsi="宋体" w:eastAsia="方正仿宋_GBK"/>
          <w:sz w:val="24"/>
          <w:szCs w:val="24"/>
        </w:rPr>
        <w:t>请与采购人联系</w:t>
      </w:r>
      <w:r>
        <w:rPr>
          <w:rFonts w:hint="eastAsia" w:ascii="仿宋_GB2312" w:hAnsi="宋体" w:eastAsia="仿宋_GB2312"/>
          <w:sz w:val="24"/>
          <w:szCs w:val="24"/>
        </w:rPr>
        <w:t>）</w:t>
      </w:r>
      <w:r>
        <w:rPr>
          <w:rFonts w:hint="eastAsia" w:ascii="仿宋" w:eastAsia="仿宋"/>
          <w:color w:val="000000"/>
          <w:sz w:val="24"/>
        </w:rPr>
        <w:t>退还时间：</w:t>
      </w:r>
      <w:r>
        <w:rPr>
          <w:rFonts w:hint="eastAsia" w:ascii="仿宋_GB2312" w:eastAsia="仿宋_GB2312"/>
          <w:sz w:val="24"/>
          <w:szCs w:val="24"/>
        </w:rPr>
        <w:t>工程完工并经验收达到交付招标人使用条件后30个工作日内无息退还。</w:t>
      </w:r>
    </w:p>
    <w:p>
      <w:pPr>
        <w:snapToGrid w:val="0"/>
        <w:spacing w:line="540" w:lineRule="exact"/>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left="184" w:leftChars="66"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jc w:val="left"/>
        <w:rPr>
          <w:rFonts w:ascii="仿宋_GB2312" w:eastAsia="仿宋_GB2312"/>
          <w:color w:val="000000"/>
          <w:sz w:val="24"/>
          <w:szCs w:val="24"/>
        </w:rPr>
      </w:pPr>
      <w:r>
        <w:rPr>
          <w:rFonts w:hint="eastAsia" w:ascii="仿宋_GB2312" w:eastAsia="仿宋_GB2312"/>
          <w:color w:val="000000"/>
          <w:sz w:val="24"/>
          <w:szCs w:val="24"/>
        </w:rPr>
        <w:t>七、竞标报价</w:t>
      </w:r>
      <w:bookmarkEnd w:id="17"/>
    </w:p>
    <w:p>
      <w:pPr>
        <w:spacing w:line="540" w:lineRule="exact"/>
        <w:rPr>
          <w:rFonts w:ascii="仿宋_GB2312" w:eastAsia="仿宋_GB2312"/>
          <w:color w:val="000000"/>
          <w:sz w:val="24"/>
          <w:szCs w:val="24"/>
        </w:rPr>
      </w:pPr>
      <w:bookmarkStart w:id="18" w:name="_Toc193166111"/>
      <w:bookmarkStart w:id="19" w:name="_Toc193166112"/>
      <w:r>
        <w:rPr>
          <w:rFonts w:hint="eastAsia" w:ascii="仿宋_GB2312" w:eastAsia="仿宋_GB2312"/>
          <w:color w:val="000000"/>
          <w:sz w:val="24"/>
          <w:szCs w:val="24"/>
        </w:rPr>
        <w:t>1.竞标人应严格按照报价函格式认真填写。</w:t>
      </w:r>
      <w:bookmarkEnd w:id="18"/>
    </w:p>
    <w:p>
      <w:pPr>
        <w:spacing w:line="540" w:lineRule="exact"/>
        <w:rPr>
          <w:rFonts w:ascii="仿宋_GB2312" w:eastAsia="仿宋_GB2312"/>
          <w:color w:val="000000"/>
          <w:sz w:val="24"/>
          <w:szCs w:val="24"/>
        </w:rPr>
      </w:pPr>
      <w:r>
        <w:rPr>
          <w:rFonts w:hint="eastAsia" w:ascii="仿宋_GB2312" w:eastAsia="仿宋_GB2312"/>
          <w:color w:val="000000"/>
          <w:sz w:val="24"/>
          <w:szCs w:val="24"/>
        </w:rPr>
        <w:t>2.本工程项目的竞标报价采用综合总价包干方式（总价最低成交）。</w:t>
      </w:r>
    </w:p>
    <w:p>
      <w:pPr>
        <w:spacing w:line="540" w:lineRule="exact"/>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实际报价以竞标现场第二次书面报价为准。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4.本次竞标报价是包含</w:t>
      </w:r>
      <w:r>
        <w:rPr>
          <w:rFonts w:hint="eastAsia" w:ascii="仿宋_GB2312" w:hAnsi="宋体" w:eastAsia="仿宋_GB2312"/>
          <w:color w:val="000000"/>
          <w:sz w:val="24"/>
          <w:szCs w:val="24"/>
        </w:rPr>
        <w:t>拆除华伦医疗产业园征收红线范围内地面以上的所有建、构筑物（仅包含建、构筑物主体结构及门、窗、幕墙等附属设施，最终拆除范围及内容以采购人现场移交为准），由成交单位自行处置拆除的物品，并负责将建筑物和构筑物拆除至地平面，拆除后的建筑垃圾由成交单位在华伦医疗产业园征收红线内平均堆放（不得占用现有道路），拆除完后交净地于采购人的所有费用</w:t>
      </w:r>
      <w:r>
        <w:rPr>
          <w:rFonts w:hint="eastAsia" w:ascii="仿宋_GB2312" w:eastAsia="仿宋_GB2312"/>
          <w:color w:val="000000"/>
          <w:sz w:val="24"/>
          <w:szCs w:val="24"/>
        </w:rPr>
        <w:t>。</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八、竞标</w:t>
      </w:r>
      <w:bookmarkEnd w:id="19"/>
    </w:p>
    <w:p>
      <w:pPr>
        <w:spacing w:line="540" w:lineRule="exact"/>
        <w:rPr>
          <w:rFonts w:ascii="仿宋_GB2312" w:eastAsia="仿宋_GB2312"/>
          <w:color w:val="000000"/>
          <w:sz w:val="24"/>
          <w:szCs w:val="24"/>
        </w:rPr>
      </w:pPr>
      <w:r>
        <w:rPr>
          <w:rFonts w:hint="eastAsia" w:ascii="仿宋_GB2312" w:eastAsia="仿宋_GB2312"/>
          <w:color w:val="000000"/>
          <w:sz w:val="24"/>
          <w:szCs w:val="24"/>
        </w:rPr>
        <w:t>1.竞标由重庆建桥实业发展有限公司主持，业主、竞标人代表和有关方面代表参加。</w:t>
      </w:r>
    </w:p>
    <w:p>
      <w:pPr>
        <w:spacing w:line="540" w:lineRule="exact"/>
        <w:rPr>
          <w:rFonts w:ascii="仿宋_GB2312" w:eastAsia="仿宋_GB2312"/>
          <w:color w:val="000000"/>
          <w:sz w:val="24"/>
          <w:szCs w:val="24"/>
        </w:rPr>
      </w:pPr>
      <w:r>
        <w:rPr>
          <w:rFonts w:hint="eastAsia" w:ascii="仿宋_GB2312" w:eastAsia="仿宋_GB2312"/>
          <w:sz w:val="24"/>
          <w:szCs w:val="24"/>
        </w:rPr>
        <w:t>2.竞标时，由竞标人或竞标人随机抽取的代表检查竞标文件的密封情况。</w:t>
      </w:r>
    </w:p>
    <w:p>
      <w:pPr>
        <w:spacing w:line="540" w:lineRule="exact"/>
        <w:rPr>
          <w:rFonts w:ascii="仿宋_GB2312" w:eastAsia="仿宋_GB2312"/>
          <w:color w:val="000000"/>
          <w:sz w:val="24"/>
          <w:szCs w:val="24"/>
        </w:rPr>
      </w:pPr>
      <w:bookmarkStart w:id="20" w:name="_Toc193166113"/>
      <w:r>
        <w:rPr>
          <w:rFonts w:hint="eastAsia" w:ascii="仿宋_GB2312" w:eastAsia="仿宋_GB2312"/>
          <w:color w:val="000000"/>
          <w:sz w:val="24"/>
          <w:szCs w:val="24"/>
        </w:rPr>
        <w:t>九、谈判</w:t>
      </w:r>
      <w:bookmarkEnd w:id="20"/>
    </w:p>
    <w:p>
      <w:pPr>
        <w:spacing w:line="540" w:lineRule="exact"/>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 （请仔细阅读）</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u w:val="single"/>
        </w:rPr>
        <w:t>（9）竞争性谈判文件规定的其他情况。</w:t>
      </w:r>
    </w:p>
    <w:p>
      <w:pPr>
        <w:spacing w:line="540" w:lineRule="exact"/>
        <w:rPr>
          <w:rFonts w:ascii="仿宋_GB2312" w:eastAsia="仿宋_GB2312"/>
          <w:sz w:val="24"/>
          <w:szCs w:val="24"/>
          <w:u w:val="single"/>
        </w:rPr>
      </w:pPr>
      <w:r>
        <w:rPr>
          <w:rFonts w:hint="eastAsia" w:ascii="仿宋_GB2312" w:eastAsia="仿宋_GB2312"/>
          <w:sz w:val="24"/>
          <w:szCs w:val="24"/>
          <w:u w:val="single"/>
        </w:rPr>
        <w:t>（10）竞争性谈判文件规定的其他情况。</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4"/>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C、谈判小组要求所有资格与符合性审查合格的竞标人在竞标现场按规定的时间书面提出二次报价及有关承诺（填写《最后报价表》，第二次报价为最后报价，若二次报价高于第一次报价，则按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4"/>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4"/>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rPr>
          <w:rFonts w:ascii="仿宋_GB2312" w:eastAsia="仿宋_GB2312"/>
          <w:sz w:val="24"/>
          <w:szCs w:val="24"/>
        </w:rPr>
      </w:pPr>
      <w:r>
        <w:rPr>
          <w:rFonts w:hint="eastAsia" w:ascii="仿宋_GB2312" w:eastAsia="仿宋_GB2312"/>
          <w:sz w:val="24"/>
          <w:szCs w:val="24"/>
        </w:rPr>
        <w:t>（2）程序</w:t>
      </w:r>
    </w:p>
    <w:p>
      <w:pPr>
        <w:spacing w:line="540" w:lineRule="exact"/>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rPr>
          <w:rFonts w:ascii="仿宋_GB2312" w:eastAsia="仿宋_GB2312"/>
          <w:color w:val="000000"/>
          <w:sz w:val="24"/>
          <w:szCs w:val="24"/>
        </w:rPr>
      </w:pPr>
      <w:bookmarkStart w:id="21" w:name="_Toc193166114"/>
      <w:r>
        <w:rPr>
          <w:rFonts w:hint="eastAsia" w:ascii="仿宋_GB2312" w:eastAsia="仿宋_GB2312"/>
          <w:sz w:val="24"/>
          <w:szCs w:val="24"/>
        </w:rPr>
        <w:t>十</w:t>
      </w:r>
      <w:r>
        <w:rPr>
          <w:rFonts w:hint="eastAsia" w:ascii="仿宋_GB2312" w:eastAsia="仿宋_GB2312"/>
          <w:color w:val="000000"/>
          <w:sz w:val="24"/>
          <w:szCs w:val="24"/>
        </w:rPr>
        <w:t>、定标</w:t>
      </w:r>
      <w:bookmarkEnd w:id="21"/>
    </w:p>
    <w:p>
      <w:pPr>
        <w:spacing w:line="540" w:lineRule="exact"/>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http://www.jqgyy.com/</w:t>
      </w:r>
      <w:r>
        <w:rPr>
          <w:rFonts w:hint="eastAsia" w:ascii="仿宋_GB2312" w:eastAsia="仿宋_GB2312"/>
          <w:color w:val="000000"/>
          <w:sz w:val="24"/>
          <w:szCs w:val="24"/>
        </w:rPr>
        <w:t>）网上公示1个工作日。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4.成交通知书</w:t>
      </w:r>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http://www.jqgyy.com/</w:t>
      </w:r>
      <w:r>
        <w:rPr>
          <w:rFonts w:hint="eastAsia" w:ascii="仿宋_GB2312" w:eastAsia="仿宋_GB2312"/>
          <w:sz w:val="24"/>
          <w:szCs w:val="24"/>
        </w:rPr>
        <w:t>）网站上发布成交结果公示。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实业发展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（4）成交人须持公司介绍信及领取人身份证复印件到重庆建桥实业发展有限公司领取。</w:t>
      </w:r>
    </w:p>
    <w:p>
      <w:pPr>
        <w:spacing w:line="540" w:lineRule="exact"/>
        <w:rPr>
          <w:rFonts w:ascii="仿宋_GB2312" w:eastAsia="仿宋_GB2312"/>
          <w:color w:val="000000"/>
          <w:sz w:val="24"/>
          <w:szCs w:val="24"/>
        </w:rPr>
      </w:pPr>
      <w:bookmarkStart w:id="22" w:name="_Toc193166115"/>
      <w:r>
        <w:rPr>
          <w:rFonts w:hint="eastAsia" w:ascii="仿宋_GB2312" w:eastAsia="仿宋_GB2312"/>
          <w:color w:val="000000"/>
          <w:sz w:val="24"/>
          <w:szCs w:val="24"/>
        </w:rPr>
        <w:t>十一、签订合同</w:t>
      </w:r>
      <w:bookmarkEnd w:id="22"/>
    </w:p>
    <w:p>
      <w:pPr>
        <w:spacing w:line="540" w:lineRule="exact"/>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rPr>
          <w:rFonts w:ascii="仿宋_GB2312" w:eastAsia="仿宋_GB2312"/>
          <w:sz w:val="24"/>
          <w:szCs w:val="24"/>
        </w:rPr>
      </w:pPr>
      <w:r>
        <w:rPr>
          <w:rFonts w:hint="eastAsia" w:ascii="仿宋_GB2312" w:eastAsia="仿宋_GB2312"/>
          <w:sz w:val="24"/>
          <w:szCs w:val="24"/>
        </w:rPr>
        <w:t>（1）建议采用由</w:t>
      </w:r>
      <w:r>
        <w:rPr>
          <w:rFonts w:ascii="仿宋_GB2312" w:eastAsia="仿宋_GB2312"/>
          <w:sz w:val="24"/>
          <w:szCs w:val="24"/>
        </w:rPr>
        <w:t>住房和城乡建设部</w:t>
      </w:r>
      <w:r>
        <w:rPr>
          <w:rFonts w:hint="eastAsia" w:ascii="仿宋_GB2312" w:eastAsia="仿宋_GB2312"/>
          <w:sz w:val="24"/>
          <w:szCs w:val="24"/>
        </w:rPr>
        <w:t>、</w:t>
      </w:r>
      <w:r>
        <w:rPr>
          <w:rFonts w:ascii="仿宋_GB2312" w:eastAsia="仿宋_GB2312"/>
          <w:sz w:val="24"/>
          <w:szCs w:val="24"/>
        </w:rPr>
        <w:t>国家工商行政管理总局</w:t>
      </w:r>
      <w:r>
        <w:rPr>
          <w:rFonts w:hint="eastAsia" w:ascii="仿宋_GB2312" w:eastAsia="仿宋_GB2312"/>
          <w:sz w:val="24"/>
          <w:szCs w:val="24"/>
        </w:rPr>
        <w:t>联合颁布的《建设工程施工</w:t>
      </w:r>
    </w:p>
    <w:p>
      <w:pPr>
        <w:spacing w:line="540" w:lineRule="exact"/>
        <w:rPr>
          <w:rFonts w:ascii="仿宋_GB2312" w:eastAsia="仿宋_GB2312"/>
          <w:sz w:val="24"/>
          <w:szCs w:val="24"/>
        </w:rPr>
      </w:pPr>
      <w:r>
        <w:rPr>
          <w:rFonts w:hint="eastAsia" w:ascii="仿宋_GB2312" w:eastAsia="仿宋_GB2312"/>
          <w:sz w:val="24"/>
          <w:szCs w:val="24"/>
        </w:rPr>
        <w:t>合同(示范文本)》2017版。</w:t>
      </w:r>
    </w:p>
    <w:p>
      <w:pPr>
        <w:spacing w:line="540" w:lineRule="exact"/>
        <w:rPr>
          <w:rFonts w:ascii="仿宋_GB2312" w:eastAsia="仿宋_GB2312"/>
          <w:sz w:val="24"/>
          <w:szCs w:val="24"/>
        </w:rPr>
      </w:pPr>
      <w:r>
        <w:rPr>
          <w:rFonts w:hint="eastAsia" w:ascii="仿宋_GB2312" w:eastAsia="仿宋_GB2312"/>
          <w:sz w:val="24"/>
          <w:szCs w:val="24"/>
        </w:rPr>
        <w:t>（2）合同从属于《中华人民共和国合同法》。</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1"/>
        </w:numPr>
        <w:spacing w:line="540" w:lineRule="exact"/>
        <w:jc w:val="center"/>
        <w:rPr>
          <w:rFonts w:ascii="仿宋_GB2312" w:eastAsia="仿宋_GB2312"/>
          <w:b/>
          <w:color w:val="000000"/>
          <w:sz w:val="32"/>
          <w:szCs w:val="32"/>
        </w:rPr>
      </w:pPr>
      <w:bookmarkStart w:id="23" w:name="_Toc193086549"/>
      <w:bookmarkStart w:id="24" w:name="_Toc193166116"/>
      <w:r>
        <w:rPr>
          <w:rFonts w:hint="eastAsia" w:ascii="仿宋_GB2312" w:eastAsia="仿宋_GB2312"/>
          <w:b/>
          <w:color w:val="000000"/>
          <w:sz w:val="32"/>
          <w:szCs w:val="32"/>
        </w:rPr>
        <w:t>项目技术规格、数量及质量要求</w:t>
      </w:r>
      <w:bookmarkEnd w:id="23"/>
      <w:bookmarkEnd w:id="24"/>
    </w:p>
    <w:p>
      <w:pPr>
        <w:spacing w:line="360" w:lineRule="auto"/>
        <w:rPr>
          <w:rFonts w:ascii="仿宋_GB2312" w:hAnsi="宋体" w:eastAsia="仿宋_GB2312"/>
          <w:color w:val="000000"/>
          <w:sz w:val="24"/>
          <w:szCs w:val="24"/>
        </w:rPr>
      </w:pPr>
      <w:r>
        <w:rPr>
          <w:rFonts w:hint="eastAsia" w:ascii="仿宋_GB2312" w:hAnsi="宋体" w:eastAsia="仿宋_GB2312"/>
          <w:color w:val="000000"/>
          <w:sz w:val="24"/>
          <w:szCs w:val="24"/>
        </w:rPr>
        <w:t>一、工程概况：</w:t>
      </w:r>
    </w:p>
    <w:p>
      <w:pPr>
        <w:adjustRightInd w:val="0"/>
        <w:snapToGrid w:val="0"/>
        <w:spacing w:line="594" w:lineRule="exact"/>
        <w:ind w:firstLine="480" w:firstLineChars="200"/>
        <w:rPr>
          <w:rFonts w:ascii="仿宋" w:hAnsi="仿宋" w:eastAsia="仿宋"/>
          <w:sz w:val="24"/>
          <w:szCs w:val="24"/>
        </w:rPr>
      </w:pPr>
      <w:r>
        <w:rPr>
          <w:rFonts w:hint="eastAsia" w:ascii="仿宋" w:hAnsi="仿宋" w:eastAsia="仿宋"/>
          <w:sz w:val="24"/>
          <w:szCs w:val="24"/>
        </w:rPr>
        <w:t>按照区委、区政府整体部署，我司正积极推进金桥片区征收拆迁攻坚行动。其中，重庆华伦医疗车间拆除工程位于建桥A区华伦医疗产业园，拆除建筑面积约22000 m2，主要工作内容是拆除华伦医疗产业园征收红线范围内地面以上的所有建、构筑物（仅包含建、构筑物主体结构及门、窗、幕墙等附属设施，最终拆除范围及内容以采购人现场移交为准），由成交单位自行处置拆除的物品，并负责将建筑物和构筑物拆除至地平面，拆除后的建筑垃圾由成交单位在华伦医疗产业园征收红线内平均堆放（不得占用现有道路），拆除完后交净地于采购人。最高限价：140000元。</w:t>
      </w: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hAnsi="宋体"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360" w:lineRule="auto"/>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center"/>
        <w:rPr>
          <w:rFonts w:ascii="仿宋_GB2312" w:eastAsia="仿宋_GB2312"/>
          <w:b/>
          <w:color w:val="000000"/>
          <w:sz w:val="32"/>
          <w:szCs w:val="32"/>
        </w:rPr>
      </w:pPr>
      <w:r>
        <w:rPr>
          <w:rFonts w:hint="eastAsia" w:ascii="仿宋_GB2312" w:eastAsia="仿宋_GB2312"/>
          <w:b/>
          <w:color w:val="000000"/>
          <w:sz w:val="32"/>
          <w:szCs w:val="32"/>
        </w:rPr>
        <w:t xml:space="preserve">第四篇  </w:t>
      </w:r>
      <w:bookmarkStart w:id="25" w:name="_Toc193166117"/>
      <w:bookmarkStart w:id="26" w:name="_Toc193086550"/>
      <w:r>
        <w:rPr>
          <w:rFonts w:hint="eastAsia" w:ascii="仿宋_GB2312" w:eastAsia="仿宋_GB2312"/>
          <w:b/>
          <w:color w:val="000000"/>
          <w:sz w:val="32"/>
          <w:szCs w:val="32"/>
        </w:rPr>
        <w:t>商务条款</w:t>
      </w:r>
      <w:bookmarkEnd w:id="25"/>
      <w:bookmarkEnd w:id="26"/>
    </w:p>
    <w:p>
      <w:pPr>
        <w:spacing w:line="540" w:lineRule="exact"/>
        <w:rPr>
          <w:rFonts w:ascii="仿宋_GB2312" w:eastAsia="仿宋_GB2312"/>
          <w:color w:val="000000"/>
          <w:sz w:val="24"/>
          <w:szCs w:val="24"/>
        </w:rPr>
      </w:pPr>
      <w:r>
        <w:rPr>
          <w:rFonts w:hint="eastAsia" w:ascii="仿宋_GB2312" w:eastAsia="仿宋_GB2312"/>
          <w:color w:val="000000"/>
          <w:sz w:val="24"/>
          <w:szCs w:val="24"/>
        </w:rPr>
        <w:t>一、施工</w:t>
      </w:r>
    </w:p>
    <w:p>
      <w:pPr>
        <w:snapToGrid w:val="0"/>
        <w:spacing w:line="540" w:lineRule="exact"/>
        <w:rPr>
          <w:rFonts w:ascii="仿宋_GB2312" w:eastAsia="仿宋_GB2312"/>
          <w:sz w:val="24"/>
          <w:szCs w:val="24"/>
        </w:rPr>
      </w:pPr>
      <w:r>
        <w:rPr>
          <w:rFonts w:hint="eastAsia" w:ascii="仿宋_GB2312" w:eastAsia="仿宋_GB2312"/>
          <w:color w:val="000000"/>
          <w:sz w:val="24"/>
          <w:szCs w:val="24"/>
        </w:rPr>
        <w:t>1.工期：</w:t>
      </w:r>
      <w:r>
        <w:rPr>
          <w:rFonts w:hint="eastAsia" w:ascii="仿宋_GB2312" w:eastAsia="仿宋_GB2312"/>
          <w:sz w:val="24"/>
          <w:szCs w:val="24"/>
        </w:rPr>
        <w:t>施工工期30日历天（除不可抗力外，工期不得顺延）,以采购人交地给成交人实际时间为施工起始时间。</w:t>
      </w:r>
    </w:p>
    <w:p>
      <w:pPr>
        <w:pStyle w:val="3"/>
        <w:spacing w:line="360" w:lineRule="auto"/>
        <w:ind w:firstLine="0"/>
        <w:rPr>
          <w:rFonts w:ascii="仿宋_GB2312" w:hAnsi="宋体" w:eastAsia="仿宋_GB2312"/>
          <w:color w:val="000000"/>
          <w:sz w:val="24"/>
          <w:szCs w:val="24"/>
        </w:rPr>
      </w:pPr>
    </w:p>
    <w:p>
      <w:pPr>
        <w:pStyle w:val="3"/>
        <w:spacing w:line="360" w:lineRule="auto"/>
        <w:ind w:firstLine="0"/>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建桥园区A区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二、价款</w:t>
      </w:r>
    </w:p>
    <w:p>
      <w:pPr>
        <w:spacing w:line="540" w:lineRule="exact"/>
        <w:jc w:val="left"/>
        <w:rPr>
          <w:rFonts w:ascii="仿宋_GB2312" w:eastAsia="仿宋_GB2312"/>
          <w:color w:val="000000"/>
          <w:sz w:val="24"/>
          <w:szCs w:val="24"/>
        </w:rPr>
      </w:pPr>
      <w:r>
        <w:rPr>
          <w:rFonts w:hint="eastAsia" w:ascii="仿宋_GB2312" w:eastAsia="仿宋_GB2312"/>
          <w:color w:val="000000"/>
          <w:sz w:val="24"/>
          <w:szCs w:val="24"/>
        </w:rPr>
        <w:t>（一）竞标报价：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1.各竞标人以竞争性谈判文件、合同条件、现场情况，</w:t>
      </w:r>
      <w:r>
        <w:rPr>
          <w:rFonts w:hint="eastAsia" w:ascii="仿宋_GB2312" w:eastAsia="仿宋_GB2312"/>
          <w:sz w:val="24"/>
          <w:szCs w:val="24"/>
        </w:rPr>
        <w:t>结合自身实力、市场行情自主合理报价。</w:t>
      </w:r>
      <w:r>
        <w:rPr>
          <w:rFonts w:hint="eastAsia" w:ascii="仿宋_GB2312" w:eastAsia="仿宋_GB2312"/>
          <w:color w:val="000000"/>
          <w:sz w:val="24"/>
          <w:szCs w:val="24"/>
        </w:rPr>
        <w:t>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本工程采用固定综合总价包干</w:t>
      </w:r>
      <w:r>
        <w:rPr>
          <w:rFonts w:hint="eastAsia" w:ascii="仿宋_GB2312" w:eastAsia="仿宋_GB2312"/>
          <w:color w:val="000000"/>
          <w:sz w:val="24"/>
          <w:szCs w:val="24"/>
        </w:rPr>
        <w:t>。其综合总价应包含但不限于完成该项目所需的人工费、材料费、机械费、管理费、利润、风险费用、措施费、安全文明施工费、规费、税金等所有费用，中标后采购人不再对综合总价进行调整。</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（2）竞标人应先到工地踏勘以充分了解工地位置、地质情况、进出场道路、拆除干扰、储存空间、装卸限制、行车干扰及任何其它足以影响承包价格的情况，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本合同价款采用综合总价包干。</w:t>
      </w:r>
    </w:p>
    <w:p>
      <w:pPr>
        <w:spacing w:line="540" w:lineRule="exact"/>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napToGrid w:val="0"/>
        <w:spacing w:line="540" w:lineRule="exact"/>
        <w:ind w:firstLine="480" w:firstLineChars="200"/>
        <w:rPr>
          <w:rFonts w:ascii="仿宋" w:hAnsi="仿宋" w:eastAsia="仿宋"/>
          <w:color w:val="000000"/>
        </w:rPr>
      </w:pPr>
      <w:r>
        <w:rPr>
          <w:rFonts w:hint="eastAsia" w:ascii="仿宋" w:hAnsi="仿宋" w:eastAsia="仿宋" w:cs="宋体"/>
          <w:kern w:val="0"/>
          <w:sz w:val="24"/>
          <w:szCs w:val="22"/>
        </w:rPr>
        <w:t>成交价及为结算价。（注：报价为正数时，采购人支付成交单位的价格；报价为负数时，成交单位支付采购人的价格）。</w:t>
      </w:r>
    </w:p>
    <w:p>
      <w:pPr>
        <w:numPr>
          <w:ilvl w:val="0"/>
          <w:numId w:val="2"/>
        </w:numPr>
        <w:snapToGrid w:val="0"/>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价款支付：</w:t>
      </w:r>
      <w:bookmarkStart w:id="27" w:name="_Toc446012006"/>
    </w:p>
    <w:p>
      <w:pPr>
        <w:snapToGrid w:val="0"/>
        <w:spacing w:line="540" w:lineRule="exact"/>
        <w:ind w:firstLine="480" w:firstLineChars="200"/>
        <w:rPr>
          <w:rFonts w:ascii="仿宋" w:hAnsi="仿宋" w:eastAsia="仿宋" w:cs="宋体"/>
          <w:kern w:val="0"/>
          <w:sz w:val="24"/>
          <w:szCs w:val="22"/>
        </w:rPr>
      </w:pPr>
      <w:r>
        <w:rPr>
          <w:rFonts w:hint="eastAsia" w:ascii="仿宋" w:hAnsi="仿宋" w:eastAsia="仿宋" w:cs="宋体"/>
          <w:kern w:val="0"/>
          <w:sz w:val="24"/>
          <w:szCs w:val="22"/>
        </w:rPr>
        <w:t>1.当成交价为正数时，采购人支付给成交单位成交价格，支付时间为：工程完工并经验收达到交付采购人使用条件后1个月支付（支付工程款前，成交人提供等额合法的增值税专用发票）。</w:t>
      </w:r>
    </w:p>
    <w:p>
      <w:pPr>
        <w:snapToGrid w:val="0"/>
        <w:spacing w:line="540" w:lineRule="exact"/>
        <w:ind w:firstLine="480" w:firstLineChars="200"/>
        <w:rPr>
          <w:rFonts w:ascii="仿宋" w:hAnsi="仿宋" w:eastAsia="仿宋" w:cs="宋体"/>
          <w:kern w:val="0"/>
          <w:sz w:val="24"/>
          <w:szCs w:val="22"/>
        </w:rPr>
      </w:pPr>
      <w:r>
        <w:rPr>
          <w:rFonts w:hint="eastAsia" w:ascii="仿宋" w:hAnsi="仿宋" w:eastAsia="仿宋" w:cs="宋体"/>
          <w:kern w:val="0"/>
          <w:sz w:val="24"/>
          <w:szCs w:val="22"/>
        </w:rPr>
        <w:t>2.当成交价为负数时，成交单位支付采购人成交价格，支付时间为：成交人在成交结果公示结束后5个工作日内成交人向采购人足额提交（提交方式：转账或电汇）成交报价费用，提交后采购人方可与成交人签订合同，逾期未提交视为放弃中标资格，投标保证金不予退还。</w:t>
      </w:r>
    </w:p>
    <w:p>
      <w:pPr>
        <w:adjustRightInd w:val="0"/>
        <w:snapToGrid w:val="0"/>
        <w:spacing w:line="540" w:lineRule="exact"/>
        <w:rPr>
          <w:rFonts w:hint="eastAsia" w:ascii="仿宋_GB2312" w:hAnsi="仿宋_GB2312" w:eastAsia="仿宋_GB2312" w:cs="仿宋_GB2312"/>
          <w:color w:val="000000"/>
          <w:sz w:val="24"/>
          <w:szCs w:val="24"/>
          <w:lang w:val="en-US" w:eastAsia="zh-CN"/>
        </w:rPr>
      </w:pPr>
      <w:r>
        <w:rPr>
          <w:rFonts w:ascii="仿宋_GB2312" w:hAnsi="仿宋_GB2312" w:eastAsia="仿宋_GB2312" w:cs="仿宋_GB2312"/>
          <w:color w:val="000000"/>
          <w:sz w:val="24"/>
          <w:szCs w:val="24"/>
        </w:rPr>
        <w:t>计息方式：工程款不计息。到期应付而未付工程款按人民银行公布的半年期贷款基准利率计算逾期利息。如遇银行基准利率调整，调整当年应支付的资金仍按原利率计算利息；调整后次年应支付的资金（如果有）按调整后的基准利率计算利息；质保金始终不计息。工程款未付清前，发包人的支付顺序始终为工程款本金。</w:t>
      </w:r>
      <w:bookmarkEnd w:id="27"/>
      <w:r>
        <w:rPr>
          <w:rFonts w:hint="eastAsia" w:ascii="仿宋_GB2312" w:hAnsi="仿宋_GB2312" w:eastAsia="仿宋_GB2312" w:cs="仿宋_GB2312"/>
          <w:color w:val="000000"/>
          <w:sz w:val="24"/>
          <w:szCs w:val="24"/>
        </w:rPr>
        <w:t>承包人申请付款时，提供增值税专用发票，否则发包人有权不予支付工程款，由此造成的一切后果由承包人承担</w:t>
      </w:r>
      <w:r>
        <w:rPr>
          <w:rFonts w:hint="eastAsia" w:ascii="仿宋_GB2312" w:hAnsi="仿宋_GB2312" w:eastAsia="仿宋_GB2312" w:cs="仿宋_GB2312"/>
          <w:color w:val="000000"/>
          <w:sz w:val="24"/>
          <w:szCs w:val="24"/>
          <w:lang w:val="en-US" w:eastAsia="zh-CN"/>
        </w:rPr>
        <w:t>.</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三</w:t>
      </w:r>
      <w:r>
        <w:rPr>
          <w:rFonts w:ascii="仿宋_GB2312" w:eastAsia="仿宋_GB2312"/>
          <w:color w:val="000000"/>
          <w:sz w:val="24"/>
          <w:szCs w:val="24"/>
        </w:rPr>
        <w:t>、验收</w:t>
      </w:r>
    </w:p>
    <w:p>
      <w:pPr>
        <w:spacing w:line="50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、不可抗力</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五、其它要求：</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1、中标人必须在约定的时间内完成拆除工程并按要求完成场地整治及建筑垃圾堆放，每延迟一天扣履约保证金的</w:t>
      </w:r>
      <w:r>
        <w:rPr>
          <w:rFonts w:hint="eastAsia" w:ascii="仿宋_GB2312" w:hAnsi="仿宋_GB2312" w:eastAsia="仿宋_GB2312" w:cs="仿宋_GB2312"/>
          <w:color w:val="auto"/>
          <w:sz w:val="24"/>
          <w:szCs w:val="24"/>
        </w:rPr>
        <w:t>5000元</w:t>
      </w:r>
      <w:r>
        <w:rPr>
          <w:rFonts w:hint="eastAsia" w:ascii="仿宋_GB2312" w:hAnsi="仿宋_GB2312" w:eastAsia="仿宋_GB2312" w:cs="仿宋_GB2312"/>
          <w:color w:val="000000"/>
          <w:sz w:val="24"/>
          <w:szCs w:val="24"/>
        </w:rPr>
        <w:t>，若延迟超过10天，招标人将没收履约保证金并将其驱逐出场。</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本工程项目的竞标报价采用总价包干方式。（注：报价为正数时，采购人支付成交单位的价格；报价为负数时，成交单位支付采购人的价格）。本次竞标报价是包含施工过程风险的报价，投标人在施工过程所需的施工风险处理费用及不可预见费用在竞标报价中已包含。</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本工程拟拆除区域南侧紧邻已建成并投入使用的元石国际项目，中标人在拆除过程需采取木工板、密目网、脚手架等施工措施，确保拆除工程不损坏周边建、构筑物，相关措施费用包含在竞标报价中，采购人不再另行支付。若中标人在施工过程造成附近建筑物、构筑物地下管网及现场已完成的构件破坏，需要恢复或赔偿的费用由中标人承担。</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4、拆除过程中中标人不得损坏建构筑物周边的绿化植物，如施工确有困难，中标人需提前通知采购人进行处理，否则由中标人承担相应的赔偿责任。</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5.施工期间要求中标人及时与其他单位做好施工配合工作，配合所需的相关费用需综合考虑在竞标报价中。</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6、施工期间中标人按相关要求安排施工员、安全员进行现场管理；且 中标人按相关规定和要求做好安全文明施工（包括但不仅限于用洒水、雾炮车降尘等措施）、施工现场的环保及相应的降尘等安全文明措施，相关费用包含在竞标报价中，采购人不再另行支付。施工安全和环保由中标人全权负责并承担一切责任。</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投标人应自行实地探勘现场、充分了解该工程结构及拆除范围等情况，不得因未完全了解情况在中标后要求调整价格、工期等;否则，采购人有权没收投标保证金或履约保证金，且采购人有权按相关程序重新确定中标人或重新招标。</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自采购人向中标人移交拆除场地开始，直至中标人完成拆除工程并向采购人交回场地，期间的征收红线内场地看护责任由中标人全权负责。中标人不得接纳外来建筑垃圾、土石方等弃于征地红线范围内；否则，招标人将没收履约保证金并将其驱逐出场，且并不免除采购人对投标人的责任追诉。</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9.施工期间的用水、用电由成交单位自行解决，并承担相应费用。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10.本合同未尽事宜双方协商解决。</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spacing w:line="540" w:lineRule="exact"/>
        <w:jc w:val="center"/>
        <w:rPr>
          <w:rFonts w:ascii="仿宋_GB2312" w:eastAsia="仿宋_GB2312"/>
          <w:b/>
          <w:color w:val="000000"/>
          <w:sz w:val="32"/>
          <w:szCs w:val="32"/>
        </w:rPr>
      </w:pPr>
      <w:r>
        <w:rPr>
          <w:rFonts w:hint="eastAsia" w:ascii="仿宋_GB2312" w:eastAsia="仿宋_GB2312"/>
          <w:color w:val="000000"/>
          <w:sz w:val="24"/>
          <w:szCs w:val="24"/>
        </w:rPr>
        <w:br w:type="page"/>
      </w:r>
      <w:bookmarkStart w:id="28" w:name="_Toc193166118"/>
      <w:r>
        <w:rPr>
          <w:rFonts w:hint="eastAsia" w:ascii="仿宋_GB2312" w:eastAsia="仿宋_GB2312"/>
          <w:b/>
          <w:color w:val="000000"/>
          <w:sz w:val="32"/>
          <w:szCs w:val="32"/>
        </w:rPr>
        <w:t>第五篇  竞标文件格式</w:t>
      </w:r>
      <w:bookmarkEnd w:id="28"/>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29" w:name="_Toc193166119"/>
      <w:r>
        <w:rPr>
          <w:rFonts w:hint="eastAsia" w:ascii="仿宋_GB2312" w:eastAsia="仿宋_GB2312"/>
          <w:color w:val="000000"/>
          <w:sz w:val="24"/>
          <w:szCs w:val="24"/>
        </w:rPr>
        <w:t>一、资格文件</w:t>
      </w:r>
      <w:bookmarkEnd w:id="29"/>
    </w:p>
    <w:p>
      <w:pPr>
        <w:spacing w:line="540" w:lineRule="exact"/>
        <w:rPr>
          <w:rFonts w:ascii="仿宋_GB2312" w:eastAsia="仿宋_GB2312"/>
          <w:color w:val="000000"/>
          <w:sz w:val="24"/>
          <w:szCs w:val="24"/>
        </w:rPr>
      </w:pPr>
      <w:r>
        <w:rPr>
          <w:rFonts w:hint="eastAsia" w:ascii="仿宋_GB2312" w:eastAsia="仿宋_GB2312"/>
          <w:color w:val="000000"/>
          <w:sz w:val="24"/>
          <w:szCs w:val="24"/>
        </w:rPr>
        <w:t>（一）法定代表人授权书（格式）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w:pict>
          <v:rect id="_x0000_s1026" o:spid="_x0000_s1026" o:spt="1" style="position:absolute;left:0pt;margin-left:-18pt;margin-top:6pt;height:130.6pt;width:207pt;z-index:251658240;mso-width-relative:page;mso-height-relative:page;"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u1d&#10;atgAAAAKAQAADwAAAAAAAAABACAAAAAiAAAAZHJzL2Rvd25yZXYueG1sUEsBAhQAFAAAAAgAh07i&#10;QMDRqsjpAQAA3AMAAA4AAAAAAAAAAQAgAAAAJwEAAGRycy9lMm9Eb2MueG1sUEsFBgAAAAAGAAYA&#10;WQEAAIIFAAAAAA==&#10;">
            <v:path/>
            <v:fill focussize="0,0"/>
            <v:stroke/>
            <v:imagedata o:title=""/>
            <o:lock v:ext="edit"/>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w:r>
      <w:r>
        <w:rPr>
          <w:rFonts w:ascii="仿宋_GB2312" w:eastAsia="仿宋_GB2312"/>
          <w:b/>
          <w:color w:val="000000"/>
          <w:sz w:val="24"/>
          <w:szCs w:val="24"/>
        </w:rPr>
        <w:pict>
          <v:rect id="_x0000_s1027" o:spid="_x0000_s1027" o:spt="1" style="position:absolute;left:0pt;margin-left:261pt;margin-top:6pt;height:130.6pt;width:207pt;z-index:251658240;mso-width-relative:page;mso-height-relative:page;"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h&#10;v9jYAAAACgEAAA8AAAAAAAAAAQAgAAAAIgAAAGRycy9kb3ducmV2LnhtbFBLAQIUABQAAAAIAIdO&#10;4kDK1dke6gEAANwDAAAOAAAAAAAAAAEAIAAAACcBAABkcnMvZTJvRG9jLnhtbFBLBQYAAAAABgAG&#10;AFkBAACDBQAAAAA=&#10;">
            <v:path/>
            <v:fill focussize="0,0"/>
            <v:stroke/>
            <v:imagedata o:title=""/>
            <o:lock v:ext="edit"/>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（二）承诺函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（四）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30"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（五）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 xml:space="preserve">         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2、我公司承诺本工程质量达到：</w:t>
      </w:r>
      <w:r>
        <w:rPr>
          <w:rFonts w:ascii="仿宋_GB2312" w:hAnsi="仿宋_GB2312" w:eastAsia="仿宋_GB2312" w:cs="仿宋_GB2312"/>
          <w:color w:val="000000"/>
          <w:sz w:val="24"/>
          <w:szCs w:val="24"/>
        </w:rPr>
        <w:t>达到国家现行规范及验收合格标准</w:t>
      </w:r>
      <w:r>
        <w:rPr>
          <w:rFonts w:hint="eastAsia" w:ascii="仿宋_GB2312" w:eastAsia="仿宋_GB2312"/>
          <w:sz w:val="24"/>
          <w:szCs w:val="24"/>
        </w:rPr>
        <w:t>。</w:t>
      </w:r>
    </w:p>
    <w:p>
      <w:pPr>
        <w:spacing w:line="540" w:lineRule="exact"/>
        <w:rPr>
          <w:rFonts w:ascii="仿宋_GB2312" w:eastAsia="仿宋_GB2312"/>
          <w:sz w:val="24"/>
          <w:szCs w:val="24"/>
          <w:u w:val="single"/>
        </w:rPr>
      </w:pPr>
      <w:r>
        <w:rPr>
          <w:rFonts w:hint="eastAsia" w:ascii="仿宋_GB2312" w:eastAsia="仿宋_GB2312"/>
          <w:sz w:val="24"/>
          <w:szCs w:val="24"/>
        </w:rPr>
        <w:t xml:space="preserve">   3、其他优惠承诺。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（六）注册证明</w:t>
      </w:r>
    </w:p>
    <w:p>
      <w:pPr>
        <w:spacing w:line="540" w:lineRule="exact"/>
        <w:rPr>
          <w:rFonts w:ascii="仿宋_GB2312" w:eastAsia="仿宋_GB2312"/>
          <w:sz w:val="24"/>
          <w:szCs w:val="24"/>
        </w:rPr>
      </w:pPr>
      <w:r>
        <w:rPr>
          <w:rFonts w:hint="eastAsia" w:ascii="仿宋_GB2312" w:eastAsia="仿宋_GB2312"/>
          <w:sz w:val="24"/>
          <w:szCs w:val="24"/>
        </w:rPr>
        <w:drawing>
          <wp:anchor distT="0" distB="0" distL="114300" distR="114300" simplePos="0" relativeHeight="251657216" behindDoc="1" locked="0" layoutInCell="1" allowOverlap="1">
            <wp:simplePos x="0" y="0"/>
            <wp:positionH relativeFrom="column">
              <wp:posOffset>75565</wp:posOffset>
            </wp:positionH>
            <wp:positionV relativeFrom="paragraph">
              <wp:posOffset>81280</wp:posOffset>
            </wp:positionV>
            <wp:extent cx="6052185" cy="4839970"/>
            <wp:effectExtent l="0" t="0" r="5715" b="17780"/>
            <wp:wrapNone/>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noChangeArrowheads="1"/>
                    </pic:cNvPicPr>
                  </pic:nvPicPr>
                  <pic:blipFill>
                    <a:blip r:embed="rId11"/>
                    <a:srcRect/>
                    <a:stretch>
                      <a:fillRect/>
                    </a:stretch>
                  </pic:blipFill>
                  <pic:spPr>
                    <a:xfrm>
                      <a:off x="0" y="0"/>
                      <a:ext cx="6052185" cy="4839970"/>
                    </a:xfrm>
                    <a:prstGeom prst="rect">
                      <a:avLst/>
                    </a:prstGeom>
                    <a:noFill/>
                    <a:ln w="9525">
                      <a:noFill/>
                      <a:miter lim="800000"/>
                      <a:headEnd/>
                      <a:tailEnd/>
                    </a:ln>
                  </pic:spPr>
                </pic:pic>
              </a:graphicData>
            </a:graphic>
          </wp:anchor>
        </w:drawing>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（七）信用中国网站及中国政府采购网查询结果（查询时间为本项目采购公告发布之日起至递交响应文件截止时间前）</w:t>
      </w:r>
    </w:p>
    <w:p>
      <w:pPr>
        <w:spacing w:line="540" w:lineRule="exact"/>
        <w:rPr>
          <w:rFonts w:ascii="仿宋_GB2312" w:eastAsia="仿宋_GB2312"/>
          <w:sz w:val="24"/>
          <w:szCs w:val="24"/>
        </w:rPr>
      </w:pPr>
      <w:r>
        <w:rPr>
          <w:rFonts w:hint="eastAsia" w:ascii="仿宋_GB2312" w:eastAsia="仿宋_GB2312"/>
          <w:sz w:val="24"/>
          <w:szCs w:val="24"/>
        </w:rPr>
        <w:t>1. 信用中国网站（</w:t>
      </w:r>
      <w:r>
        <w:fldChar w:fldCharType="begin"/>
      </w:r>
      <w:r>
        <w:instrText xml:space="preserve"> HYPERLINK "http://www.creditchina.gov.cn" </w:instrText>
      </w:r>
      <w:r>
        <w:fldChar w:fldCharType="separate"/>
      </w:r>
      <w:r>
        <w:rPr>
          <w:rStyle w:val="13"/>
          <w:rFonts w:hint="eastAsia" w:ascii="仿宋_GB2312" w:eastAsia="仿宋_GB2312"/>
          <w:color w:val="auto"/>
          <w:sz w:val="24"/>
          <w:szCs w:val="24"/>
        </w:rPr>
        <w:t>www.creditchina.gov.cn</w:t>
      </w:r>
      <w:r>
        <w:rPr>
          <w:rStyle w:val="13"/>
          <w:rFonts w:hint="eastAsia" w:ascii="仿宋_GB2312" w:eastAsia="仿宋_GB2312"/>
          <w:color w:val="auto"/>
          <w:sz w:val="24"/>
          <w:szCs w:val="24"/>
        </w:rPr>
        <w:fldChar w:fldCharType="end"/>
      </w:r>
      <w:r>
        <w:rPr>
          <w:rFonts w:hint="eastAsia" w:ascii="仿宋_GB2312" w:eastAsia="仿宋_GB2312"/>
          <w:sz w:val="24"/>
          <w:szCs w:val="24"/>
        </w:rPr>
        <w:t>）查询结果（提供查询结果网页打印件并加盖供应商公章）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1.1“信用信息”查询结果；</w:t>
      </w:r>
    </w:p>
    <w:p>
      <w:pPr>
        <w:spacing w:line="540" w:lineRule="exact"/>
        <w:rPr>
          <w:rFonts w:ascii="仿宋_GB2312" w:eastAsia="仿宋_GB2312"/>
          <w:sz w:val="24"/>
          <w:szCs w:val="24"/>
        </w:rPr>
      </w:pPr>
      <w:r>
        <w:rPr>
          <w:rFonts w:hint="eastAsia" w:ascii="仿宋_GB2312" w:eastAsia="仿宋_GB2312"/>
          <w:sz w:val="24"/>
          <w:szCs w:val="24"/>
        </w:rPr>
        <w:t>1.2“失信被执行人”查询结果；</w:t>
      </w:r>
    </w:p>
    <w:p>
      <w:pPr>
        <w:spacing w:line="540" w:lineRule="exact"/>
        <w:rPr>
          <w:rFonts w:ascii="仿宋_GB2312" w:eastAsia="仿宋_GB2312"/>
          <w:sz w:val="24"/>
          <w:szCs w:val="24"/>
        </w:rPr>
      </w:pPr>
      <w:r>
        <w:rPr>
          <w:rFonts w:hint="eastAsia" w:ascii="仿宋_GB2312" w:eastAsia="仿宋_GB2312"/>
          <w:sz w:val="24"/>
          <w:szCs w:val="24"/>
        </w:rPr>
        <w:t>1.3“重大税收违法案件当事人名单”查询结果；</w:t>
      </w:r>
    </w:p>
    <w:p>
      <w:pPr>
        <w:spacing w:line="540" w:lineRule="exact"/>
        <w:rPr>
          <w:rFonts w:ascii="仿宋_GB2312" w:eastAsia="仿宋_GB2312"/>
          <w:sz w:val="24"/>
          <w:szCs w:val="24"/>
        </w:rPr>
      </w:pPr>
      <w:r>
        <w:rPr>
          <w:rFonts w:hint="eastAsia" w:ascii="仿宋_GB2312" w:eastAsia="仿宋_GB2312"/>
          <w:sz w:val="24"/>
          <w:szCs w:val="24"/>
        </w:rPr>
        <w:t>1.4“政府行政许可与行政处罚”查询结果。</w:t>
      </w:r>
    </w:p>
    <w:p>
      <w:pPr>
        <w:spacing w:line="540" w:lineRule="exact"/>
        <w:rPr>
          <w:rFonts w:ascii="仿宋_GB2312" w:eastAsia="仿宋_GB2312"/>
          <w:sz w:val="24"/>
          <w:szCs w:val="24"/>
        </w:rPr>
      </w:pPr>
      <w:r>
        <w:rPr>
          <w:rFonts w:hint="eastAsia" w:ascii="仿宋_GB2312" w:eastAsia="仿宋_GB2312"/>
          <w:sz w:val="24"/>
          <w:szCs w:val="24"/>
        </w:rPr>
        <w:t>2. 中国政府采购网（</w:t>
      </w:r>
      <w:r>
        <w:fldChar w:fldCharType="begin"/>
      </w:r>
      <w:r>
        <w:instrText xml:space="preserve"> HYPERLINK "http://www.ccgp.gov.cn" </w:instrText>
      </w:r>
      <w:r>
        <w:fldChar w:fldCharType="separate"/>
      </w:r>
      <w:r>
        <w:rPr>
          <w:rStyle w:val="13"/>
          <w:rFonts w:hint="eastAsia" w:ascii="仿宋_GB2312" w:eastAsia="仿宋_GB2312"/>
          <w:color w:val="auto"/>
          <w:sz w:val="24"/>
          <w:szCs w:val="24"/>
        </w:rPr>
        <w:t>www.ccgp.gov.cn</w:t>
      </w:r>
      <w:r>
        <w:rPr>
          <w:rStyle w:val="13"/>
          <w:rFonts w:hint="eastAsia" w:ascii="仿宋_GB2312" w:eastAsia="仿宋_GB2312"/>
          <w:color w:val="auto"/>
          <w:sz w:val="24"/>
          <w:szCs w:val="24"/>
        </w:rPr>
        <w:fldChar w:fldCharType="end"/>
      </w:r>
      <w:r>
        <w:rPr>
          <w:rFonts w:hint="eastAsia" w:ascii="仿宋_GB2312" w:eastAsia="仿宋_GB2312"/>
          <w:sz w:val="24"/>
          <w:szCs w:val="24"/>
        </w:rPr>
        <w:t>）（提供查询结果网页打印件并加盖供应商公章）</w:t>
      </w:r>
    </w:p>
    <w:p>
      <w:pPr>
        <w:spacing w:line="540" w:lineRule="exact"/>
        <w:rPr>
          <w:rFonts w:ascii="仿宋_GB2312" w:eastAsia="仿宋_GB2312"/>
          <w:sz w:val="24"/>
          <w:szCs w:val="24"/>
        </w:rPr>
      </w:pPr>
      <w:r>
        <w:rPr>
          <w:rFonts w:hint="eastAsia" w:ascii="仿宋_GB2312" w:eastAsia="仿宋_GB2312"/>
          <w:sz w:val="24"/>
          <w:szCs w:val="24"/>
        </w:rPr>
        <w:t>“政府采购严重违法失信行为记录名单”查询结果。</w:t>
      </w: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（八）其他所需资料格式自拟</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center"/>
        <w:rPr>
          <w:rFonts w:ascii="仿宋_GB2312" w:eastAsia="仿宋_GB2312"/>
          <w:b/>
          <w:sz w:val="52"/>
          <w:szCs w:val="52"/>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jc w:val="center"/>
        <w:rPr>
          <w:rFonts w:ascii="仿宋_GB2312" w:eastAsia="仿宋_GB2312"/>
          <w:color w:val="000000"/>
          <w:sz w:val="24"/>
          <w:szCs w:val="24"/>
        </w:rPr>
      </w:pPr>
    </w:p>
    <w:p>
      <w:pPr>
        <w:spacing w:line="540" w:lineRule="exact"/>
        <w:jc w:val="center"/>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15"/>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5"/>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rPr>
          <w:rFonts w:ascii="宋体" w:hAnsi="宋体"/>
          <w:b/>
          <w:color w:val="000000"/>
          <w:sz w:val="44"/>
        </w:rPr>
      </w:pPr>
    </w:p>
    <w:p>
      <w:pPr>
        <w:pStyle w:val="15"/>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 标文件</w:t>
      </w:r>
    </w:p>
    <w:p>
      <w:pPr>
        <w:pStyle w:val="16"/>
        <w:autoSpaceDE w:val="0"/>
        <w:autoSpaceDN w:val="0"/>
        <w:adjustRightInd w:val="0"/>
        <w:snapToGrid w:val="0"/>
        <w:spacing w:line="360" w:lineRule="auto"/>
        <w:jc w:val="left"/>
        <w:rPr>
          <w:rFonts w:ascii="宋体" w:hAnsi="宋体" w:cs="MingLiU"/>
          <w:color w:val="000000"/>
          <w:kern w:val="0"/>
          <w:sz w:val="16"/>
          <w:szCs w:val="16"/>
        </w:rPr>
      </w:pPr>
    </w:p>
    <w:p>
      <w:pPr>
        <w:pStyle w:val="16"/>
        <w:autoSpaceDE w:val="0"/>
        <w:autoSpaceDN w:val="0"/>
        <w:adjustRightInd w:val="0"/>
        <w:snapToGrid w:val="0"/>
        <w:spacing w:line="360" w:lineRule="auto"/>
        <w:jc w:val="center"/>
        <w:rPr>
          <w:rFonts w:ascii="宋体" w:hAnsi="宋体" w:cs="MingLiU"/>
          <w:color w:val="000000"/>
          <w:kern w:val="0"/>
          <w:sz w:val="36"/>
          <w:szCs w:val="36"/>
        </w:rPr>
      </w:pPr>
    </w:p>
    <w:p>
      <w:pPr>
        <w:pStyle w:val="16"/>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594" w:firstLineChars="200"/>
        <w:rPr>
          <w:rFonts w:ascii="宋体" w:hAnsi="宋体"/>
          <w:b/>
          <w:color w:val="000000"/>
          <w:spacing w:val="8"/>
          <w:sz w:val="28"/>
        </w:rPr>
      </w:pPr>
    </w:p>
    <w:p>
      <w:pPr>
        <w:pStyle w:val="15"/>
        <w:adjustRightInd w:val="0"/>
        <w:snapToGrid w:val="0"/>
        <w:spacing w:line="480" w:lineRule="exact"/>
        <w:ind w:firstLine="1485" w:firstLineChars="500"/>
        <w:rPr>
          <w:rFonts w:ascii="宋体" w:hAnsi="宋体"/>
          <w:b/>
          <w:color w:val="000000"/>
          <w:spacing w:val="8"/>
          <w:sz w:val="28"/>
        </w:rPr>
      </w:pPr>
    </w:p>
    <w:p>
      <w:pPr>
        <w:pStyle w:val="15"/>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5"/>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5"/>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30"/>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spacing w:line="540" w:lineRule="exact"/>
        <w:rPr>
          <w:rFonts w:hint="eastAsia" w:ascii="仿宋_GB2312" w:eastAsia="仿宋_GB2312"/>
          <w:color w:val="000000"/>
          <w:sz w:val="24"/>
          <w:szCs w:val="24"/>
        </w:rPr>
      </w:pPr>
      <w:r>
        <w:rPr>
          <w:rFonts w:hint="eastAsia" w:ascii="仿宋_GB2312" w:eastAsia="仿宋_GB2312"/>
          <w:color w:val="000000"/>
          <w:sz w:val="24"/>
          <w:szCs w:val="24"/>
        </w:rPr>
        <w:t>1．愿意按照竞争性谈判文件中的一切要求，实行固定综合总价包干计价方式，竞标总价为人民币小写RMB：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w:t>
      </w:r>
      <w:r>
        <w:rPr>
          <w:rFonts w:hint="eastAsia" w:ascii="仿宋_GB2312" w:eastAsia="仿宋_GB2312"/>
          <w:color w:val="000000"/>
          <w:sz w:val="24"/>
          <w:szCs w:val="24"/>
          <w:u w:val="single"/>
        </w:rPr>
        <w:t xml:space="preserve">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2.我方现提交的竞标文件为：资格文件二份，报价文件二份（电子版1份）。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31" w:name="_Toc193166123"/>
      <w:bookmarkStart w:id="32" w:name="_Toc162338948"/>
    </w:p>
    <w:p>
      <w:pPr>
        <w:spacing w:line="540" w:lineRule="exact"/>
        <w:rPr>
          <w:rFonts w:ascii="仿宋_GB2312" w:eastAsia="仿宋_GB2312"/>
          <w:color w:val="000000"/>
          <w:sz w:val="24"/>
          <w:szCs w:val="24"/>
        </w:rPr>
      </w:pPr>
    </w:p>
    <w:bookmarkEnd w:id="31"/>
    <w:bookmarkEnd w:id="32"/>
    <w:p/>
    <w:sectPr>
      <w:headerReference r:id="rId8" w:type="first"/>
      <w:headerReference r:id="rId6" w:type="default"/>
      <w:footerReference r:id="rId9" w:type="default"/>
      <w:headerReference r:id="rId7" w:type="even"/>
      <w:pgSz w:w="11907" w:h="16840"/>
      <w:pgMar w:top="1520" w:right="1520" w:bottom="1140" w:left="1327" w:header="964"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18</w:t>
    </w:r>
    <w:r>
      <w:fldChar w:fldCharType="end"/>
    </w:r>
  </w:p>
  <w:p>
    <w:pPr>
      <w:pStyle w:val="5"/>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20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rPr>
        <w:szCs w:val="18"/>
      </w:rPr>
    </w:pPr>
    <w:r>
      <w:rPr>
        <w:rFonts w:hint="eastAsia"/>
        <w:szCs w:val="18"/>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rPr>
        <w:szCs w:val="18"/>
      </w:rPr>
    </w:pPr>
    <w:r>
      <w:rPr>
        <w:rFonts w:hint="eastAsia"/>
        <w:szCs w:val="18"/>
      </w:rPr>
      <w:t>重庆建桥实业发展有限公司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F8418"/>
    <w:multiLevelType w:val="singleLevel"/>
    <w:tmpl w:val="99AF8418"/>
    <w:lvl w:ilvl="0" w:tentative="0">
      <w:start w:val="4"/>
      <w:numFmt w:val="chineseCounting"/>
      <w:suff w:val="nothing"/>
      <w:lvlText w:val="（%1）"/>
      <w:lvlJc w:val="left"/>
      <w:rPr>
        <w:rFonts w:hint="eastAsia"/>
      </w:rPr>
    </w:lvl>
  </w:abstractNum>
  <w:abstractNum w:abstractNumId="1">
    <w:nsid w:val="37754C6D"/>
    <w:multiLevelType w:val="multilevel"/>
    <w:tmpl w:val="37754C6D"/>
    <w:lvl w:ilvl="0" w:tentative="0">
      <w:start w:val="3"/>
      <w:numFmt w:val="japaneseCounting"/>
      <w:lvlText w:val="第%1篇"/>
      <w:lvlJc w:val="left"/>
      <w:pPr>
        <w:tabs>
          <w:tab w:val="left" w:pos="1170"/>
        </w:tabs>
        <w:ind w:left="1170" w:hanging="11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737C4C"/>
    <w:rsid w:val="00052DAA"/>
    <w:rsid w:val="00120EE6"/>
    <w:rsid w:val="00211437"/>
    <w:rsid w:val="003E2740"/>
    <w:rsid w:val="00411893"/>
    <w:rsid w:val="0052724E"/>
    <w:rsid w:val="005D0EBA"/>
    <w:rsid w:val="005D7A62"/>
    <w:rsid w:val="0062102E"/>
    <w:rsid w:val="00673907"/>
    <w:rsid w:val="008D4389"/>
    <w:rsid w:val="009A0FEC"/>
    <w:rsid w:val="00B53C0D"/>
    <w:rsid w:val="00B70AF9"/>
    <w:rsid w:val="00C129B6"/>
    <w:rsid w:val="00CF7958"/>
    <w:rsid w:val="00FC191D"/>
    <w:rsid w:val="0177745B"/>
    <w:rsid w:val="01E46C49"/>
    <w:rsid w:val="01FF2667"/>
    <w:rsid w:val="029D28C0"/>
    <w:rsid w:val="02C141A9"/>
    <w:rsid w:val="030F1B28"/>
    <w:rsid w:val="037C2514"/>
    <w:rsid w:val="044A3EA6"/>
    <w:rsid w:val="04B02CCE"/>
    <w:rsid w:val="05032953"/>
    <w:rsid w:val="05B51082"/>
    <w:rsid w:val="071B666E"/>
    <w:rsid w:val="074E72DE"/>
    <w:rsid w:val="07FB04E5"/>
    <w:rsid w:val="07FF36C0"/>
    <w:rsid w:val="08121A9A"/>
    <w:rsid w:val="09500FBC"/>
    <w:rsid w:val="09FB58A9"/>
    <w:rsid w:val="0B525B4D"/>
    <w:rsid w:val="0B8539C4"/>
    <w:rsid w:val="0C436493"/>
    <w:rsid w:val="0CA3770F"/>
    <w:rsid w:val="0D5B2D5F"/>
    <w:rsid w:val="0D640A00"/>
    <w:rsid w:val="0D7A78B8"/>
    <w:rsid w:val="0D954043"/>
    <w:rsid w:val="0DAA23C8"/>
    <w:rsid w:val="0ED12188"/>
    <w:rsid w:val="0EDB6BCA"/>
    <w:rsid w:val="0F080620"/>
    <w:rsid w:val="10CE52CE"/>
    <w:rsid w:val="112E40B8"/>
    <w:rsid w:val="117204DC"/>
    <w:rsid w:val="119E7C04"/>
    <w:rsid w:val="11FC45D8"/>
    <w:rsid w:val="11FD14F2"/>
    <w:rsid w:val="124649B6"/>
    <w:rsid w:val="127663BC"/>
    <w:rsid w:val="12A203EF"/>
    <w:rsid w:val="12DE3297"/>
    <w:rsid w:val="13532C4E"/>
    <w:rsid w:val="138A6B9A"/>
    <w:rsid w:val="13997F8D"/>
    <w:rsid w:val="13D56135"/>
    <w:rsid w:val="140C355F"/>
    <w:rsid w:val="14281CDA"/>
    <w:rsid w:val="144C0437"/>
    <w:rsid w:val="146D6731"/>
    <w:rsid w:val="14842994"/>
    <w:rsid w:val="149B10EE"/>
    <w:rsid w:val="14A319DF"/>
    <w:rsid w:val="14AC3906"/>
    <w:rsid w:val="151A665F"/>
    <w:rsid w:val="159B1F07"/>
    <w:rsid w:val="15C55999"/>
    <w:rsid w:val="16585A34"/>
    <w:rsid w:val="16A20C17"/>
    <w:rsid w:val="16EF1E78"/>
    <w:rsid w:val="17210B25"/>
    <w:rsid w:val="17324926"/>
    <w:rsid w:val="178A4338"/>
    <w:rsid w:val="18446521"/>
    <w:rsid w:val="186758BE"/>
    <w:rsid w:val="18A75930"/>
    <w:rsid w:val="193112A6"/>
    <w:rsid w:val="1B534534"/>
    <w:rsid w:val="1B5B703A"/>
    <w:rsid w:val="1BC80A24"/>
    <w:rsid w:val="1BCD6810"/>
    <w:rsid w:val="1BD01D55"/>
    <w:rsid w:val="1BE37DAE"/>
    <w:rsid w:val="1C7E77F7"/>
    <w:rsid w:val="1CA70B86"/>
    <w:rsid w:val="1D26348B"/>
    <w:rsid w:val="1DBE0F17"/>
    <w:rsid w:val="1E157CC0"/>
    <w:rsid w:val="1E6946BD"/>
    <w:rsid w:val="1E9E750A"/>
    <w:rsid w:val="1EE373F3"/>
    <w:rsid w:val="1EE73BF0"/>
    <w:rsid w:val="1F2F1858"/>
    <w:rsid w:val="208A5A7B"/>
    <w:rsid w:val="20D22514"/>
    <w:rsid w:val="210F6C1C"/>
    <w:rsid w:val="222E4C2B"/>
    <w:rsid w:val="22994C39"/>
    <w:rsid w:val="22DB1F02"/>
    <w:rsid w:val="23025545"/>
    <w:rsid w:val="230B105D"/>
    <w:rsid w:val="239F40D5"/>
    <w:rsid w:val="23BD251F"/>
    <w:rsid w:val="243463C1"/>
    <w:rsid w:val="249726DC"/>
    <w:rsid w:val="24994375"/>
    <w:rsid w:val="25886940"/>
    <w:rsid w:val="265078C9"/>
    <w:rsid w:val="266658F5"/>
    <w:rsid w:val="26740A11"/>
    <w:rsid w:val="26C12F1D"/>
    <w:rsid w:val="271502EB"/>
    <w:rsid w:val="27B7737E"/>
    <w:rsid w:val="27D73273"/>
    <w:rsid w:val="27FE24E2"/>
    <w:rsid w:val="291005D7"/>
    <w:rsid w:val="29C1466F"/>
    <w:rsid w:val="2BC2068E"/>
    <w:rsid w:val="2BC6177B"/>
    <w:rsid w:val="2CB92A23"/>
    <w:rsid w:val="2CBA245D"/>
    <w:rsid w:val="2CDC487A"/>
    <w:rsid w:val="2D054B8A"/>
    <w:rsid w:val="2D2C676D"/>
    <w:rsid w:val="2D3322D1"/>
    <w:rsid w:val="2D3358A8"/>
    <w:rsid w:val="2D697A92"/>
    <w:rsid w:val="2D6C47E9"/>
    <w:rsid w:val="2D822B36"/>
    <w:rsid w:val="2DBF7E23"/>
    <w:rsid w:val="2E0C4F86"/>
    <w:rsid w:val="2E457B2C"/>
    <w:rsid w:val="2EE34B41"/>
    <w:rsid w:val="2F44486C"/>
    <w:rsid w:val="2F69574F"/>
    <w:rsid w:val="30564FC2"/>
    <w:rsid w:val="30775EFD"/>
    <w:rsid w:val="316A5744"/>
    <w:rsid w:val="32015289"/>
    <w:rsid w:val="32262A1A"/>
    <w:rsid w:val="32494B5F"/>
    <w:rsid w:val="32AF2FD6"/>
    <w:rsid w:val="32B5636F"/>
    <w:rsid w:val="32E54DF1"/>
    <w:rsid w:val="3336689F"/>
    <w:rsid w:val="34350D1F"/>
    <w:rsid w:val="34BE4F1E"/>
    <w:rsid w:val="34D37D2F"/>
    <w:rsid w:val="34ED5FDD"/>
    <w:rsid w:val="35400D8C"/>
    <w:rsid w:val="35EB5356"/>
    <w:rsid w:val="35F82359"/>
    <w:rsid w:val="361E78B3"/>
    <w:rsid w:val="36F45DFD"/>
    <w:rsid w:val="376C414A"/>
    <w:rsid w:val="37C37372"/>
    <w:rsid w:val="37E9708C"/>
    <w:rsid w:val="380F3643"/>
    <w:rsid w:val="381869A8"/>
    <w:rsid w:val="38842FFF"/>
    <w:rsid w:val="38F45520"/>
    <w:rsid w:val="39130A74"/>
    <w:rsid w:val="39163EC5"/>
    <w:rsid w:val="39373991"/>
    <w:rsid w:val="39C00BAA"/>
    <w:rsid w:val="3B571353"/>
    <w:rsid w:val="3B720315"/>
    <w:rsid w:val="3BFE1FEB"/>
    <w:rsid w:val="3C3A785E"/>
    <w:rsid w:val="3C4E67CE"/>
    <w:rsid w:val="3CCA655C"/>
    <w:rsid w:val="3CF262CB"/>
    <w:rsid w:val="3D867756"/>
    <w:rsid w:val="40AC6877"/>
    <w:rsid w:val="40F10272"/>
    <w:rsid w:val="41473941"/>
    <w:rsid w:val="41633100"/>
    <w:rsid w:val="41B64C04"/>
    <w:rsid w:val="41B81A66"/>
    <w:rsid w:val="41CD5ED7"/>
    <w:rsid w:val="41E233DB"/>
    <w:rsid w:val="4240096A"/>
    <w:rsid w:val="42C21BBB"/>
    <w:rsid w:val="43FE66C6"/>
    <w:rsid w:val="44646236"/>
    <w:rsid w:val="44B310A0"/>
    <w:rsid w:val="45037DA4"/>
    <w:rsid w:val="454055AF"/>
    <w:rsid w:val="457B6D68"/>
    <w:rsid w:val="45952E39"/>
    <w:rsid w:val="45AF1E51"/>
    <w:rsid w:val="45E21833"/>
    <w:rsid w:val="46BC1CF1"/>
    <w:rsid w:val="470B32D9"/>
    <w:rsid w:val="480A7BE1"/>
    <w:rsid w:val="483660EC"/>
    <w:rsid w:val="484408C2"/>
    <w:rsid w:val="4C3275E4"/>
    <w:rsid w:val="4CAF7477"/>
    <w:rsid w:val="4D452EB1"/>
    <w:rsid w:val="4D497490"/>
    <w:rsid w:val="4EE43EE5"/>
    <w:rsid w:val="4F6D5316"/>
    <w:rsid w:val="4FB5766E"/>
    <w:rsid w:val="4FD9232B"/>
    <w:rsid w:val="514C46C2"/>
    <w:rsid w:val="52141641"/>
    <w:rsid w:val="53922D9C"/>
    <w:rsid w:val="53C5550F"/>
    <w:rsid w:val="53E875AB"/>
    <w:rsid w:val="53ED7001"/>
    <w:rsid w:val="54941BC4"/>
    <w:rsid w:val="549619B9"/>
    <w:rsid w:val="5538087A"/>
    <w:rsid w:val="55794C7A"/>
    <w:rsid w:val="55CA6C34"/>
    <w:rsid w:val="5615370C"/>
    <w:rsid w:val="56554BA2"/>
    <w:rsid w:val="56E15F04"/>
    <w:rsid w:val="56F202D8"/>
    <w:rsid w:val="58252768"/>
    <w:rsid w:val="584E0C14"/>
    <w:rsid w:val="586468D1"/>
    <w:rsid w:val="58D6299C"/>
    <w:rsid w:val="58E53C5C"/>
    <w:rsid w:val="59664930"/>
    <w:rsid w:val="5972360C"/>
    <w:rsid w:val="598779AA"/>
    <w:rsid w:val="598E7E97"/>
    <w:rsid w:val="59A77031"/>
    <w:rsid w:val="59BB7B74"/>
    <w:rsid w:val="59F90319"/>
    <w:rsid w:val="5AB375E6"/>
    <w:rsid w:val="5B1331EA"/>
    <w:rsid w:val="5BDB0AA8"/>
    <w:rsid w:val="5C873AD0"/>
    <w:rsid w:val="5CE418E8"/>
    <w:rsid w:val="5D2867C8"/>
    <w:rsid w:val="5D3E34B8"/>
    <w:rsid w:val="5DC515A4"/>
    <w:rsid w:val="5E9E7768"/>
    <w:rsid w:val="5EF7643C"/>
    <w:rsid w:val="5EF92B4A"/>
    <w:rsid w:val="5F0036D5"/>
    <w:rsid w:val="5F0779D9"/>
    <w:rsid w:val="5F737C4C"/>
    <w:rsid w:val="5FF513AF"/>
    <w:rsid w:val="60294068"/>
    <w:rsid w:val="60C350BD"/>
    <w:rsid w:val="60CF0460"/>
    <w:rsid w:val="61BE56EE"/>
    <w:rsid w:val="61C07CB4"/>
    <w:rsid w:val="62C22805"/>
    <w:rsid w:val="638F4C5F"/>
    <w:rsid w:val="63FF21C7"/>
    <w:rsid w:val="64654C8F"/>
    <w:rsid w:val="647B3ED3"/>
    <w:rsid w:val="64E618E5"/>
    <w:rsid w:val="6551367A"/>
    <w:rsid w:val="65D51C3B"/>
    <w:rsid w:val="66194911"/>
    <w:rsid w:val="663E5DF1"/>
    <w:rsid w:val="668F78E1"/>
    <w:rsid w:val="66921ADB"/>
    <w:rsid w:val="673E1F2A"/>
    <w:rsid w:val="685E04AF"/>
    <w:rsid w:val="68D7581E"/>
    <w:rsid w:val="6A4A559A"/>
    <w:rsid w:val="6A6A2AD1"/>
    <w:rsid w:val="6B195055"/>
    <w:rsid w:val="6B400A56"/>
    <w:rsid w:val="6B65634A"/>
    <w:rsid w:val="6BAF39AB"/>
    <w:rsid w:val="6BBA3DC9"/>
    <w:rsid w:val="6BE518F0"/>
    <w:rsid w:val="6D1D4319"/>
    <w:rsid w:val="6ED03EA4"/>
    <w:rsid w:val="6F93406F"/>
    <w:rsid w:val="70932198"/>
    <w:rsid w:val="70C84F6B"/>
    <w:rsid w:val="70FF50D3"/>
    <w:rsid w:val="71E27584"/>
    <w:rsid w:val="72204AD9"/>
    <w:rsid w:val="72400361"/>
    <w:rsid w:val="728765DD"/>
    <w:rsid w:val="729167CF"/>
    <w:rsid w:val="72F26DF5"/>
    <w:rsid w:val="730D53BF"/>
    <w:rsid w:val="732919BC"/>
    <w:rsid w:val="73565C71"/>
    <w:rsid w:val="738A57AE"/>
    <w:rsid w:val="74A9683A"/>
    <w:rsid w:val="759D12E0"/>
    <w:rsid w:val="762726B2"/>
    <w:rsid w:val="769C4C9D"/>
    <w:rsid w:val="76AC39B2"/>
    <w:rsid w:val="76C326DD"/>
    <w:rsid w:val="76F1368F"/>
    <w:rsid w:val="77787A66"/>
    <w:rsid w:val="783A60E0"/>
    <w:rsid w:val="787503C3"/>
    <w:rsid w:val="7AAB18CB"/>
    <w:rsid w:val="7ACD13FE"/>
    <w:rsid w:val="7B620500"/>
    <w:rsid w:val="7C0D4AA6"/>
    <w:rsid w:val="7C900F4F"/>
    <w:rsid w:val="7D642BDE"/>
    <w:rsid w:val="7D82472B"/>
    <w:rsid w:val="7E68644C"/>
    <w:rsid w:val="7F1A43F2"/>
    <w:rsid w:val="7F2717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Indent"/>
    <w:basedOn w:val="1"/>
    <w:qFormat/>
    <w:uiPriority w:val="0"/>
    <w:pPr>
      <w:spacing w:line="700" w:lineRule="exact"/>
      <w:ind w:left="960"/>
    </w:pPr>
    <w:rPr>
      <w:sz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qFormat/>
    <w:uiPriority w:val="39"/>
    <w:pPr>
      <w:tabs>
        <w:tab w:val="left" w:pos="1260"/>
        <w:tab w:val="left" w:pos="1685"/>
        <w:tab w:val="right" w:leader="dot" w:pos="8400"/>
      </w:tabs>
      <w:ind w:firstLine="280" w:firstLineChars="100"/>
    </w:pPr>
    <w:rPr>
      <w:szCs w:val="44"/>
    </w:rPr>
  </w:style>
  <w:style w:type="paragraph" w:styleId="8">
    <w:name w:val="toc 2"/>
    <w:basedOn w:val="1"/>
    <w:next w:val="1"/>
    <w:semiHidden/>
    <w:qFormat/>
    <w:uiPriority w:val="0"/>
    <w:pPr>
      <w:tabs>
        <w:tab w:val="right" w:leader="dot" w:pos="8400"/>
      </w:tabs>
      <w:ind w:left="280" w:leftChars="100" w:right="-255" w:rightChars="-91"/>
    </w:pPr>
  </w:style>
  <w:style w:type="character" w:styleId="11">
    <w:name w:val="page number"/>
    <w:basedOn w:val="10"/>
    <w:qFormat/>
    <w:uiPriority w:val="0"/>
  </w:style>
  <w:style w:type="character" w:styleId="12">
    <w:name w:val="FollowedHyperlink"/>
    <w:basedOn w:val="10"/>
    <w:qFormat/>
    <w:uiPriority w:val="0"/>
    <w:rPr>
      <w:b/>
      <w:color w:val="000000"/>
      <w:sz w:val="20"/>
      <w:szCs w:val="20"/>
      <w:u w:val="single"/>
    </w:rPr>
  </w:style>
  <w:style w:type="character" w:styleId="13">
    <w:name w:val="Hyperlink"/>
    <w:basedOn w:val="10"/>
    <w:qFormat/>
    <w:uiPriority w:val="99"/>
    <w:rPr>
      <w:b/>
      <w:color w:val="000000"/>
      <w:sz w:val="20"/>
      <w:szCs w:val="20"/>
      <w:u w:val="single"/>
    </w:rPr>
  </w:style>
  <w:style w:type="paragraph" w:customStyle="1" w:styleId="14">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2478</Words>
  <Characters>14127</Characters>
  <Lines>117</Lines>
  <Paragraphs>33</Paragraphs>
  <TotalTime>80</TotalTime>
  <ScaleCrop>false</ScaleCrop>
  <LinksUpToDate>false</LinksUpToDate>
  <CharactersWithSpaces>16572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2020-03-11T07:17:00Z</dcterms:created>
  <dc:creator>admin</dc:creator>
  <cp:lastModifiedBy>admin</cp:lastModifiedBy>
  <dcterms:modified xsi:type="dcterms:W3CDTF">2020-07-03T01:39:57Z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